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E218" w14:textId="3E4D0B55" w:rsidR="00155BC2" w:rsidRDefault="00001121" w:rsidP="001273C6">
      <w:pPr>
        <w:spacing w:after="0" w:line="240" w:lineRule="auto"/>
        <w:ind w:left="-360" w:right="-446"/>
        <w:outlineLvl w:val="1"/>
        <w:rPr>
          <w:rFonts w:cs="Arial"/>
          <w:b/>
          <w:color w:val="000000" w:themeColor="text1"/>
          <w:sz w:val="24"/>
          <w:szCs w:val="24"/>
        </w:rPr>
      </w:pPr>
      <w:r w:rsidRPr="00AE477D">
        <w:rPr>
          <w:rFonts w:ascii="Arial" w:hAnsi="Arial" w:cs="Arial"/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75B779B1" wp14:editId="771F776C">
                <wp:simplePos x="0" y="0"/>
                <wp:positionH relativeFrom="margin">
                  <wp:posOffset>-666750</wp:posOffset>
                </wp:positionH>
                <wp:positionV relativeFrom="paragraph">
                  <wp:posOffset>230505</wp:posOffset>
                </wp:positionV>
                <wp:extent cx="7282815" cy="700405"/>
                <wp:effectExtent l="0" t="0" r="1333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815" cy="700405"/>
                        </a:xfrm>
                        <a:prstGeom prst="rect">
                          <a:avLst/>
                        </a:prstGeom>
                        <a:solidFill>
                          <a:srgbClr val="007DA3"/>
                        </a:solidFill>
                        <a:ln w="9525">
                          <a:solidFill>
                            <a:srgbClr val="4BACC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86D7" w14:textId="55DCF95E" w:rsidR="00001121" w:rsidRPr="004465A1" w:rsidRDefault="00F7694C" w:rsidP="00001121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534461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Acute</w:t>
                            </w:r>
                            <w:r w:rsidR="00155BC2" w:rsidRPr="00534461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Otitis Media</w:t>
                            </w:r>
                            <w:r w:rsidR="00534461" w:rsidRPr="00534461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: Discussion Guide</w:t>
                            </w:r>
                            <w:r w:rsidR="00534461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="00155BC2">
                              <w:rPr>
                                <w:color w:val="FFFFFF" w:themeColor="background1"/>
                                <w:sz w:val="56"/>
                              </w:rPr>
                              <w:t xml:space="preserve">          </w:t>
                            </w:r>
                            <w:r w:rsidR="00C65840">
                              <w:rPr>
                                <w:noProof/>
                              </w:rPr>
                              <w:drawing>
                                <wp:inline distT="0" distB="0" distL="0" distR="0" wp14:anchorId="65F65E19" wp14:editId="3784C3A4">
                                  <wp:extent cx="1081548" cy="44831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HRQ_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903" cy="461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5BC2">
                              <w:rPr>
                                <w:color w:val="FFFFFF" w:themeColor="background1"/>
                                <w:sz w:val="56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77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18.15pt;width:573.45pt;height:55.15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" fillcolor="#007da3" strokecolor="#31859c">
                <v:textbox>
                  <w:txbxContent>
                    <w:p w14:paraId="275586D7" w14:textId="55DCF95E" w:rsidR="00001121" w:rsidRPr="004465A1" w:rsidRDefault="00F7694C" w:rsidP="00001121">
                      <w:pPr>
                        <w:rPr>
                          <w:color w:val="FFFFFF" w:themeColor="background1"/>
                          <w:sz w:val="56"/>
                        </w:rPr>
                      </w:pPr>
                      <w:r w:rsidRPr="00534461">
                        <w:rPr>
                          <w:color w:val="FFFFFF" w:themeColor="background1"/>
                          <w:sz w:val="48"/>
                          <w:szCs w:val="48"/>
                        </w:rPr>
                        <w:t>Acute</w:t>
                      </w:r>
                      <w:r w:rsidR="00155BC2" w:rsidRPr="00534461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Otitis Media</w:t>
                      </w:r>
                      <w:r w:rsidR="00534461" w:rsidRPr="00534461">
                        <w:rPr>
                          <w:color w:val="FFFFFF" w:themeColor="background1"/>
                          <w:sz w:val="48"/>
                          <w:szCs w:val="48"/>
                        </w:rPr>
                        <w:t>: Discussion Guide</w:t>
                      </w:r>
                      <w:r w:rsidR="00534461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      </w:t>
                      </w:r>
                      <w:r w:rsidR="00155BC2">
                        <w:rPr>
                          <w:color w:val="FFFFFF" w:themeColor="background1"/>
                          <w:sz w:val="56"/>
                        </w:rPr>
                        <w:t xml:space="preserve">          </w:t>
                      </w:r>
                      <w:r w:rsidR="00C65840">
                        <w:rPr>
                          <w:noProof/>
                        </w:rPr>
                        <w:drawing>
                          <wp:inline distT="0" distB="0" distL="0" distR="0" wp14:anchorId="65F65E19" wp14:editId="3784C3A4">
                            <wp:extent cx="1081548" cy="44831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HRQ_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903" cy="461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5BC2">
                        <w:rPr>
                          <w:color w:val="FFFFFF" w:themeColor="background1"/>
                          <w:sz w:val="56"/>
                        </w:rPr>
                        <w:t xml:space="preserve">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869BA6" w14:textId="1C0A8285" w:rsidR="004974B3" w:rsidRPr="00AE477D" w:rsidRDefault="004974B3" w:rsidP="000611AF">
      <w:pPr>
        <w:ind w:left="-360" w:right="-450"/>
        <w:outlineLvl w:val="1"/>
        <w:rPr>
          <w:rFonts w:eastAsia="Times New Roman" w:cstheme="minorHAnsi"/>
        </w:rPr>
      </w:pPr>
      <w:r w:rsidRPr="00AE477D">
        <w:rPr>
          <w:rFonts w:cstheme="minorHAnsi"/>
        </w:rPr>
        <w:t xml:space="preserve">During a regularly scheduled staff meeting, the stewardship leader(s) should ask all clinical staff which of the components of the AHRQ Toolkit </w:t>
      </w:r>
      <w:proofErr w:type="gramStart"/>
      <w:r w:rsidR="00EB73F6">
        <w:rPr>
          <w:rFonts w:cstheme="minorHAnsi"/>
        </w:rPr>
        <w:t>T</w:t>
      </w:r>
      <w:r w:rsidR="00145D32">
        <w:rPr>
          <w:rFonts w:cstheme="minorHAnsi"/>
        </w:rPr>
        <w:t>o</w:t>
      </w:r>
      <w:proofErr w:type="gramEnd"/>
      <w:r w:rsidR="00145D32">
        <w:rPr>
          <w:rFonts w:cstheme="minorHAnsi"/>
        </w:rPr>
        <w:t xml:space="preserve"> Improve Antibiotic Use in Ambulatory Care </w:t>
      </w:r>
      <w:r w:rsidRPr="00AE477D">
        <w:rPr>
          <w:rFonts w:cstheme="minorHAnsi"/>
        </w:rPr>
        <w:t xml:space="preserve">related to </w:t>
      </w:r>
      <w:r w:rsidR="001273C6">
        <w:rPr>
          <w:rFonts w:cstheme="minorHAnsi"/>
        </w:rPr>
        <w:t>a</w:t>
      </w:r>
      <w:r w:rsidR="007E2785">
        <w:rPr>
          <w:rFonts w:cstheme="minorHAnsi"/>
        </w:rPr>
        <w:t xml:space="preserve">cute </w:t>
      </w:r>
      <w:r w:rsidR="001273C6">
        <w:rPr>
          <w:rFonts w:cstheme="minorHAnsi"/>
        </w:rPr>
        <w:t>o</w:t>
      </w:r>
      <w:r w:rsidR="007E2785">
        <w:rPr>
          <w:rFonts w:cstheme="minorHAnsi"/>
        </w:rPr>
        <w:t xml:space="preserve">titis </w:t>
      </w:r>
      <w:r w:rsidR="001273C6">
        <w:rPr>
          <w:rFonts w:cstheme="minorHAnsi"/>
        </w:rPr>
        <w:t>m</w:t>
      </w:r>
      <w:r w:rsidR="007E2785">
        <w:rPr>
          <w:rFonts w:cstheme="minorHAnsi"/>
        </w:rPr>
        <w:t>edia</w:t>
      </w:r>
      <w:r w:rsidRPr="00AE477D">
        <w:rPr>
          <w:rFonts w:cstheme="minorHAnsi"/>
        </w:rPr>
        <w:t xml:space="preserve"> </w:t>
      </w:r>
      <w:r w:rsidR="000A1AE8">
        <w:rPr>
          <w:rFonts w:cstheme="minorHAnsi"/>
        </w:rPr>
        <w:t xml:space="preserve">(AOM) </w:t>
      </w:r>
      <w:r w:rsidRPr="00AE477D">
        <w:rPr>
          <w:rFonts w:cstheme="minorHAnsi"/>
        </w:rPr>
        <w:t xml:space="preserve">have been reviewed. It is recommended that all clinical staff review at least one of the following: the audio presentation, the </w:t>
      </w:r>
      <w:r w:rsidR="00016F93">
        <w:rPr>
          <w:rFonts w:cstheme="minorHAnsi"/>
        </w:rPr>
        <w:t xml:space="preserve">slide set </w:t>
      </w:r>
      <w:r w:rsidRPr="00AE477D">
        <w:rPr>
          <w:rFonts w:cstheme="minorHAnsi"/>
        </w:rPr>
        <w:t>with accompanying facilitator guide, or the clinician one-page document. Remind staff that even if they ha</w:t>
      </w:r>
      <w:r w:rsidR="003C035E">
        <w:rPr>
          <w:rFonts w:cstheme="minorHAnsi"/>
        </w:rPr>
        <w:t>ve</w:t>
      </w:r>
      <w:r w:rsidRPr="00AE477D">
        <w:rPr>
          <w:rFonts w:cstheme="minorHAnsi"/>
        </w:rPr>
        <w:t xml:space="preserve"> not had a chance to review the material, that they should still do so. </w:t>
      </w:r>
      <w:r w:rsidR="00016F93">
        <w:rPr>
          <w:rFonts w:cstheme="minorHAnsi"/>
        </w:rPr>
        <w:t>Also, r</w:t>
      </w:r>
      <w:r w:rsidRPr="00AE477D">
        <w:rPr>
          <w:rFonts w:cstheme="minorHAnsi"/>
        </w:rPr>
        <w:t xml:space="preserve">emind staff how they can access the </w:t>
      </w:r>
      <w:r w:rsidR="008E6DA9">
        <w:rPr>
          <w:rFonts w:cstheme="minorHAnsi"/>
        </w:rPr>
        <w:t xml:space="preserve">AHRQ </w:t>
      </w:r>
      <w:r w:rsidRPr="00AE477D">
        <w:rPr>
          <w:rFonts w:cstheme="minorHAnsi"/>
        </w:rPr>
        <w:t>Toolkit</w:t>
      </w:r>
      <w:r w:rsidR="00016F93">
        <w:rPr>
          <w:rFonts w:cstheme="minorHAnsi"/>
        </w:rPr>
        <w:t xml:space="preserve"> </w:t>
      </w:r>
      <w:proofErr w:type="gramStart"/>
      <w:r w:rsidR="00EB73F6">
        <w:rPr>
          <w:rFonts w:cstheme="minorHAnsi"/>
        </w:rPr>
        <w:t>T</w:t>
      </w:r>
      <w:r w:rsidR="008E6DA9">
        <w:rPr>
          <w:rFonts w:cstheme="minorHAnsi"/>
        </w:rPr>
        <w:t>o</w:t>
      </w:r>
      <w:proofErr w:type="gramEnd"/>
      <w:r w:rsidR="008E6DA9">
        <w:rPr>
          <w:rFonts w:cstheme="minorHAnsi"/>
        </w:rPr>
        <w:t xml:space="preserve"> Improve Antibiotic Use in Ambulatory Care </w:t>
      </w:r>
      <w:r w:rsidR="00016F93">
        <w:rPr>
          <w:rFonts w:cstheme="minorHAnsi"/>
        </w:rPr>
        <w:t>content</w:t>
      </w:r>
      <w:r w:rsidRPr="00AE477D">
        <w:rPr>
          <w:rFonts w:cstheme="minorHAnsi"/>
        </w:rPr>
        <w:t xml:space="preserve">. </w:t>
      </w:r>
    </w:p>
    <w:p w14:paraId="6E1F2CE5" w14:textId="4818BDC2" w:rsidR="00A43157" w:rsidRDefault="004974B3" w:rsidP="73CFCAA4">
      <w:pPr>
        <w:ind w:left="-360" w:right="-450"/>
        <w:outlineLvl w:val="1"/>
      </w:pPr>
      <w:r w:rsidRPr="73CFCAA4">
        <w:t>During the same meeting the stewardship leader(s) should generate conversation among staff members to determine how the practice can collectively improve the diagnosis and</w:t>
      </w:r>
      <w:r w:rsidR="001A6076">
        <w:t xml:space="preserve"> </w:t>
      </w:r>
      <w:r w:rsidR="00D17EE8">
        <w:t xml:space="preserve">management </w:t>
      </w:r>
      <w:r w:rsidRPr="73CFCAA4">
        <w:t xml:space="preserve">of </w:t>
      </w:r>
      <w:r w:rsidR="00C65840">
        <w:t>a</w:t>
      </w:r>
      <w:r w:rsidR="00C33680">
        <w:t xml:space="preserve">cute </w:t>
      </w:r>
      <w:r w:rsidR="001273C6">
        <w:t>o</w:t>
      </w:r>
      <w:r w:rsidR="00C33680">
        <w:t xml:space="preserve">titis </w:t>
      </w:r>
      <w:r w:rsidR="001273C6">
        <w:t>m</w:t>
      </w:r>
      <w:r w:rsidR="00C33680">
        <w:t>edia</w:t>
      </w:r>
      <w:r w:rsidRPr="73CFCAA4">
        <w:t xml:space="preserve"> </w:t>
      </w:r>
      <w:r w:rsidR="00885506">
        <w:t>in</w:t>
      </w:r>
      <w:r w:rsidRPr="73CFCAA4">
        <w:t xml:space="preserve"> their patients. Consider </w:t>
      </w:r>
      <w:r w:rsidR="00181187" w:rsidRPr="73CFCAA4">
        <w:t>taking minutes and distributing them</w:t>
      </w:r>
      <w:r w:rsidRPr="73CFCAA4">
        <w:t xml:space="preserve"> after the meeting to remind everyone present (and those not present) what was decided. </w:t>
      </w:r>
      <w:r w:rsidR="00A43157" w:rsidRPr="73CFCAA4">
        <w:t xml:space="preserve">Finally, it is also recommended to discuss progress on implementation of previous stewardship activities that the group is engaging in. </w:t>
      </w:r>
    </w:p>
    <w:p w14:paraId="032CA552" w14:textId="061D393A" w:rsidR="00E24A1B" w:rsidRPr="00AE477D" w:rsidRDefault="00A43157" w:rsidP="73CFCAA4">
      <w:pPr>
        <w:ind w:left="-360" w:right="-450"/>
        <w:outlineLvl w:val="1"/>
      </w:pPr>
      <w:r w:rsidRPr="73CFCAA4">
        <w:t>Suggested questions include the following:</w:t>
      </w:r>
    </w:p>
    <w:p w14:paraId="00A8053E" w14:textId="78FB2A0F" w:rsidR="00C01608" w:rsidRPr="00D14C2E" w:rsidRDefault="008B44D1" w:rsidP="00D14C2E">
      <w:pPr>
        <w:pStyle w:val="ListParagraph"/>
        <w:numPr>
          <w:ilvl w:val="0"/>
          <w:numId w:val="12"/>
        </w:numPr>
        <w:ind w:left="360" w:right="-450"/>
        <w:outlineLvl w:val="1"/>
        <w:rPr>
          <w:rStyle w:val="normaltextrun"/>
          <w:rFonts w:eastAsia="Times New Roman" w:cstheme="minorHAnsi"/>
        </w:rPr>
      </w:pPr>
      <w:r w:rsidRPr="00D14C2E">
        <w:rPr>
          <w:rStyle w:val="normaltextrun"/>
          <w:rFonts w:eastAsia="Times New Roman" w:cstheme="minorHAnsi"/>
        </w:rPr>
        <w:t xml:space="preserve">How </w:t>
      </w:r>
      <w:r w:rsidR="00E021DB" w:rsidRPr="00D14C2E">
        <w:rPr>
          <w:rStyle w:val="normaltextrun"/>
          <w:rFonts w:eastAsia="Times New Roman" w:cstheme="minorHAnsi"/>
        </w:rPr>
        <w:t>is the practice</w:t>
      </w:r>
      <w:r w:rsidRPr="00D14C2E">
        <w:rPr>
          <w:rStyle w:val="normaltextrun"/>
          <w:rFonts w:eastAsia="Times New Roman" w:cstheme="minorHAnsi"/>
        </w:rPr>
        <w:t xml:space="preserve"> currently deciding </w:t>
      </w:r>
      <w:r w:rsidR="00E021DB" w:rsidRPr="00D14C2E">
        <w:rPr>
          <w:rStyle w:val="normaltextrun"/>
          <w:rFonts w:eastAsia="Times New Roman" w:cstheme="minorHAnsi"/>
        </w:rPr>
        <w:t>which children</w:t>
      </w:r>
      <w:r w:rsidRPr="00D14C2E">
        <w:rPr>
          <w:rStyle w:val="normaltextrun"/>
          <w:rFonts w:eastAsia="Times New Roman" w:cstheme="minorHAnsi"/>
        </w:rPr>
        <w:t xml:space="preserve"> </w:t>
      </w:r>
      <w:r w:rsidR="00E021DB" w:rsidRPr="00D14C2E">
        <w:rPr>
          <w:rStyle w:val="normaltextrun"/>
          <w:rFonts w:eastAsia="Times New Roman" w:cstheme="minorHAnsi"/>
        </w:rPr>
        <w:t xml:space="preserve">with </w:t>
      </w:r>
      <w:r w:rsidRPr="00D14C2E">
        <w:rPr>
          <w:rStyle w:val="normaltextrun"/>
          <w:rFonts w:eastAsia="Times New Roman" w:cstheme="minorHAnsi"/>
        </w:rPr>
        <w:t xml:space="preserve">acute otitis media </w:t>
      </w:r>
      <w:r w:rsidR="00E021DB" w:rsidRPr="00D14C2E">
        <w:rPr>
          <w:rStyle w:val="normaltextrun"/>
          <w:rFonts w:eastAsia="Times New Roman" w:cstheme="minorHAnsi"/>
        </w:rPr>
        <w:t xml:space="preserve">to treat with </w:t>
      </w:r>
      <w:r w:rsidR="00E021DB" w:rsidRPr="00BF2FD7">
        <w:rPr>
          <w:rFonts w:eastAsiaTheme="minorHAnsi" w:cstheme="minorBidi"/>
        </w:rPr>
        <w:t>antibiotics</w:t>
      </w:r>
      <w:r w:rsidR="00E021DB" w:rsidRPr="00D14C2E">
        <w:rPr>
          <w:rStyle w:val="normaltextrun"/>
          <w:rFonts w:eastAsia="Times New Roman" w:cstheme="minorHAnsi"/>
        </w:rPr>
        <w:t xml:space="preserve"> versus which children to consider </w:t>
      </w:r>
      <w:r w:rsidR="00FF3544" w:rsidRPr="00D14C2E">
        <w:rPr>
          <w:rStyle w:val="normaltextrun"/>
          <w:rFonts w:eastAsia="Times New Roman" w:cstheme="minorHAnsi"/>
        </w:rPr>
        <w:t xml:space="preserve">for </w:t>
      </w:r>
      <w:r w:rsidR="00E021DB" w:rsidRPr="00D14C2E">
        <w:rPr>
          <w:rStyle w:val="normaltextrun"/>
          <w:rFonts w:eastAsia="Times New Roman" w:cstheme="minorHAnsi"/>
        </w:rPr>
        <w:t>watchful waiting? What guidelines/educational tools is the practice</w:t>
      </w:r>
      <w:r w:rsidRPr="00D14C2E">
        <w:rPr>
          <w:rStyle w:val="normaltextrun"/>
          <w:rFonts w:eastAsia="Times New Roman" w:cstheme="minorHAnsi"/>
        </w:rPr>
        <w:t xml:space="preserve"> currently </w:t>
      </w:r>
      <w:r w:rsidR="00E021DB" w:rsidRPr="00D14C2E">
        <w:rPr>
          <w:rStyle w:val="normaltextrun"/>
          <w:rFonts w:eastAsia="Times New Roman" w:cstheme="minorHAnsi"/>
        </w:rPr>
        <w:t>using to address</w:t>
      </w:r>
      <w:r w:rsidRPr="00D14C2E">
        <w:rPr>
          <w:rStyle w:val="normaltextrun"/>
          <w:rFonts w:eastAsia="Times New Roman" w:cstheme="minorHAnsi"/>
        </w:rPr>
        <w:t xml:space="preserve"> the length of </w:t>
      </w:r>
      <w:r w:rsidR="001A6076" w:rsidRPr="00D14C2E">
        <w:rPr>
          <w:rStyle w:val="normaltextrun"/>
          <w:rFonts w:eastAsia="Times New Roman" w:cstheme="minorHAnsi"/>
        </w:rPr>
        <w:t>antibiotic</w:t>
      </w:r>
      <w:r w:rsidRPr="00D14C2E">
        <w:rPr>
          <w:rStyle w:val="normaltextrun"/>
          <w:rFonts w:eastAsia="Times New Roman" w:cstheme="minorHAnsi"/>
        </w:rPr>
        <w:t xml:space="preserve"> treatment</w:t>
      </w:r>
      <w:r w:rsidR="003B7D99" w:rsidRPr="00D14C2E">
        <w:rPr>
          <w:rStyle w:val="normaltextrun"/>
          <w:rFonts w:eastAsia="Times New Roman" w:cstheme="minorHAnsi"/>
        </w:rPr>
        <w:t xml:space="preserve"> to prescribe</w:t>
      </w:r>
      <w:r w:rsidRPr="00D14C2E">
        <w:rPr>
          <w:rStyle w:val="normaltextrun"/>
          <w:rFonts w:eastAsia="Times New Roman" w:cstheme="minorHAnsi"/>
        </w:rPr>
        <w:t xml:space="preserve">? </w:t>
      </w:r>
    </w:p>
    <w:p w14:paraId="0D867AE7" w14:textId="77777777" w:rsidR="00C33680" w:rsidRDefault="00C33680" w:rsidP="00BF2FD7">
      <w:pPr>
        <w:pStyle w:val="ListParagraph"/>
        <w:spacing w:before="240" w:after="0" w:line="240" w:lineRule="auto"/>
        <w:ind w:left="360" w:right="-547" w:hanging="360"/>
        <w:contextualSpacing/>
        <w:rPr>
          <w:rFonts w:cstheme="minorHAnsi"/>
        </w:rPr>
      </w:pPr>
    </w:p>
    <w:p w14:paraId="77810604" w14:textId="77777777" w:rsidR="00BF2FD7" w:rsidRPr="000D3849" w:rsidRDefault="00BF2FD7" w:rsidP="00D14C2E">
      <w:pPr>
        <w:pStyle w:val="ListParagraph"/>
        <w:spacing w:before="240" w:after="0" w:line="240" w:lineRule="auto"/>
        <w:ind w:left="360" w:right="-547" w:hanging="360"/>
        <w:contextualSpacing/>
        <w:rPr>
          <w:rFonts w:cstheme="minorHAnsi"/>
        </w:rPr>
      </w:pPr>
    </w:p>
    <w:p w14:paraId="5B295640" w14:textId="77777777" w:rsidR="00C01608" w:rsidRPr="000D3849" w:rsidRDefault="00C01608" w:rsidP="00D14C2E">
      <w:pPr>
        <w:spacing w:before="240" w:after="0" w:line="240" w:lineRule="auto"/>
        <w:ind w:left="360" w:right="-547" w:hanging="360"/>
        <w:contextualSpacing/>
        <w:rPr>
          <w:rFonts w:cstheme="minorHAnsi"/>
        </w:rPr>
      </w:pPr>
    </w:p>
    <w:p w14:paraId="1AA5B3CB" w14:textId="7DE9508D" w:rsidR="00C01608" w:rsidRPr="00D14C2E" w:rsidRDefault="00C01608" w:rsidP="00D14C2E">
      <w:pPr>
        <w:pStyle w:val="ListParagraph"/>
        <w:numPr>
          <w:ilvl w:val="0"/>
          <w:numId w:val="12"/>
        </w:numPr>
        <w:ind w:left="360" w:right="-450"/>
        <w:outlineLvl w:val="1"/>
        <w:rPr>
          <w:rStyle w:val="normaltextrun"/>
          <w:rFonts w:eastAsia="Times New Roman" w:cstheme="minorHAnsi"/>
        </w:rPr>
      </w:pPr>
      <w:r w:rsidRPr="00D14C2E">
        <w:rPr>
          <w:rStyle w:val="normaltextrun"/>
          <w:rFonts w:eastAsia="Times New Roman" w:cstheme="minorHAnsi"/>
        </w:rPr>
        <w:t>What measures will the practice use to guide decision making for observation without antibiotic therapy for children with acute otitis media</w:t>
      </w:r>
      <w:r w:rsidR="00E021DB" w:rsidRPr="00D14C2E">
        <w:rPr>
          <w:rStyle w:val="normaltextrun"/>
          <w:rFonts w:eastAsia="Times New Roman" w:cstheme="minorHAnsi"/>
        </w:rPr>
        <w:t>? What anticipatory guidance will the practice use for patients who will not be started on antibiotics initially?</w:t>
      </w:r>
    </w:p>
    <w:p w14:paraId="559EC94D" w14:textId="77777777" w:rsidR="007B485B" w:rsidRPr="00D14C2E" w:rsidRDefault="007B485B" w:rsidP="00D14C2E">
      <w:pPr>
        <w:ind w:left="360" w:right="-450" w:hanging="360"/>
        <w:outlineLvl w:val="1"/>
        <w:rPr>
          <w:rStyle w:val="normaltextrun"/>
          <w:rFonts w:eastAsia="Times New Roman" w:cstheme="minorHAnsi"/>
        </w:rPr>
      </w:pPr>
    </w:p>
    <w:p w14:paraId="052E04D2" w14:textId="77777777" w:rsidR="007B485B" w:rsidRPr="00D14C2E" w:rsidRDefault="007B485B" w:rsidP="00D14C2E">
      <w:pPr>
        <w:ind w:left="360" w:right="-450" w:hanging="360"/>
        <w:outlineLvl w:val="1"/>
        <w:rPr>
          <w:rStyle w:val="normaltextrun"/>
          <w:rFonts w:eastAsia="Times New Roman"/>
        </w:rPr>
      </w:pPr>
    </w:p>
    <w:p w14:paraId="07B59F26" w14:textId="3B8FA4F7" w:rsidR="003D7BF3" w:rsidRPr="00D14C2E" w:rsidRDefault="003D7BF3" w:rsidP="00D14C2E">
      <w:pPr>
        <w:pStyle w:val="ListParagraph"/>
        <w:numPr>
          <w:ilvl w:val="0"/>
          <w:numId w:val="12"/>
        </w:numPr>
        <w:ind w:left="360" w:right="-450"/>
        <w:outlineLvl w:val="1"/>
        <w:rPr>
          <w:rStyle w:val="normaltextrun"/>
          <w:rFonts w:eastAsia="Times New Roman" w:cstheme="minorHAnsi"/>
        </w:rPr>
      </w:pPr>
      <w:r w:rsidRPr="00D14C2E">
        <w:rPr>
          <w:rStyle w:val="normaltextrun"/>
          <w:rFonts w:eastAsia="Times New Roman" w:cstheme="minorHAnsi"/>
        </w:rPr>
        <w:t xml:space="preserve">What criteria will the practice use to determine when to refer patients to </w:t>
      </w:r>
      <w:r w:rsidR="00F154C3" w:rsidRPr="00D14C2E">
        <w:rPr>
          <w:rStyle w:val="normaltextrun"/>
          <w:rFonts w:eastAsia="Times New Roman" w:cstheme="minorHAnsi"/>
        </w:rPr>
        <w:t xml:space="preserve">pediatric ear, nose, and throat </w:t>
      </w:r>
      <w:r w:rsidR="00E021DB" w:rsidRPr="00D14C2E">
        <w:rPr>
          <w:rStyle w:val="normaltextrun"/>
          <w:rFonts w:eastAsia="Times New Roman" w:cstheme="minorHAnsi"/>
        </w:rPr>
        <w:t>clinicians</w:t>
      </w:r>
      <w:r w:rsidR="00F154C3" w:rsidRPr="00D14C2E">
        <w:rPr>
          <w:rStyle w:val="normaltextrun"/>
          <w:rFonts w:eastAsia="Times New Roman" w:cstheme="minorHAnsi"/>
        </w:rPr>
        <w:t xml:space="preserve"> (otolaryngolo</w:t>
      </w:r>
      <w:r w:rsidR="00E021DB" w:rsidRPr="00D14C2E">
        <w:rPr>
          <w:rStyle w:val="normaltextrun"/>
          <w:rFonts w:eastAsia="Times New Roman" w:cstheme="minorHAnsi"/>
        </w:rPr>
        <w:t>gy</w:t>
      </w:r>
      <w:r w:rsidR="00F154C3" w:rsidRPr="00D14C2E">
        <w:rPr>
          <w:rStyle w:val="normaltextrun"/>
          <w:rFonts w:eastAsia="Times New Roman" w:cstheme="minorHAnsi"/>
        </w:rPr>
        <w:t xml:space="preserve">) </w:t>
      </w:r>
      <w:r w:rsidR="00C01608" w:rsidRPr="00D14C2E">
        <w:rPr>
          <w:rStyle w:val="normaltextrun"/>
          <w:rFonts w:eastAsia="Times New Roman" w:cstheme="minorHAnsi"/>
        </w:rPr>
        <w:t>for children with recurrent ear infections or chronic otitis media with effusion?</w:t>
      </w:r>
    </w:p>
    <w:p w14:paraId="50783EFB" w14:textId="35E16F6B" w:rsidR="00C771EA" w:rsidRPr="00E13C04" w:rsidRDefault="006C3FC2" w:rsidP="00E13C04">
      <w:pPr>
        <w:spacing w:before="3200" w:after="0" w:line="240" w:lineRule="auto"/>
        <w:ind w:left="-547"/>
        <w:jc w:val="right"/>
        <w:rPr>
          <w:rFonts w:cstheme="minorHAnsi"/>
        </w:rPr>
      </w:pPr>
      <w:r w:rsidRPr="00E13C04">
        <w:rPr>
          <w:rFonts w:cstheme="minorHAnsi"/>
        </w:rPr>
        <w:t>AHRQ Pub. No. 17(22)-0030</w:t>
      </w:r>
    </w:p>
    <w:p w14:paraId="247C1C63" w14:textId="7B358F35" w:rsidR="006C3FC2" w:rsidRPr="00E13C04" w:rsidRDefault="006C3FC2" w:rsidP="006C3FC2">
      <w:pPr>
        <w:spacing w:after="0" w:line="240" w:lineRule="auto"/>
        <w:ind w:left="-547"/>
        <w:jc w:val="right"/>
        <w:rPr>
          <w:rFonts w:cstheme="minorHAnsi"/>
        </w:rPr>
      </w:pPr>
      <w:r w:rsidRPr="00E13C04">
        <w:rPr>
          <w:rFonts w:cstheme="minorHAnsi"/>
        </w:rPr>
        <w:t>September 2022</w:t>
      </w:r>
    </w:p>
    <w:sectPr w:rsidR="006C3FC2" w:rsidRPr="00E13C04" w:rsidSect="00AD3443">
      <w:footerReference w:type="first" r:id="rId13"/>
      <w:pgSz w:w="12240" w:h="15840"/>
      <w:pgMar w:top="-87" w:right="1260" w:bottom="446" w:left="1440" w:header="0" w:footer="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4209" w14:textId="77777777" w:rsidR="00FE5406" w:rsidRDefault="00FE5406" w:rsidP="00E32D5F">
      <w:pPr>
        <w:spacing w:after="0" w:line="240" w:lineRule="auto"/>
      </w:pPr>
      <w:r>
        <w:separator/>
      </w:r>
    </w:p>
  </w:endnote>
  <w:endnote w:type="continuationSeparator" w:id="0">
    <w:p w14:paraId="09976740" w14:textId="77777777" w:rsidR="00FE5406" w:rsidRDefault="00FE5406" w:rsidP="00E32D5F">
      <w:pPr>
        <w:spacing w:after="0" w:line="240" w:lineRule="auto"/>
      </w:pPr>
      <w:r>
        <w:continuationSeparator/>
      </w:r>
    </w:p>
  </w:endnote>
  <w:endnote w:type="continuationNotice" w:id="1">
    <w:p w14:paraId="69704F02" w14:textId="77777777" w:rsidR="00FE5406" w:rsidRDefault="00FE5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1B1" w14:textId="33094951" w:rsidR="003C035E" w:rsidRDefault="003C035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4E75FB" wp14:editId="74C4A843">
              <wp:simplePos x="0" y="0"/>
              <wp:positionH relativeFrom="column">
                <wp:posOffset>-142240</wp:posOffset>
              </wp:positionH>
              <wp:positionV relativeFrom="paragraph">
                <wp:posOffset>-346075</wp:posOffset>
              </wp:positionV>
              <wp:extent cx="444246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F4441" w14:textId="6D360B97" w:rsidR="003C035E" w:rsidRPr="00E13C04" w:rsidRDefault="003C035E">
                          <w:r w:rsidRPr="00E13C04"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4E75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2pt;margin-top:-27.25pt;width:34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" stroked="f">
              <v:textbox style="mso-fit-shape-to-text:t">
                <w:txbxContent>
                  <w:p w14:paraId="4A9F4441" w14:textId="6D360B97" w:rsidR="003C035E" w:rsidRPr="00E13C04" w:rsidRDefault="003C035E">
                    <w:r w:rsidRPr="00E13C04">
                      <w:t>AHRQ Safety Program for Improving Antibiotic Use –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16DB" w14:textId="77777777" w:rsidR="00FE5406" w:rsidRDefault="00FE5406" w:rsidP="00E32D5F">
      <w:pPr>
        <w:spacing w:after="0" w:line="240" w:lineRule="auto"/>
      </w:pPr>
      <w:r>
        <w:separator/>
      </w:r>
    </w:p>
  </w:footnote>
  <w:footnote w:type="continuationSeparator" w:id="0">
    <w:p w14:paraId="030B2AB9" w14:textId="77777777" w:rsidR="00FE5406" w:rsidRDefault="00FE5406" w:rsidP="00E32D5F">
      <w:pPr>
        <w:spacing w:after="0" w:line="240" w:lineRule="auto"/>
      </w:pPr>
      <w:r>
        <w:continuationSeparator/>
      </w:r>
    </w:p>
  </w:footnote>
  <w:footnote w:type="continuationNotice" w:id="1">
    <w:p w14:paraId="7156793A" w14:textId="77777777" w:rsidR="00FE5406" w:rsidRDefault="00FE54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82"/>
    <w:multiLevelType w:val="hybridMultilevel"/>
    <w:tmpl w:val="EFD0C520"/>
    <w:lvl w:ilvl="0" w:tplc="6C824D54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F74BD"/>
    <w:multiLevelType w:val="hybridMultilevel"/>
    <w:tmpl w:val="78A0F38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F001E85"/>
    <w:multiLevelType w:val="hybridMultilevel"/>
    <w:tmpl w:val="180E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DFA"/>
    <w:multiLevelType w:val="hybridMultilevel"/>
    <w:tmpl w:val="E0C2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D17035"/>
    <w:multiLevelType w:val="hybridMultilevel"/>
    <w:tmpl w:val="0178C894"/>
    <w:lvl w:ilvl="0" w:tplc="818ECC84">
      <w:numFmt w:val="bullet"/>
      <w:lvlText w:val="•"/>
      <w:lvlJc w:val="left"/>
      <w:pPr>
        <w:ind w:left="0" w:hanging="5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73D0A"/>
    <w:multiLevelType w:val="hybridMultilevel"/>
    <w:tmpl w:val="C5B0AE0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BE910EB"/>
    <w:multiLevelType w:val="hybridMultilevel"/>
    <w:tmpl w:val="573E5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1121"/>
    <w:rsid w:val="00002566"/>
    <w:rsid w:val="00016F93"/>
    <w:rsid w:val="00032516"/>
    <w:rsid w:val="00034640"/>
    <w:rsid w:val="00035786"/>
    <w:rsid w:val="00045415"/>
    <w:rsid w:val="000611AF"/>
    <w:rsid w:val="000625A7"/>
    <w:rsid w:val="00087310"/>
    <w:rsid w:val="00092DD3"/>
    <w:rsid w:val="00093643"/>
    <w:rsid w:val="00096F69"/>
    <w:rsid w:val="000A1AE8"/>
    <w:rsid w:val="000D3849"/>
    <w:rsid w:val="00110647"/>
    <w:rsid w:val="001273C6"/>
    <w:rsid w:val="00145D32"/>
    <w:rsid w:val="00155BC2"/>
    <w:rsid w:val="00160839"/>
    <w:rsid w:val="00181187"/>
    <w:rsid w:val="00184FF2"/>
    <w:rsid w:val="00196230"/>
    <w:rsid w:val="001A6076"/>
    <w:rsid w:val="001B17E4"/>
    <w:rsid w:val="001C07C2"/>
    <w:rsid w:val="001C6AFA"/>
    <w:rsid w:val="001D3A50"/>
    <w:rsid w:val="001E2C4C"/>
    <w:rsid w:val="001F01EF"/>
    <w:rsid w:val="001F4CD4"/>
    <w:rsid w:val="00227502"/>
    <w:rsid w:val="0029483C"/>
    <w:rsid w:val="002C29E9"/>
    <w:rsid w:val="002F2AD5"/>
    <w:rsid w:val="0031721B"/>
    <w:rsid w:val="003176DE"/>
    <w:rsid w:val="003301F7"/>
    <w:rsid w:val="00340B93"/>
    <w:rsid w:val="00383CB5"/>
    <w:rsid w:val="003950D6"/>
    <w:rsid w:val="003B7D99"/>
    <w:rsid w:val="003C035E"/>
    <w:rsid w:val="003D2567"/>
    <w:rsid w:val="003D75AA"/>
    <w:rsid w:val="003D7BF3"/>
    <w:rsid w:val="00411857"/>
    <w:rsid w:val="00432B72"/>
    <w:rsid w:val="00437252"/>
    <w:rsid w:val="004465A1"/>
    <w:rsid w:val="0046049D"/>
    <w:rsid w:val="00475194"/>
    <w:rsid w:val="00490FCA"/>
    <w:rsid w:val="004968C1"/>
    <w:rsid w:val="004974B3"/>
    <w:rsid w:val="004A014F"/>
    <w:rsid w:val="004A5F95"/>
    <w:rsid w:val="004B47D6"/>
    <w:rsid w:val="004C0160"/>
    <w:rsid w:val="004D3F68"/>
    <w:rsid w:val="005028D1"/>
    <w:rsid w:val="005070CE"/>
    <w:rsid w:val="005112F0"/>
    <w:rsid w:val="00532842"/>
    <w:rsid w:val="00534461"/>
    <w:rsid w:val="00541257"/>
    <w:rsid w:val="00573B31"/>
    <w:rsid w:val="005844D9"/>
    <w:rsid w:val="00590377"/>
    <w:rsid w:val="005C4772"/>
    <w:rsid w:val="005D2995"/>
    <w:rsid w:val="005E0076"/>
    <w:rsid w:val="005E4503"/>
    <w:rsid w:val="005E7075"/>
    <w:rsid w:val="005F2F5A"/>
    <w:rsid w:val="006014A2"/>
    <w:rsid w:val="00605862"/>
    <w:rsid w:val="006203A3"/>
    <w:rsid w:val="00643ED9"/>
    <w:rsid w:val="00647120"/>
    <w:rsid w:val="00662A8A"/>
    <w:rsid w:val="006940C6"/>
    <w:rsid w:val="00695C5C"/>
    <w:rsid w:val="006B05B9"/>
    <w:rsid w:val="006B7A85"/>
    <w:rsid w:val="006C3FC2"/>
    <w:rsid w:val="006D14F1"/>
    <w:rsid w:val="006E65C0"/>
    <w:rsid w:val="007058C6"/>
    <w:rsid w:val="007122EF"/>
    <w:rsid w:val="007151CB"/>
    <w:rsid w:val="00727598"/>
    <w:rsid w:val="007310A7"/>
    <w:rsid w:val="00737214"/>
    <w:rsid w:val="00746793"/>
    <w:rsid w:val="00746B6A"/>
    <w:rsid w:val="0075167B"/>
    <w:rsid w:val="00754A59"/>
    <w:rsid w:val="00755339"/>
    <w:rsid w:val="0075678C"/>
    <w:rsid w:val="00777CEC"/>
    <w:rsid w:val="007A0EAE"/>
    <w:rsid w:val="007A622E"/>
    <w:rsid w:val="007B485B"/>
    <w:rsid w:val="007E2785"/>
    <w:rsid w:val="007E79E8"/>
    <w:rsid w:val="007E7CD3"/>
    <w:rsid w:val="007F6085"/>
    <w:rsid w:val="007F6AC2"/>
    <w:rsid w:val="00811954"/>
    <w:rsid w:val="00831061"/>
    <w:rsid w:val="00856C98"/>
    <w:rsid w:val="0085775A"/>
    <w:rsid w:val="00881521"/>
    <w:rsid w:val="00881D37"/>
    <w:rsid w:val="00885506"/>
    <w:rsid w:val="008867C0"/>
    <w:rsid w:val="00890A2C"/>
    <w:rsid w:val="008913B8"/>
    <w:rsid w:val="008925A5"/>
    <w:rsid w:val="008B44D1"/>
    <w:rsid w:val="008D2E91"/>
    <w:rsid w:val="008D7843"/>
    <w:rsid w:val="008E3225"/>
    <w:rsid w:val="008E6DA9"/>
    <w:rsid w:val="0090060B"/>
    <w:rsid w:val="00915244"/>
    <w:rsid w:val="0093081A"/>
    <w:rsid w:val="0093095C"/>
    <w:rsid w:val="009509E6"/>
    <w:rsid w:val="00973C2C"/>
    <w:rsid w:val="00983978"/>
    <w:rsid w:val="0098786D"/>
    <w:rsid w:val="00992C2F"/>
    <w:rsid w:val="009949D9"/>
    <w:rsid w:val="009A7F28"/>
    <w:rsid w:val="009C4947"/>
    <w:rsid w:val="009C5CA6"/>
    <w:rsid w:val="009D2675"/>
    <w:rsid w:val="009F175B"/>
    <w:rsid w:val="009F3D38"/>
    <w:rsid w:val="00A3002B"/>
    <w:rsid w:val="00A42A0C"/>
    <w:rsid w:val="00A43157"/>
    <w:rsid w:val="00A434A6"/>
    <w:rsid w:val="00A60885"/>
    <w:rsid w:val="00A66F41"/>
    <w:rsid w:val="00A70298"/>
    <w:rsid w:val="00A74DE7"/>
    <w:rsid w:val="00A80D16"/>
    <w:rsid w:val="00AC1501"/>
    <w:rsid w:val="00AD3443"/>
    <w:rsid w:val="00AE477D"/>
    <w:rsid w:val="00AF29CB"/>
    <w:rsid w:val="00B17A28"/>
    <w:rsid w:val="00B36652"/>
    <w:rsid w:val="00B449BF"/>
    <w:rsid w:val="00B576AF"/>
    <w:rsid w:val="00B64896"/>
    <w:rsid w:val="00B66753"/>
    <w:rsid w:val="00B7651A"/>
    <w:rsid w:val="00B81215"/>
    <w:rsid w:val="00B97B7B"/>
    <w:rsid w:val="00BA1B78"/>
    <w:rsid w:val="00BC3655"/>
    <w:rsid w:val="00BD03BB"/>
    <w:rsid w:val="00BF0670"/>
    <w:rsid w:val="00BF2FD7"/>
    <w:rsid w:val="00C015A3"/>
    <w:rsid w:val="00C01608"/>
    <w:rsid w:val="00C023B2"/>
    <w:rsid w:val="00C03C96"/>
    <w:rsid w:val="00C06D50"/>
    <w:rsid w:val="00C33680"/>
    <w:rsid w:val="00C44143"/>
    <w:rsid w:val="00C4489D"/>
    <w:rsid w:val="00C5105A"/>
    <w:rsid w:val="00C61522"/>
    <w:rsid w:val="00C65840"/>
    <w:rsid w:val="00C726C2"/>
    <w:rsid w:val="00C771EA"/>
    <w:rsid w:val="00C828E2"/>
    <w:rsid w:val="00CA5938"/>
    <w:rsid w:val="00CB7C60"/>
    <w:rsid w:val="00CD7C7B"/>
    <w:rsid w:val="00CE4EC0"/>
    <w:rsid w:val="00CF0127"/>
    <w:rsid w:val="00CF294E"/>
    <w:rsid w:val="00D0150A"/>
    <w:rsid w:val="00D05245"/>
    <w:rsid w:val="00D0568E"/>
    <w:rsid w:val="00D06244"/>
    <w:rsid w:val="00D135F1"/>
    <w:rsid w:val="00D14C2E"/>
    <w:rsid w:val="00D17EE8"/>
    <w:rsid w:val="00D210F1"/>
    <w:rsid w:val="00D2CC2B"/>
    <w:rsid w:val="00D30A4F"/>
    <w:rsid w:val="00D43EC4"/>
    <w:rsid w:val="00D47F61"/>
    <w:rsid w:val="00D53992"/>
    <w:rsid w:val="00D571B1"/>
    <w:rsid w:val="00D60AAC"/>
    <w:rsid w:val="00D618E2"/>
    <w:rsid w:val="00D742CC"/>
    <w:rsid w:val="00DE7D43"/>
    <w:rsid w:val="00DF6334"/>
    <w:rsid w:val="00E021DB"/>
    <w:rsid w:val="00E0450F"/>
    <w:rsid w:val="00E0539C"/>
    <w:rsid w:val="00E07F24"/>
    <w:rsid w:val="00E13C04"/>
    <w:rsid w:val="00E24A1B"/>
    <w:rsid w:val="00E32D5F"/>
    <w:rsid w:val="00E5196B"/>
    <w:rsid w:val="00E8124D"/>
    <w:rsid w:val="00E923CE"/>
    <w:rsid w:val="00EA5D79"/>
    <w:rsid w:val="00EB1650"/>
    <w:rsid w:val="00EB73F6"/>
    <w:rsid w:val="00EC2EB8"/>
    <w:rsid w:val="00EC3CF0"/>
    <w:rsid w:val="00EE42DC"/>
    <w:rsid w:val="00EE71F1"/>
    <w:rsid w:val="00F10439"/>
    <w:rsid w:val="00F154C3"/>
    <w:rsid w:val="00F266BA"/>
    <w:rsid w:val="00F304BA"/>
    <w:rsid w:val="00F46A03"/>
    <w:rsid w:val="00F53AB7"/>
    <w:rsid w:val="00F54D9D"/>
    <w:rsid w:val="00F7694C"/>
    <w:rsid w:val="00F837AF"/>
    <w:rsid w:val="00F87935"/>
    <w:rsid w:val="00FB65D5"/>
    <w:rsid w:val="00FC36CE"/>
    <w:rsid w:val="00FC7026"/>
    <w:rsid w:val="00FE0296"/>
    <w:rsid w:val="00FE0739"/>
    <w:rsid w:val="00FE2E52"/>
    <w:rsid w:val="00FE5406"/>
    <w:rsid w:val="00FF3544"/>
    <w:rsid w:val="01B62580"/>
    <w:rsid w:val="01CBE6F4"/>
    <w:rsid w:val="0219D9CB"/>
    <w:rsid w:val="0238E337"/>
    <w:rsid w:val="027CF923"/>
    <w:rsid w:val="0367B755"/>
    <w:rsid w:val="037EA4D1"/>
    <w:rsid w:val="03EDC86B"/>
    <w:rsid w:val="0417B249"/>
    <w:rsid w:val="04CFF3BE"/>
    <w:rsid w:val="05BCA99F"/>
    <w:rsid w:val="05D634EE"/>
    <w:rsid w:val="06FAF9B7"/>
    <w:rsid w:val="09DEDAB3"/>
    <w:rsid w:val="0A442C0A"/>
    <w:rsid w:val="0B0D07F9"/>
    <w:rsid w:val="0BC1C697"/>
    <w:rsid w:val="0C4FD7C2"/>
    <w:rsid w:val="0C6DB357"/>
    <w:rsid w:val="0E8BCA8B"/>
    <w:rsid w:val="14A29BA7"/>
    <w:rsid w:val="16979095"/>
    <w:rsid w:val="1998E31B"/>
    <w:rsid w:val="199B216B"/>
    <w:rsid w:val="1AE28363"/>
    <w:rsid w:val="1CD083DD"/>
    <w:rsid w:val="1DAF8393"/>
    <w:rsid w:val="1EC26391"/>
    <w:rsid w:val="1F28B1A5"/>
    <w:rsid w:val="21301371"/>
    <w:rsid w:val="233CEA3F"/>
    <w:rsid w:val="2347B2E7"/>
    <w:rsid w:val="24DB95C2"/>
    <w:rsid w:val="25267B65"/>
    <w:rsid w:val="28C26D3D"/>
    <w:rsid w:val="28E7A8C2"/>
    <w:rsid w:val="2993B85C"/>
    <w:rsid w:val="29B1E9FB"/>
    <w:rsid w:val="2AE6E836"/>
    <w:rsid w:val="2B399C6F"/>
    <w:rsid w:val="31C36B69"/>
    <w:rsid w:val="32F4B902"/>
    <w:rsid w:val="335DD6B1"/>
    <w:rsid w:val="359ED30B"/>
    <w:rsid w:val="366657E5"/>
    <w:rsid w:val="3942BF01"/>
    <w:rsid w:val="39CBBF30"/>
    <w:rsid w:val="3CF27D34"/>
    <w:rsid w:val="3D04B8F7"/>
    <w:rsid w:val="3D98ACA5"/>
    <w:rsid w:val="42D88007"/>
    <w:rsid w:val="43CC3416"/>
    <w:rsid w:val="45301562"/>
    <w:rsid w:val="4563899F"/>
    <w:rsid w:val="45E63838"/>
    <w:rsid w:val="46699DAA"/>
    <w:rsid w:val="4BF13ECA"/>
    <w:rsid w:val="4C6639F0"/>
    <w:rsid w:val="4C78C0DE"/>
    <w:rsid w:val="4DF57757"/>
    <w:rsid w:val="4F9147B8"/>
    <w:rsid w:val="511BDD42"/>
    <w:rsid w:val="51C71EC1"/>
    <w:rsid w:val="51DAC722"/>
    <w:rsid w:val="5242C3DA"/>
    <w:rsid w:val="539E1FA7"/>
    <w:rsid w:val="54537E04"/>
    <w:rsid w:val="5464B8DB"/>
    <w:rsid w:val="55EF4E65"/>
    <w:rsid w:val="571634FD"/>
    <w:rsid w:val="579C599D"/>
    <w:rsid w:val="593829FE"/>
    <w:rsid w:val="5AC2BF88"/>
    <w:rsid w:val="5B8A4073"/>
    <w:rsid w:val="5E6DC964"/>
    <w:rsid w:val="5E9303C8"/>
    <w:rsid w:val="5F9630AB"/>
    <w:rsid w:val="6132010C"/>
    <w:rsid w:val="63126E34"/>
    <w:rsid w:val="63E85998"/>
    <w:rsid w:val="659875EC"/>
    <w:rsid w:val="6637D5C0"/>
    <w:rsid w:val="683811D2"/>
    <w:rsid w:val="683AF43B"/>
    <w:rsid w:val="6929C546"/>
    <w:rsid w:val="69E7D1BA"/>
    <w:rsid w:val="6A28E85E"/>
    <w:rsid w:val="6AA693BA"/>
    <w:rsid w:val="6B76C345"/>
    <w:rsid w:val="6C5C03E0"/>
    <w:rsid w:val="6CCE0F07"/>
    <w:rsid w:val="6D2D449F"/>
    <w:rsid w:val="6E3B739A"/>
    <w:rsid w:val="7086EF0B"/>
    <w:rsid w:val="73CFCAA4"/>
    <w:rsid w:val="73FDE1CD"/>
    <w:rsid w:val="75C1BFFC"/>
    <w:rsid w:val="768D1F2F"/>
    <w:rsid w:val="76DD0832"/>
    <w:rsid w:val="76E34D56"/>
    <w:rsid w:val="76F6308F"/>
    <w:rsid w:val="780E81DF"/>
    <w:rsid w:val="784B4898"/>
    <w:rsid w:val="7BC9A1B2"/>
    <w:rsid w:val="7D0636C7"/>
    <w:rsid w:val="7D657213"/>
    <w:rsid w:val="7F0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paragraph" w:customStyle="1" w:styleId="table">
    <w:name w:val="table"/>
    <w:basedOn w:val="Normal"/>
    <w:link w:val="tableChar"/>
    <w:qFormat/>
    <w:rsid w:val="00184FF2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paragraph" w:customStyle="1" w:styleId="tableheading">
    <w:name w:val="table heading"/>
    <w:basedOn w:val="Normal"/>
    <w:link w:val="tableheadingChar"/>
    <w:qFormat/>
    <w:rsid w:val="00184FF2"/>
    <w:pPr>
      <w:framePr w:hSpace="180" w:wrap="around" w:vAnchor="text" w:hAnchor="margin" w:y="843"/>
      <w:spacing w:after="0" w:line="240" w:lineRule="auto"/>
      <w:contextualSpacing/>
      <w:jc w:val="center"/>
    </w:pPr>
    <w:rPr>
      <w:rFonts w:ascii="Arial" w:hAnsi="Arial" w:cs="Arial"/>
      <w:bCs/>
      <w:noProof/>
      <w:color w:val="FFFFFF" w:themeColor="background1"/>
      <w:sz w:val="24"/>
    </w:rPr>
  </w:style>
  <w:style w:type="character" w:customStyle="1" w:styleId="tableChar">
    <w:name w:val="table Char"/>
    <w:basedOn w:val="DefaultParagraphFont"/>
    <w:link w:val="table"/>
    <w:rsid w:val="00184FF2"/>
    <w:rPr>
      <w:rFonts w:ascii="Arial" w:hAnsi="Arial" w:cs="Arial"/>
      <w:noProof/>
    </w:rPr>
  </w:style>
  <w:style w:type="character" w:customStyle="1" w:styleId="tableheadingChar">
    <w:name w:val="table heading Char"/>
    <w:basedOn w:val="DefaultParagraphFont"/>
    <w:link w:val="tableheading"/>
    <w:rsid w:val="00184FF2"/>
    <w:rPr>
      <w:rFonts w:ascii="Arial" w:hAnsi="Arial" w:cs="Arial"/>
      <w:bCs/>
      <w:noProof/>
      <w:color w:val="FFFFFF" w:themeColor="background1"/>
      <w:sz w:val="24"/>
    </w:rPr>
  </w:style>
  <w:style w:type="character" w:customStyle="1" w:styleId="hotkey-layer">
    <w:name w:val="hotkey-layer"/>
    <w:basedOn w:val="DefaultParagraphFont"/>
    <w:rsid w:val="00D618E2"/>
  </w:style>
  <w:style w:type="paragraph" w:customStyle="1" w:styleId="paragraph">
    <w:name w:val="paragraph"/>
    <w:basedOn w:val="Normal"/>
    <w:rsid w:val="009D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54BC6-23DF-484C-B1C0-232168928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6C64D-C79E-430A-8A86-0BC6079B6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9A48C-C747-454B-AB0B-9D5CBAAC95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89CCA-8337-49CB-A0F7-09438C2EE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5</TotalTime>
  <Pages>1</Pages>
  <Words>332</Words>
  <Characters>1665</Characters>
  <Application>Microsoft Office Word</Application>
  <DocSecurity>0</DocSecurity>
  <Lines>333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Otitis Media (AOM) – Discussion Guide</dc:title>
  <dc:subject>Otitis Media</dc:subject>
  <dc:creator>"Agency for Healthcare Research and Quality (AHRQ)"</dc:creator>
  <cp:keywords>antibiotics</cp:keywords>
  <cp:lastModifiedBy>Heidenrich, Christine (AHRQ/OC) (CTR)</cp:lastModifiedBy>
  <cp:revision>4</cp:revision>
  <dcterms:created xsi:type="dcterms:W3CDTF">2022-08-12T13:14:00Z</dcterms:created>
  <dcterms:modified xsi:type="dcterms:W3CDTF">2022-08-27T14:44:00Z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