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5B28" w14:textId="77777777" w:rsidR="00853FE1" w:rsidRDefault="004465A1" w:rsidP="00853FE1">
      <w:pPr>
        <w:pStyle w:val="Heading1"/>
        <w:ind w:left="-1080"/>
      </w:pPr>
      <w:r w:rsidRPr="00552F81">
        <w:rPr>
          <w:noProof/>
        </w:rPr>
        <mc:AlternateContent>
          <mc:Choice Requires="wps">
            <w:drawing>
              <wp:inline distT="0" distB="0" distL="0" distR="0" wp14:anchorId="5182B960" wp14:editId="1F0E83A9">
                <wp:extent cx="7315200" cy="56197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61975"/>
                        </a:xfrm>
                        <a:prstGeom prst="rect">
                          <a:avLst/>
                        </a:prstGeom>
                        <a:solidFill>
                          <a:srgbClr val="009FC1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376F" w14:textId="013290EB" w:rsidR="004465A1" w:rsidRPr="004465A1" w:rsidRDefault="004D325A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</w:rPr>
                              <w:t xml:space="preserve">Diverticulitis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82B9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in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" fillcolor="#009fc1" strokecolor="#31849b [2408]">
                <v:textbox>
                  <w:txbxContent>
                    <w:p w14:paraId="3334376F" w14:textId="013290EB" w:rsidR="004465A1" w:rsidRPr="004465A1" w:rsidRDefault="004D325A">
                      <w:pPr>
                        <w:rPr>
                          <w:color w:val="FFFFFF" w:themeColor="background1"/>
                          <w:sz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</w:rPr>
                        <w:t xml:space="preserve">Diverticulitis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53FE1">
        <w:t xml:space="preserve">    </w:t>
      </w:r>
    </w:p>
    <w:p w14:paraId="203D2B26" w14:textId="77777777" w:rsidR="00853FE1" w:rsidRDefault="00853FE1" w:rsidP="00853FE1">
      <w:pPr>
        <w:pStyle w:val="Heading1"/>
        <w:ind w:left="-1080"/>
      </w:pPr>
    </w:p>
    <w:p w14:paraId="5680D708" w14:textId="7E3FBE0A" w:rsidR="00383CB5" w:rsidRPr="00C81ADE" w:rsidRDefault="00853FE1" w:rsidP="00853FE1">
      <w:pPr>
        <w:pStyle w:val="Heading1"/>
        <w:ind w:left="-1080"/>
      </w:pPr>
      <w:r>
        <w:t xml:space="preserve">        </w:t>
      </w:r>
      <w:r w:rsidR="004A5F95" w:rsidRPr="001C0563">
        <w:t>Diagnosis</w:t>
      </w:r>
    </w:p>
    <w:p w14:paraId="52FFE2B7" w14:textId="419FA256" w:rsidR="00D53992" w:rsidRPr="00C81ADE" w:rsidRDefault="00D53992" w:rsidP="003950D6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C81ADE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430A01BA" wp14:editId="2F398BCF">
                <wp:extent cx="6610350" cy="28575"/>
                <wp:effectExtent l="19050" t="19050" r="19050" b="28575"/>
                <wp:docPr id="2" name="Straight Connector 2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365668" id="Straight Connector 2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" strokecolor="#009fc1" strokeweight="2.5pt">
                <w10:anchorlock/>
              </v:line>
            </w:pict>
          </mc:Fallback>
        </mc:AlternateContent>
      </w:r>
    </w:p>
    <w:p w14:paraId="41D639DA" w14:textId="77777777" w:rsidR="004D325A" w:rsidRPr="00C81ADE" w:rsidRDefault="004D325A" w:rsidP="00C81AD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C81ADE">
        <w:rPr>
          <w:rFonts w:ascii="Arial" w:hAnsi="Arial" w:cs="Arial"/>
          <w:noProof/>
          <w:sz w:val="24"/>
          <w:szCs w:val="24"/>
        </w:rPr>
        <w:t xml:space="preserve">Abdominal pain (usually left lower quadrant, ~90%), low-grade fever (~90%) </w:t>
      </w:r>
    </w:p>
    <w:p w14:paraId="52762E32" w14:textId="47BDB58F" w:rsidR="004D325A" w:rsidRPr="00C81ADE" w:rsidRDefault="00645B8F" w:rsidP="00C81AD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Diagnostic testing: </w:t>
      </w:r>
      <w:r w:rsidR="003C760A">
        <w:rPr>
          <w:rFonts w:ascii="Arial" w:hAnsi="Arial" w:cs="Arial"/>
          <w:noProof/>
          <w:sz w:val="24"/>
          <w:szCs w:val="24"/>
        </w:rPr>
        <w:t>computed tomography (</w:t>
      </w:r>
      <w:r w:rsidR="001557A2">
        <w:rPr>
          <w:rFonts w:ascii="Arial" w:hAnsi="Arial" w:cs="Arial"/>
          <w:noProof/>
          <w:sz w:val="24"/>
          <w:szCs w:val="24"/>
        </w:rPr>
        <w:t>CT</w:t>
      </w:r>
      <w:r w:rsidR="003C760A">
        <w:rPr>
          <w:rFonts w:ascii="Arial" w:hAnsi="Arial" w:cs="Arial"/>
          <w:noProof/>
          <w:sz w:val="24"/>
          <w:szCs w:val="24"/>
        </w:rPr>
        <w:t>) scan</w:t>
      </w:r>
      <w:r w:rsidR="001557A2">
        <w:rPr>
          <w:rFonts w:ascii="Arial" w:hAnsi="Arial" w:cs="Arial"/>
          <w:noProof/>
          <w:sz w:val="24"/>
          <w:szCs w:val="24"/>
        </w:rPr>
        <w:t xml:space="preserve"> of abdomen </w:t>
      </w:r>
      <w:r w:rsidR="004D325A" w:rsidRPr="00C81ADE">
        <w:rPr>
          <w:rFonts w:ascii="Arial" w:hAnsi="Arial" w:cs="Arial"/>
          <w:noProof/>
          <w:sz w:val="24"/>
          <w:szCs w:val="24"/>
        </w:rPr>
        <w:t xml:space="preserve">for diagnosis and complications (e.g., abscess, perforation) </w:t>
      </w:r>
    </w:p>
    <w:p w14:paraId="546CDA5B" w14:textId="0AC9195E" w:rsidR="00645B8F" w:rsidRPr="00EA7CB0" w:rsidRDefault="004D325A" w:rsidP="00C81AD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C81ADE">
        <w:rPr>
          <w:rFonts w:ascii="Arial" w:hAnsi="Arial" w:cs="Arial"/>
          <w:noProof/>
          <w:sz w:val="24"/>
          <w:szCs w:val="24"/>
        </w:rPr>
        <w:t xml:space="preserve">Microbiology: </w:t>
      </w:r>
      <w:r w:rsidR="009136D5">
        <w:rPr>
          <w:rFonts w:ascii="Arial" w:hAnsi="Arial" w:cs="Arial"/>
          <w:i/>
          <w:noProof/>
          <w:sz w:val="24"/>
          <w:szCs w:val="24"/>
        </w:rPr>
        <w:t>Escherichia coli, Klebsiella</w:t>
      </w:r>
      <w:r w:rsidRPr="00C81ADE">
        <w:rPr>
          <w:rFonts w:ascii="Arial" w:hAnsi="Arial" w:cs="Arial"/>
          <w:i/>
          <w:noProof/>
          <w:sz w:val="24"/>
          <w:szCs w:val="24"/>
        </w:rPr>
        <w:t xml:space="preserve"> pneumoniae, B</w:t>
      </w:r>
      <w:r w:rsidR="009136D5">
        <w:rPr>
          <w:rFonts w:ascii="Arial" w:hAnsi="Arial" w:cs="Arial"/>
          <w:i/>
          <w:noProof/>
          <w:sz w:val="24"/>
          <w:szCs w:val="24"/>
        </w:rPr>
        <w:t>acteroides</w:t>
      </w:r>
      <w:r w:rsidRPr="00C81ADE">
        <w:rPr>
          <w:rFonts w:ascii="Arial" w:hAnsi="Arial" w:cs="Arial"/>
          <w:i/>
          <w:noProof/>
          <w:sz w:val="24"/>
          <w:szCs w:val="24"/>
        </w:rPr>
        <w:t xml:space="preserve"> fragilis </w:t>
      </w:r>
    </w:p>
    <w:p w14:paraId="1AD71161" w14:textId="2F07AC61" w:rsidR="004D325A" w:rsidRPr="00C81ADE" w:rsidRDefault="004D325A" w:rsidP="00EA7CB0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C81ADE">
        <w:rPr>
          <w:rFonts w:ascii="Arial" w:hAnsi="Arial" w:cs="Arial"/>
          <w:i/>
          <w:noProof/>
          <w:sz w:val="24"/>
          <w:szCs w:val="24"/>
        </w:rPr>
        <w:t>S</w:t>
      </w:r>
      <w:r w:rsidR="009136D5">
        <w:rPr>
          <w:rFonts w:ascii="Arial" w:hAnsi="Arial" w:cs="Arial"/>
          <w:i/>
          <w:noProof/>
          <w:sz w:val="24"/>
          <w:szCs w:val="24"/>
        </w:rPr>
        <w:t>taphylococcus</w:t>
      </w:r>
      <w:r w:rsidRPr="00C81ADE">
        <w:rPr>
          <w:rFonts w:ascii="Arial" w:hAnsi="Arial" w:cs="Arial"/>
          <w:i/>
          <w:noProof/>
          <w:sz w:val="24"/>
          <w:szCs w:val="24"/>
        </w:rPr>
        <w:t xml:space="preserve"> aureus</w:t>
      </w:r>
      <w:r w:rsidRPr="00C81ADE">
        <w:rPr>
          <w:rFonts w:ascii="Arial" w:hAnsi="Arial" w:cs="Arial"/>
          <w:noProof/>
          <w:sz w:val="24"/>
          <w:szCs w:val="24"/>
        </w:rPr>
        <w:t xml:space="preserve"> is generally not a pathogen in intra-abdominal infections</w:t>
      </w:r>
    </w:p>
    <w:p w14:paraId="47C26837" w14:textId="77777777" w:rsidR="004D325A" w:rsidRPr="00C81ADE" w:rsidRDefault="004D325A" w:rsidP="00C81AD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C81ADE">
        <w:rPr>
          <w:rFonts w:ascii="Arial" w:hAnsi="Arial" w:cs="Arial"/>
          <w:noProof/>
          <w:sz w:val="24"/>
          <w:szCs w:val="24"/>
        </w:rPr>
        <w:t>Blood cultures only for severe illness</w:t>
      </w:r>
    </w:p>
    <w:p w14:paraId="38D0804C" w14:textId="09C0AEB1" w:rsidR="00D53992" w:rsidRPr="00C81ADE" w:rsidRDefault="00853FE1" w:rsidP="00853FE1">
      <w:pPr>
        <w:pStyle w:val="Heading1"/>
      </w:pPr>
      <w:r w:rsidRPr="00C81ADE">
        <w:t>Treatment</w:t>
      </w:r>
    </w:p>
    <w:p w14:paraId="0137CC8C" w14:textId="3302EC3E" w:rsidR="00CD7C7B" w:rsidRPr="00C81ADE" w:rsidRDefault="00D53992" w:rsidP="00671ABC">
      <w:pPr>
        <w:pStyle w:val="Heading1"/>
      </w:pPr>
      <w:r w:rsidRPr="00C81ADE">
        <w:rPr>
          <w:noProof/>
        </w:rPr>
        <mc:AlternateContent>
          <mc:Choice Requires="wps">
            <w:drawing>
              <wp:inline distT="0" distB="0" distL="0" distR="0" wp14:anchorId="62435760" wp14:editId="566427DA">
                <wp:extent cx="6610350" cy="28575"/>
                <wp:effectExtent l="19050" t="19050" r="19050" b="28575"/>
                <wp:docPr id="3" name="Straight Connector 3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2418A4" id="Straight Connector 3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" strokecolor="#009fc1" strokeweight="2.5pt">
                <w10:anchorlock/>
              </v:line>
            </w:pict>
          </mc:Fallback>
        </mc:AlternateContent>
      </w:r>
    </w:p>
    <w:p w14:paraId="4430A072" w14:textId="336D8E74" w:rsidR="00C81ADE" w:rsidRPr="00C81ADE" w:rsidRDefault="00C81ADE" w:rsidP="00C81AD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9136D5">
        <w:rPr>
          <w:rFonts w:ascii="Arial" w:hAnsi="Arial" w:cs="Arial"/>
          <w:b/>
          <w:noProof/>
          <w:sz w:val="24"/>
          <w:szCs w:val="24"/>
        </w:rPr>
        <w:t>Acute, uncomplicated diverticulitis</w:t>
      </w:r>
      <w:r w:rsidRPr="00C81ADE">
        <w:rPr>
          <w:rFonts w:ascii="Arial" w:hAnsi="Arial" w:cs="Arial"/>
          <w:noProof/>
          <w:sz w:val="24"/>
          <w:szCs w:val="24"/>
        </w:rPr>
        <w:t xml:space="preserve"> (CT-confirmed left colonic disease without abscess, perforation, fistula; patient can have fever and/or elevated </w:t>
      </w:r>
      <w:r w:rsidR="003C760A">
        <w:rPr>
          <w:rFonts w:ascii="Arial" w:hAnsi="Arial" w:cs="Arial"/>
          <w:noProof/>
          <w:sz w:val="24"/>
          <w:szCs w:val="24"/>
        </w:rPr>
        <w:t>white blood cell count</w:t>
      </w:r>
      <w:r w:rsidRPr="00C81ADE">
        <w:rPr>
          <w:rFonts w:ascii="Arial" w:hAnsi="Arial" w:cs="Arial"/>
          <w:noProof/>
          <w:sz w:val="24"/>
          <w:szCs w:val="24"/>
        </w:rPr>
        <w:t>)</w:t>
      </w:r>
    </w:p>
    <w:p w14:paraId="37229DC2" w14:textId="6D633815" w:rsidR="00C81ADE" w:rsidRPr="009136D5" w:rsidRDefault="009136D5" w:rsidP="009136D5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</w:t>
      </w:r>
      <w:r w:rsidRPr="009136D5">
        <w:rPr>
          <w:rFonts w:ascii="Arial" w:hAnsi="Arial" w:cs="Arial"/>
          <w:noProof/>
          <w:sz w:val="24"/>
          <w:szCs w:val="24"/>
        </w:rPr>
        <w:t>n patients with acute uncomplicated diverticulitis</w:t>
      </w:r>
      <w:r>
        <w:rPr>
          <w:rFonts w:ascii="Arial" w:hAnsi="Arial" w:cs="Arial"/>
          <w:noProof/>
          <w:sz w:val="24"/>
          <w:szCs w:val="24"/>
        </w:rPr>
        <w:t>, t</w:t>
      </w:r>
      <w:r w:rsidR="00C81ADE" w:rsidRPr="00C81ADE">
        <w:rPr>
          <w:rFonts w:ascii="Arial" w:hAnsi="Arial" w:cs="Arial"/>
          <w:noProof/>
          <w:sz w:val="24"/>
          <w:szCs w:val="24"/>
        </w:rPr>
        <w:t>rials suggest that antibiotics do not reduce time to improvement or prevent complications</w:t>
      </w:r>
      <w:r w:rsidR="003C760A">
        <w:rPr>
          <w:rFonts w:ascii="Arial" w:hAnsi="Arial" w:cs="Arial"/>
          <w:noProof/>
          <w:sz w:val="24"/>
          <w:szCs w:val="24"/>
        </w:rPr>
        <w:t>,</w:t>
      </w:r>
      <w:r w:rsidR="00C81ADE" w:rsidRPr="00C81ADE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and </w:t>
      </w:r>
      <w:r w:rsidR="002C0116">
        <w:rPr>
          <w:rFonts w:ascii="Arial" w:hAnsi="Arial" w:cs="Arial"/>
          <w:noProof/>
          <w:sz w:val="24"/>
          <w:szCs w:val="24"/>
        </w:rPr>
        <w:t xml:space="preserve">2015 </w:t>
      </w:r>
      <w:r w:rsidR="00C81ADE" w:rsidRPr="009136D5">
        <w:rPr>
          <w:rFonts w:ascii="Arial" w:hAnsi="Arial" w:cs="Arial"/>
          <w:noProof/>
          <w:sz w:val="24"/>
          <w:szCs w:val="24"/>
        </w:rPr>
        <w:t xml:space="preserve">American Gastroenterological Association Guidelines recommend </w:t>
      </w:r>
      <w:r>
        <w:rPr>
          <w:rFonts w:ascii="Arial" w:hAnsi="Arial" w:cs="Arial"/>
          <w:noProof/>
          <w:sz w:val="24"/>
          <w:szCs w:val="24"/>
        </w:rPr>
        <w:t xml:space="preserve">selective rather than routine antibiotic use </w:t>
      </w:r>
    </w:p>
    <w:p w14:paraId="6E295BAD" w14:textId="7162D73E" w:rsidR="00C81ADE" w:rsidRPr="009136D5" w:rsidRDefault="00C81ADE" w:rsidP="009136D5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9136D5">
        <w:rPr>
          <w:rFonts w:ascii="Arial" w:hAnsi="Arial" w:cs="Arial"/>
          <w:noProof/>
          <w:sz w:val="24"/>
          <w:szCs w:val="24"/>
        </w:rPr>
        <w:t>Oral therapy (preferred</w:t>
      </w:r>
      <w:r w:rsidR="009136D5">
        <w:rPr>
          <w:rFonts w:ascii="Arial" w:hAnsi="Arial" w:cs="Arial"/>
          <w:noProof/>
          <w:sz w:val="24"/>
          <w:szCs w:val="24"/>
        </w:rPr>
        <w:t xml:space="preserve"> if antibiotics are given</w:t>
      </w:r>
      <w:r w:rsidRPr="009136D5">
        <w:rPr>
          <w:rFonts w:ascii="Arial" w:hAnsi="Arial" w:cs="Arial"/>
          <w:noProof/>
          <w:sz w:val="24"/>
          <w:szCs w:val="24"/>
        </w:rPr>
        <w:t xml:space="preserve">): </w:t>
      </w:r>
      <w:r w:rsidRPr="009136D5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43AEF5E8" w14:textId="0CFEBAE8" w:rsidR="00C81ADE" w:rsidRDefault="00C81ADE" w:rsidP="009136D5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9136D5">
        <w:rPr>
          <w:rFonts w:ascii="Arial" w:hAnsi="Arial" w:cs="Arial"/>
          <w:noProof/>
          <w:sz w:val="24"/>
          <w:szCs w:val="24"/>
        </w:rPr>
        <w:t>I</w:t>
      </w:r>
      <w:r w:rsidR="003C760A">
        <w:rPr>
          <w:rFonts w:ascii="Arial" w:hAnsi="Arial" w:cs="Arial"/>
          <w:noProof/>
          <w:sz w:val="24"/>
          <w:szCs w:val="24"/>
        </w:rPr>
        <w:t>ntravenous</w:t>
      </w:r>
      <w:r w:rsidRPr="009136D5">
        <w:rPr>
          <w:rFonts w:ascii="Arial" w:hAnsi="Arial" w:cs="Arial"/>
          <w:noProof/>
          <w:sz w:val="24"/>
          <w:szCs w:val="24"/>
        </w:rPr>
        <w:t xml:space="preserve"> therapy: [</w:t>
      </w:r>
      <w:r w:rsidRPr="009136D5">
        <w:rPr>
          <w:rFonts w:ascii="Arial" w:hAnsi="Arial" w:cs="Arial"/>
          <w:noProof/>
          <w:sz w:val="24"/>
          <w:szCs w:val="24"/>
          <w:highlight w:val="lightGray"/>
        </w:rPr>
        <w:t>Place local recommendations here]</w:t>
      </w:r>
    </w:p>
    <w:p w14:paraId="4B695324" w14:textId="77777777" w:rsidR="009136D5" w:rsidRPr="009136D5" w:rsidRDefault="009136D5" w:rsidP="009136D5">
      <w:pPr>
        <w:pStyle w:val="ListParagraph"/>
        <w:spacing w:after="0" w:line="240" w:lineRule="auto"/>
        <w:ind w:left="360" w:right="-540"/>
        <w:contextualSpacing/>
        <w:rPr>
          <w:rFonts w:ascii="Arial" w:hAnsi="Arial" w:cs="Arial"/>
          <w:noProof/>
          <w:sz w:val="12"/>
          <w:szCs w:val="24"/>
        </w:rPr>
      </w:pPr>
    </w:p>
    <w:p w14:paraId="2A1C9B13" w14:textId="77777777" w:rsidR="00C81ADE" w:rsidRPr="00C81ADE" w:rsidRDefault="00C81ADE" w:rsidP="00C81AD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9136D5">
        <w:rPr>
          <w:rFonts w:ascii="Arial" w:hAnsi="Arial" w:cs="Arial"/>
          <w:b/>
          <w:noProof/>
          <w:sz w:val="24"/>
          <w:szCs w:val="24"/>
        </w:rPr>
        <w:t>Complicated diverticulitis</w:t>
      </w:r>
      <w:r w:rsidRPr="00C81ADE">
        <w:rPr>
          <w:rFonts w:ascii="Arial" w:hAnsi="Arial" w:cs="Arial"/>
          <w:noProof/>
          <w:sz w:val="24"/>
          <w:szCs w:val="24"/>
        </w:rPr>
        <w:t xml:space="preserve"> (CT-confimed diverticulitis associated with abscess, fistula, obstruction, perforation, peritonitis) in a stable patient</w:t>
      </w:r>
    </w:p>
    <w:p w14:paraId="267600EB" w14:textId="77777777" w:rsidR="00C81ADE" w:rsidRPr="00C81ADE" w:rsidRDefault="00C81ADE" w:rsidP="00C81ADE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C81ADE">
        <w:rPr>
          <w:rFonts w:ascii="Arial" w:hAnsi="Arial" w:cs="Arial"/>
          <w:noProof/>
          <w:sz w:val="24"/>
          <w:szCs w:val="24"/>
        </w:rPr>
        <w:t>Source control via percutaneous drain or operation when possible</w:t>
      </w:r>
    </w:p>
    <w:p w14:paraId="180E091F" w14:textId="77777777" w:rsidR="00C81ADE" w:rsidRPr="00C81ADE" w:rsidRDefault="00C81ADE" w:rsidP="00C81ADE">
      <w:pPr>
        <w:pStyle w:val="ListParagraph"/>
        <w:numPr>
          <w:ilvl w:val="2"/>
          <w:numId w:val="6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C81ADE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6D80A441" w14:textId="38713FC5" w:rsidR="00C81ADE" w:rsidRDefault="00C81ADE" w:rsidP="00C81ADE">
      <w:pPr>
        <w:pStyle w:val="ListParagraph"/>
        <w:numPr>
          <w:ilvl w:val="2"/>
          <w:numId w:val="6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C81ADE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7BB1C0C1" w14:textId="77777777" w:rsidR="00A555D1" w:rsidRPr="00A555D1" w:rsidRDefault="00A555D1" w:rsidP="00A555D1">
      <w:pPr>
        <w:pStyle w:val="ListParagraph"/>
        <w:spacing w:after="0" w:line="240" w:lineRule="auto"/>
        <w:ind w:left="360" w:right="-540"/>
        <w:contextualSpacing/>
        <w:rPr>
          <w:rFonts w:ascii="Arial" w:hAnsi="Arial" w:cs="Arial"/>
          <w:noProof/>
          <w:sz w:val="12"/>
          <w:szCs w:val="24"/>
          <w:highlight w:val="lightGray"/>
        </w:rPr>
      </w:pPr>
    </w:p>
    <w:p w14:paraId="7B2A4214" w14:textId="7CDC9FFF" w:rsidR="00C81ADE" w:rsidRPr="00A555D1" w:rsidRDefault="00C81ADE" w:rsidP="00C81AD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A555D1">
        <w:rPr>
          <w:rFonts w:ascii="Arial" w:hAnsi="Arial" w:cs="Arial"/>
          <w:b/>
          <w:noProof/>
          <w:sz w:val="24"/>
          <w:szCs w:val="24"/>
        </w:rPr>
        <w:t>Diverticulitis in a sever</w:t>
      </w:r>
      <w:r w:rsidR="006B2FC3">
        <w:rPr>
          <w:rFonts w:ascii="Arial" w:hAnsi="Arial" w:cs="Arial"/>
          <w:b/>
          <w:noProof/>
          <w:sz w:val="24"/>
          <w:szCs w:val="24"/>
        </w:rPr>
        <w:t>e</w:t>
      </w:r>
      <w:r w:rsidRPr="00A555D1">
        <w:rPr>
          <w:rFonts w:ascii="Arial" w:hAnsi="Arial" w:cs="Arial"/>
          <w:b/>
          <w:noProof/>
          <w:sz w:val="24"/>
          <w:szCs w:val="24"/>
        </w:rPr>
        <w:t>ly ill patient</w:t>
      </w:r>
    </w:p>
    <w:p w14:paraId="1AFA8256" w14:textId="77777777" w:rsidR="00A555D1" w:rsidRPr="00A555D1" w:rsidRDefault="00C81ADE" w:rsidP="009136D5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C81ADE">
        <w:rPr>
          <w:rFonts w:ascii="Arial" w:hAnsi="Arial" w:cs="Arial"/>
          <w:noProof/>
          <w:sz w:val="24"/>
          <w:szCs w:val="24"/>
        </w:rPr>
        <w:t xml:space="preserve">Broader coverage for </w:t>
      </w:r>
      <w:r w:rsidRPr="00C81ADE">
        <w:rPr>
          <w:rFonts w:ascii="Arial" w:hAnsi="Arial" w:cs="Arial"/>
          <w:i/>
          <w:noProof/>
          <w:sz w:val="24"/>
          <w:szCs w:val="24"/>
        </w:rPr>
        <w:t>Enterobacteriaceae spp.</w:t>
      </w:r>
      <w:r w:rsidRPr="00C81ADE">
        <w:rPr>
          <w:rFonts w:ascii="Arial" w:hAnsi="Arial" w:cs="Arial"/>
          <w:noProof/>
          <w:sz w:val="24"/>
          <w:szCs w:val="24"/>
        </w:rPr>
        <w:t xml:space="preserve"> </w:t>
      </w:r>
      <w:r w:rsidRPr="00EA7CB0">
        <w:rPr>
          <w:rFonts w:ascii="Arial" w:hAnsi="Arial" w:cs="Arial"/>
          <w:noProof/>
          <w:sz w:val="24"/>
          <w:szCs w:val="24"/>
          <w:u w:val="single"/>
        </w:rPr>
        <w:t>and</w:t>
      </w:r>
      <w:r w:rsidRPr="00C81ADE">
        <w:rPr>
          <w:rFonts w:ascii="Arial" w:hAnsi="Arial" w:cs="Arial"/>
          <w:noProof/>
          <w:sz w:val="24"/>
          <w:szCs w:val="24"/>
        </w:rPr>
        <w:t xml:space="preserve"> </w:t>
      </w:r>
      <w:r w:rsidRPr="00C81ADE">
        <w:rPr>
          <w:rFonts w:ascii="Arial" w:hAnsi="Arial" w:cs="Arial"/>
          <w:i/>
          <w:noProof/>
          <w:sz w:val="24"/>
          <w:szCs w:val="24"/>
        </w:rPr>
        <w:t>Pseudomonas aeruginosa</w:t>
      </w:r>
    </w:p>
    <w:p w14:paraId="50C78C99" w14:textId="77777777" w:rsidR="00A555D1" w:rsidRPr="00EA7CB0" w:rsidRDefault="009136D5" w:rsidP="00EA7CB0">
      <w:pPr>
        <w:pStyle w:val="ListParagraph"/>
        <w:numPr>
          <w:ilvl w:val="2"/>
          <w:numId w:val="6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A555D1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2D859920" w14:textId="2D8789CE" w:rsidR="00C7216E" w:rsidRDefault="009136D5" w:rsidP="00EA7CB0">
      <w:pPr>
        <w:pStyle w:val="ListParagraph"/>
        <w:numPr>
          <w:ilvl w:val="2"/>
          <w:numId w:val="6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A555D1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513862D2" w14:textId="77777777" w:rsidR="009D6BAB" w:rsidRDefault="009D6BAB" w:rsidP="009D6BAB">
      <w:pPr>
        <w:pStyle w:val="ListParagraph"/>
        <w:numPr>
          <w:ilvl w:val="2"/>
          <w:numId w:val="6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A555D1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7F6D6B72" w14:textId="77777777" w:rsidR="00C7216E" w:rsidRDefault="00C7216E" w:rsidP="00C7216E">
      <w:pPr>
        <w:spacing w:after="0" w:line="240" w:lineRule="auto"/>
        <w:ind w:right="-540"/>
        <w:contextualSpacing/>
        <w:rPr>
          <w:rFonts w:ascii="Arial" w:eastAsia="Calibri" w:hAnsi="Arial" w:cs="Arial"/>
          <w:noProof/>
          <w:sz w:val="12"/>
          <w:szCs w:val="24"/>
        </w:rPr>
      </w:pPr>
    </w:p>
    <w:p w14:paraId="19D375B7" w14:textId="235503B1" w:rsidR="00C7216E" w:rsidRPr="00A555D1" w:rsidRDefault="00C7216E" w:rsidP="00C7216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Narrowing and oral the</w:t>
      </w:r>
      <w:r w:rsidR="005B1858">
        <w:rPr>
          <w:rFonts w:ascii="Arial" w:hAnsi="Arial" w:cs="Arial"/>
          <w:b/>
          <w:noProof/>
          <w:sz w:val="24"/>
          <w:szCs w:val="24"/>
        </w:rPr>
        <w:t>r</w:t>
      </w:r>
      <w:r>
        <w:rPr>
          <w:rFonts w:ascii="Arial" w:hAnsi="Arial" w:cs="Arial"/>
          <w:b/>
          <w:noProof/>
          <w:sz w:val="24"/>
          <w:szCs w:val="24"/>
        </w:rPr>
        <w:t>apy</w:t>
      </w:r>
    </w:p>
    <w:p w14:paraId="3576C9D2" w14:textId="0985FFB6" w:rsidR="00C7216E" w:rsidRDefault="00C7216E" w:rsidP="00C7216E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Narrow based on available culture data</w:t>
      </w:r>
    </w:p>
    <w:p w14:paraId="04D51FC1" w14:textId="3157D099" w:rsidR="00C7216E" w:rsidRDefault="00C7216E" w:rsidP="00C7216E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C81ADE">
        <w:rPr>
          <w:rFonts w:ascii="Arial" w:hAnsi="Arial" w:cs="Arial"/>
          <w:noProof/>
          <w:sz w:val="24"/>
          <w:szCs w:val="24"/>
        </w:rPr>
        <w:t>Consider transition to oral therapy when patient shows clinical improvement (usually by 48</w:t>
      </w:r>
      <w:r w:rsidR="005B1858">
        <w:rPr>
          <w:rFonts w:ascii="Arial" w:hAnsi="Arial" w:cs="Arial"/>
          <w:noProof/>
          <w:sz w:val="24"/>
          <w:szCs w:val="24"/>
        </w:rPr>
        <w:t>–</w:t>
      </w:r>
      <w:r w:rsidRPr="00C81ADE">
        <w:rPr>
          <w:rFonts w:ascii="Arial" w:hAnsi="Arial" w:cs="Arial"/>
          <w:noProof/>
          <w:sz w:val="24"/>
          <w:szCs w:val="24"/>
        </w:rPr>
        <w:t>72 hours) and</w:t>
      </w:r>
      <w:r w:rsidR="007470F9">
        <w:rPr>
          <w:rFonts w:ascii="Arial" w:hAnsi="Arial" w:cs="Arial"/>
          <w:noProof/>
          <w:sz w:val="24"/>
          <w:szCs w:val="24"/>
        </w:rPr>
        <w:t>/or</w:t>
      </w:r>
      <w:r w:rsidRPr="00C81ADE">
        <w:rPr>
          <w:rFonts w:ascii="Arial" w:hAnsi="Arial" w:cs="Arial"/>
          <w:noProof/>
          <w:sz w:val="24"/>
          <w:szCs w:val="24"/>
        </w:rPr>
        <w:t xml:space="preserve"> source control is achieved </w:t>
      </w:r>
    </w:p>
    <w:p w14:paraId="5BD496C2" w14:textId="0943EF0E" w:rsidR="00C81ADE" w:rsidRDefault="00C81ADE" w:rsidP="00C7216E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C7216E">
        <w:rPr>
          <w:rFonts w:ascii="Arial" w:hAnsi="Arial" w:cs="Arial"/>
          <w:noProof/>
          <w:sz w:val="24"/>
          <w:szCs w:val="24"/>
        </w:rPr>
        <w:t xml:space="preserve">Oral </w:t>
      </w:r>
      <w:r w:rsidR="009D6BAB">
        <w:rPr>
          <w:rFonts w:ascii="Arial" w:hAnsi="Arial" w:cs="Arial"/>
          <w:noProof/>
          <w:sz w:val="24"/>
          <w:szCs w:val="24"/>
        </w:rPr>
        <w:t>therapy</w:t>
      </w:r>
      <w:r w:rsidRPr="00C7216E">
        <w:rPr>
          <w:rFonts w:ascii="Arial" w:hAnsi="Arial" w:cs="Arial"/>
          <w:noProof/>
          <w:sz w:val="24"/>
          <w:szCs w:val="24"/>
        </w:rPr>
        <w:t xml:space="preserve">: </w:t>
      </w:r>
      <w:r w:rsidRPr="00C7216E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7C0BAB07" w14:textId="77777777" w:rsidR="00C7216E" w:rsidRPr="00C7216E" w:rsidRDefault="00C7216E" w:rsidP="00C7216E">
      <w:pPr>
        <w:pStyle w:val="ListParagraph"/>
        <w:spacing w:after="0" w:line="240" w:lineRule="auto"/>
        <w:ind w:left="360" w:right="-540"/>
        <w:contextualSpacing/>
        <w:rPr>
          <w:rFonts w:ascii="Arial" w:hAnsi="Arial" w:cs="Arial"/>
          <w:noProof/>
          <w:sz w:val="12"/>
          <w:szCs w:val="24"/>
        </w:rPr>
      </w:pPr>
    </w:p>
    <w:p w14:paraId="05A86E37" w14:textId="77777777" w:rsidR="00C81ADE" w:rsidRPr="00C81ADE" w:rsidRDefault="00C81ADE" w:rsidP="00C81AD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C81ADE">
        <w:rPr>
          <w:rFonts w:ascii="Arial" w:hAnsi="Arial" w:cs="Arial"/>
          <w:b/>
          <w:noProof/>
          <w:sz w:val="24"/>
          <w:szCs w:val="24"/>
        </w:rPr>
        <w:t>Surgical management</w:t>
      </w:r>
    </w:p>
    <w:p w14:paraId="2998F060" w14:textId="600A2F31" w:rsidR="00C81ADE" w:rsidRPr="00C81ADE" w:rsidRDefault="009D6BAB" w:rsidP="00C81ADE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Obtain</w:t>
      </w:r>
      <w:r w:rsidR="00C81ADE" w:rsidRPr="00C81ADE">
        <w:rPr>
          <w:rFonts w:ascii="Arial" w:hAnsi="Arial" w:cs="Arial"/>
          <w:noProof/>
          <w:sz w:val="24"/>
          <w:szCs w:val="24"/>
        </w:rPr>
        <w:t xml:space="preserve"> immediate surgical consultation</w:t>
      </w:r>
      <w:r>
        <w:rPr>
          <w:rFonts w:ascii="Arial" w:hAnsi="Arial" w:cs="Arial"/>
          <w:noProof/>
          <w:sz w:val="24"/>
          <w:szCs w:val="24"/>
        </w:rPr>
        <w:t xml:space="preserve"> for </w:t>
      </w:r>
      <w:r w:rsidR="00C81ADE" w:rsidRPr="00C81ADE">
        <w:rPr>
          <w:rFonts w:ascii="Arial" w:hAnsi="Arial" w:cs="Arial"/>
          <w:noProof/>
          <w:sz w:val="24"/>
          <w:szCs w:val="24"/>
        </w:rPr>
        <w:t>presence of perforation, peritonitis, obstruction</w:t>
      </w:r>
    </w:p>
    <w:p w14:paraId="6B4A55C9" w14:textId="6F47CFAD" w:rsidR="00C81ADE" w:rsidRPr="00C81ADE" w:rsidRDefault="009D6BAB" w:rsidP="00C81ADE">
      <w:pPr>
        <w:pStyle w:val="ListParagraph"/>
        <w:numPr>
          <w:ilvl w:val="1"/>
          <w:numId w:val="4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Obtain </w:t>
      </w:r>
      <w:r w:rsidR="00C81ADE" w:rsidRPr="00C81ADE">
        <w:rPr>
          <w:rFonts w:ascii="Arial" w:hAnsi="Arial" w:cs="Arial"/>
          <w:noProof/>
          <w:sz w:val="24"/>
          <w:szCs w:val="24"/>
        </w:rPr>
        <w:t>surgical consultation during admission</w:t>
      </w:r>
      <w:r>
        <w:rPr>
          <w:rFonts w:ascii="Arial" w:hAnsi="Arial" w:cs="Arial"/>
          <w:noProof/>
          <w:sz w:val="24"/>
          <w:szCs w:val="24"/>
        </w:rPr>
        <w:t xml:space="preserve"> for </w:t>
      </w:r>
      <w:r w:rsidR="00C81ADE" w:rsidRPr="00C81ADE">
        <w:rPr>
          <w:rFonts w:ascii="Arial" w:hAnsi="Arial" w:cs="Arial"/>
          <w:noProof/>
          <w:sz w:val="24"/>
          <w:szCs w:val="24"/>
        </w:rPr>
        <w:t xml:space="preserve">failure of medical therapy, abscess (generally ≥ 5 cm) that cannot be drained percutaneously, fistula or stricture, recurrent episodes of diverticulitis </w:t>
      </w:r>
    </w:p>
    <w:p w14:paraId="618EA058" w14:textId="31D33D25" w:rsidR="00853FE1" w:rsidRPr="00C81ADE" w:rsidRDefault="00853FE1" w:rsidP="00853FE1">
      <w:pPr>
        <w:pStyle w:val="Heading1"/>
        <w:rPr>
          <w:sz w:val="20"/>
          <w:szCs w:val="20"/>
        </w:rPr>
      </w:pPr>
      <w:r w:rsidRPr="00C81ADE">
        <w:t>Duration</w:t>
      </w:r>
    </w:p>
    <w:p w14:paraId="7FE71908" w14:textId="56D8D5E4" w:rsidR="00CD7C7B" w:rsidRPr="00C81ADE" w:rsidRDefault="00D53992" w:rsidP="00671ABC">
      <w:pPr>
        <w:pStyle w:val="Heading1"/>
      </w:pPr>
      <w:r w:rsidRPr="00C81ADE">
        <w:rPr>
          <w:noProof/>
        </w:rPr>
        <mc:AlternateContent>
          <mc:Choice Requires="wps">
            <w:drawing>
              <wp:inline distT="0" distB="0" distL="0" distR="0" wp14:anchorId="18621BF0" wp14:editId="06D69444">
                <wp:extent cx="6610350" cy="28575"/>
                <wp:effectExtent l="19050" t="19050" r="19050" b="28575"/>
                <wp:docPr id="4" name="Straight Connector 4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B59316" id="Straight Connector 4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" strokecolor="#009fc1" strokeweight="2.5pt">
                <w10:anchorlock/>
              </v:line>
            </w:pict>
          </mc:Fallback>
        </mc:AlternateContent>
      </w:r>
      <w:r w:rsidR="00CD7C7B" w:rsidRPr="00C81ADE">
        <w:t xml:space="preserve"> </w:t>
      </w:r>
    </w:p>
    <w:p w14:paraId="56CC2B9B" w14:textId="67445F1B" w:rsidR="00C81ADE" w:rsidRPr="00C81ADE" w:rsidRDefault="00C81ADE" w:rsidP="00C81AD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C81ADE">
        <w:rPr>
          <w:rFonts w:ascii="Arial" w:hAnsi="Arial" w:cs="Arial"/>
          <w:noProof/>
          <w:sz w:val="24"/>
          <w:szCs w:val="24"/>
        </w:rPr>
        <w:t xml:space="preserve">Acute, uncomplicated: </w:t>
      </w:r>
      <w:r w:rsidR="009855A1">
        <w:rPr>
          <w:rFonts w:ascii="Arial" w:hAnsi="Arial" w:cs="Arial"/>
          <w:noProof/>
          <w:sz w:val="24"/>
          <w:szCs w:val="24"/>
        </w:rPr>
        <w:t>0-</w:t>
      </w:r>
      <w:r w:rsidRPr="00C81ADE">
        <w:rPr>
          <w:rFonts w:ascii="Arial" w:hAnsi="Arial" w:cs="Arial"/>
          <w:noProof/>
          <w:sz w:val="24"/>
          <w:szCs w:val="24"/>
        </w:rPr>
        <w:t xml:space="preserve">4 days </w:t>
      </w:r>
    </w:p>
    <w:p w14:paraId="71B1AD73" w14:textId="77777777" w:rsidR="00C81ADE" w:rsidRPr="00C81ADE" w:rsidRDefault="00C81ADE" w:rsidP="00C81AD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C81ADE">
        <w:rPr>
          <w:rFonts w:ascii="Arial" w:hAnsi="Arial" w:cs="Arial"/>
          <w:noProof/>
          <w:sz w:val="24"/>
          <w:szCs w:val="24"/>
        </w:rPr>
        <w:t xml:space="preserve">Complicated or initial severe illness </w:t>
      </w:r>
      <w:r w:rsidRPr="00671ABC">
        <w:rPr>
          <w:rFonts w:ascii="Arial" w:hAnsi="Arial" w:cs="Arial"/>
          <w:noProof/>
          <w:sz w:val="24"/>
          <w:szCs w:val="24"/>
          <w:u w:val="single"/>
        </w:rPr>
        <w:t>with</w:t>
      </w:r>
      <w:r w:rsidRPr="00C81ADE">
        <w:rPr>
          <w:rFonts w:ascii="Arial" w:hAnsi="Arial" w:cs="Arial"/>
          <w:noProof/>
          <w:sz w:val="24"/>
          <w:szCs w:val="24"/>
        </w:rPr>
        <w:t xml:space="preserve"> source control: 4 days after source control</w:t>
      </w:r>
    </w:p>
    <w:p w14:paraId="0899ED4E" w14:textId="77777777" w:rsidR="00853FE1" w:rsidRDefault="00C81ADE" w:rsidP="00853FE1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C81ADE">
        <w:rPr>
          <w:rFonts w:ascii="Arial" w:hAnsi="Arial" w:cs="Arial"/>
          <w:noProof/>
          <w:sz w:val="24"/>
          <w:szCs w:val="24"/>
        </w:rPr>
        <w:t>Complicated with small abscess not drained</w:t>
      </w:r>
      <w:r w:rsidR="001C5A8F">
        <w:rPr>
          <w:rFonts w:ascii="Arial" w:hAnsi="Arial" w:cs="Arial"/>
          <w:noProof/>
          <w:sz w:val="24"/>
          <w:szCs w:val="24"/>
        </w:rPr>
        <w:t>*</w:t>
      </w:r>
      <w:r w:rsidRPr="00C81ADE">
        <w:rPr>
          <w:rFonts w:ascii="Arial" w:hAnsi="Arial" w:cs="Arial"/>
          <w:noProof/>
          <w:sz w:val="24"/>
          <w:szCs w:val="24"/>
        </w:rPr>
        <w:t xml:space="preserve">: </w:t>
      </w:r>
      <w:r w:rsidR="009B22AA">
        <w:rPr>
          <w:rFonts w:ascii="Arial" w:hAnsi="Arial" w:cs="Arial"/>
          <w:noProof/>
          <w:sz w:val="24"/>
          <w:szCs w:val="24"/>
        </w:rPr>
        <w:t>5</w:t>
      </w:r>
      <w:r w:rsidR="005B1858">
        <w:rPr>
          <w:rFonts w:ascii="Arial" w:hAnsi="Arial" w:cs="Arial"/>
          <w:noProof/>
          <w:sz w:val="24"/>
          <w:szCs w:val="24"/>
        </w:rPr>
        <w:t>–</w:t>
      </w:r>
      <w:r w:rsidR="009B22AA">
        <w:rPr>
          <w:rFonts w:ascii="Arial" w:hAnsi="Arial" w:cs="Arial"/>
          <w:noProof/>
          <w:sz w:val="24"/>
          <w:szCs w:val="24"/>
        </w:rPr>
        <w:t>10</w:t>
      </w:r>
      <w:r w:rsidRPr="00C81ADE">
        <w:rPr>
          <w:rFonts w:ascii="Arial" w:hAnsi="Arial" w:cs="Arial"/>
          <w:noProof/>
          <w:sz w:val="24"/>
          <w:szCs w:val="24"/>
        </w:rPr>
        <w:t xml:space="preserve"> days depending on clin</w:t>
      </w:r>
      <w:r w:rsidR="009B22AA">
        <w:rPr>
          <w:rFonts w:ascii="Arial" w:hAnsi="Arial" w:cs="Arial"/>
          <w:noProof/>
          <w:sz w:val="24"/>
          <w:szCs w:val="24"/>
        </w:rPr>
        <w:t>i</w:t>
      </w:r>
      <w:r w:rsidRPr="00C81ADE">
        <w:rPr>
          <w:rFonts w:ascii="Arial" w:hAnsi="Arial" w:cs="Arial"/>
          <w:noProof/>
          <w:sz w:val="24"/>
          <w:szCs w:val="24"/>
        </w:rPr>
        <w:t>cal response</w:t>
      </w:r>
    </w:p>
    <w:p w14:paraId="5DB60380" w14:textId="77777777" w:rsidR="00853FE1" w:rsidRPr="00853FE1" w:rsidRDefault="00853FE1" w:rsidP="00853FE1">
      <w:pPr>
        <w:pStyle w:val="ListParagraph"/>
        <w:spacing w:after="0" w:line="240" w:lineRule="auto"/>
        <w:ind w:left="-270" w:right="-540"/>
        <w:contextualSpacing/>
        <w:rPr>
          <w:rFonts w:ascii="Arial" w:hAnsi="Arial" w:cs="Arial"/>
          <w:noProof/>
          <w:sz w:val="16"/>
          <w:szCs w:val="16"/>
        </w:rPr>
      </w:pPr>
    </w:p>
    <w:p w14:paraId="2BA773AA" w14:textId="0389EF82" w:rsidR="00F17E9A" w:rsidRPr="00853FE1" w:rsidRDefault="001C5A8F" w:rsidP="00853FE1">
      <w:pPr>
        <w:pStyle w:val="ListParagraph"/>
        <w:spacing w:after="0" w:line="240" w:lineRule="auto"/>
        <w:ind w:left="-540" w:right="-540"/>
        <w:contextualSpacing/>
        <w:rPr>
          <w:rFonts w:ascii="Arial" w:hAnsi="Arial" w:cs="Arial"/>
          <w:noProof/>
          <w:sz w:val="24"/>
          <w:szCs w:val="24"/>
        </w:rPr>
      </w:pPr>
      <w:r w:rsidRPr="00853FE1">
        <w:rPr>
          <w:rFonts w:ascii="Arial" w:hAnsi="Arial" w:cs="Arial"/>
          <w:noProof/>
          <w:sz w:val="16"/>
          <w:szCs w:val="16"/>
        </w:rPr>
        <w:t>*Recommendations are for patients without significant immunocompromise or complex presentations; relevant multi-specialty consultation, including infectious diseases, should be considered for cases falling outside of the scope of these recommendations.</w:t>
      </w:r>
    </w:p>
    <w:p w14:paraId="6AF57670" w14:textId="6AC0359A" w:rsidR="00F17E9A" w:rsidRDefault="00F17E9A" w:rsidP="00EA7CB0">
      <w:pPr>
        <w:spacing w:after="0" w:line="240" w:lineRule="auto"/>
        <w:ind w:right="-540"/>
        <w:contextualSpacing/>
        <w:rPr>
          <w:rFonts w:ascii="Arial" w:hAnsi="Arial" w:cs="Arial"/>
          <w:noProof/>
          <w:sz w:val="24"/>
          <w:szCs w:val="24"/>
        </w:rPr>
      </w:pPr>
    </w:p>
    <w:p w14:paraId="6AD53959" w14:textId="77777777" w:rsidR="00853FE1" w:rsidRDefault="00853FE1" w:rsidP="00EA7CB0">
      <w:pPr>
        <w:spacing w:after="0" w:line="240" w:lineRule="auto"/>
        <w:ind w:right="-540"/>
        <w:contextualSpacing/>
        <w:rPr>
          <w:rFonts w:ascii="Arial" w:hAnsi="Arial" w:cs="Arial"/>
          <w:noProof/>
          <w:sz w:val="24"/>
          <w:szCs w:val="24"/>
        </w:rPr>
      </w:pPr>
    </w:p>
    <w:p w14:paraId="1943FBB9" w14:textId="73B940D2" w:rsidR="00F17E9A" w:rsidRDefault="00853FE1" w:rsidP="00853FE1">
      <w:pPr>
        <w:pStyle w:val="Heading1"/>
        <w:rPr>
          <w:noProof/>
        </w:rPr>
      </w:pPr>
      <w:r w:rsidRPr="004B2D50">
        <w:rPr>
          <w:noProof/>
        </w:rPr>
        <w:t>References</w:t>
      </w:r>
    </w:p>
    <w:p w14:paraId="47CCA8AE" w14:textId="53790F6E" w:rsidR="00F17E9A" w:rsidRDefault="001C0563" w:rsidP="00671ABC">
      <w:pPr>
        <w:pStyle w:val="Heading1"/>
        <w:rPr>
          <w:noProof/>
        </w:rPr>
      </w:pPr>
      <w:r w:rsidRPr="00AC1501">
        <w:rPr>
          <w:b w:val="0"/>
          <w:noProof/>
        </w:rPr>
        <mc:AlternateContent>
          <mc:Choice Requires="wps">
            <w:drawing>
              <wp:inline distT="0" distB="0" distL="0" distR="0" wp14:anchorId="6AB21953" wp14:editId="4D8266A2">
                <wp:extent cx="6486525" cy="9525"/>
                <wp:effectExtent l="19050" t="19050" r="28575" b="28575"/>
                <wp:docPr id="6" name="Straight Connector 6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9FC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B9F7FE" id="Straight Connector 6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" strokecolor="#009fc1" strokeweight="2.5pt">
                <w10:anchorlock/>
              </v:line>
            </w:pict>
          </mc:Fallback>
        </mc:AlternateContent>
      </w:r>
    </w:p>
    <w:p w14:paraId="04F49B99" w14:textId="77777777" w:rsidR="00F17E9A" w:rsidRDefault="00F17E9A" w:rsidP="00F17E9A">
      <w:pPr>
        <w:spacing w:after="0" w:line="240" w:lineRule="auto"/>
        <w:ind w:right="-540"/>
        <w:contextualSpacing/>
        <w:rPr>
          <w:rFonts w:ascii="Arial" w:hAnsi="Arial" w:cs="Arial"/>
          <w:noProof/>
          <w:sz w:val="24"/>
          <w:szCs w:val="24"/>
        </w:rPr>
        <w:sectPr w:rsidR="00F17E9A" w:rsidSect="004465A1">
          <w:footerReference w:type="default" r:id="rId8"/>
          <w:pgSz w:w="12240" w:h="15840"/>
          <w:pgMar w:top="288" w:right="1440" w:bottom="446" w:left="1440" w:header="0" w:footer="0" w:gutter="0"/>
          <w:cols w:space="720"/>
          <w:titlePg/>
          <w:docGrid w:linePitch="360"/>
        </w:sectPr>
      </w:pPr>
    </w:p>
    <w:p w14:paraId="6929C3A4" w14:textId="51CD5970" w:rsidR="009F54CD" w:rsidRPr="001177E0" w:rsidRDefault="009F54CD" w:rsidP="00853FE1">
      <w:pPr>
        <w:pStyle w:val="Reference"/>
        <w:spacing w:before="120"/>
        <w:ind w:left="-547" w:right="187"/>
      </w:pPr>
      <w:r w:rsidRPr="001177E0">
        <w:t>Bohnen JM, Marshall JC, Fry DE, et al. Clinical and scientific importance of source control in abdominal infections: summary of a symposium. Can J Surg. 1999 Apr;42(2):122-6. PMID: 10223073.</w:t>
      </w:r>
    </w:p>
    <w:p w14:paraId="0B52A7B9" w14:textId="77777777" w:rsidR="009F54CD" w:rsidRPr="001177E0" w:rsidRDefault="009F54CD" w:rsidP="00671ABC">
      <w:pPr>
        <w:pStyle w:val="Reference"/>
      </w:pPr>
      <w:r w:rsidRPr="001177E0">
        <w:t xml:space="preserve">Chabok A, Påhlman L, Hjern F, et al. Randomized clinical trial of antibiotics in acute uncomplicated diverticulitis. Br J Surg. 2012 Apr;99(4):532-9. PMID: 22290281. </w:t>
      </w:r>
    </w:p>
    <w:p w14:paraId="02B491A0" w14:textId="2ACA513F" w:rsidR="00F17E9A" w:rsidRDefault="00F17E9A" w:rsidP="00671ABC">
      <w:pPr>
        <w:pStyle w:val="Reference"/>
      </w:pPr>
      <w:r w:rsidRPr="00552F81">
        <w:t>Etzioni DA, Mack TM, Beart RW Jr, et al. Diverticulitis in the United States: 1998-2005: changing patterns of disease and treatment. Ann Surg. 2009 Feb;249(2):210-7. PMID: 19212172.</w:t>
      </w:r>
    </w:p>
    <w:p w14:paraId="559E06B1" w14:textId="366751E4" w:rsidR="009F54CD" w:rsidRDefault="009F54CD" w:rsidP="00671ABC">
      <w:pPr>
        <w:pStyle w:val="Reference"/>
      </w:pPr>
      <w:r w:rsidRPr="001177E0">
        <w:t>Feingold D, Steele SR, Lee S, et al. Practice parameters for the treatment of sigmoid diverticulitis. Dis Colon Rectum. 2014 Mar;57(3):284-94. PMID: 24509449.</w:t>
      </w:r>
    </w:p>
    <w:p w14:paraId="2E9BB960" w14:textId="356675AB" w:rsidR="009F54CD" w:rsidRPr="00552F81" w:rsidRDefault="00FF7557" w:rsidP="00671ABC">
      <w:pPr>
        <w:pStyle w:val="Reference"/>
      </w:pPr>
      <w:r>
        <w:t>Mazuski JE, Tessier JM, May AK, et al. The Surgical Infection Society revised guidelines on the management of intra-abdominal infection. Surg Infect (Larchmt). 2017 Jan;18(1):1-76. PMID: 28085573.</w:t>
      </w:r>
    </w:p>
    <w:p w14:paraId="19682F55" w14:textId="082DFE34" w:rsidR="009F54CD" w:rsidRPr="001177E0" w:rsidRDefault="001C0563" w:rsidP="00853FE1">
      <w:pPr>
        <w:pStyle w:val="Reference"/>
        <w:spacing w:before="360"/>
        <w:ind w:left="-86" w:right="187"/>
      </w:pPr>
      <w:r>
        <w:br w:type="column"/>
      </w:r>
      <w:r w:rsidR="009F54CD" w:rsidRPr="001177E0">
        <w:t>Sawyer RG, Claridge JA, Nathens AB, et al. Trial of short-course antimicrobial therapy for intraabdominal infection. N Engl J Med. 2015 May 21;372(21):1996-2005. PMID: 25992746.</w:t>
      </w:r>
    </w:p>
    <w:p w14:paraId="73AE5230" w14:textId="77777777" w:rsidR="009F54CD" w:rsidRPr="001177E0" w:rsidRDefault="009F54CD" w:rsidP="00671ABC">
      <w:pPr>
        <w:pStyle w:val="Reference"/>
        <w:ind w:left="-90"/>
      </w:pPr>
      <w:r w:rsidRPr="001177E0">
        <w:t>Schug-Pass C, Geers P, Hügel O, et al. Prospective randomized trial comparing short-term antibiotic therapy versus standard therapy for acute uncomplicated sigmoid diverticulitis. Int J Colorectal Dis. 2010 Jun;25(6):751-9. PMID: 20140619.</w:t>
      </w:r>
    </w:p>
    <w:p w14:paraId="632F7208" w14:textId="1314BBAC" w:rsidR="00FF7557" w:rsidRDefault="00FF7557" w:rsidP="00671ABC">
      <w:pPr>
        <w:pStyle w:val="Reference"/>
        <w:ind w:left="-90"/>
      </w:pPr>
      <w:r>
        <w:t xml:space="preserve">Stevens DL, Bisno AL, Chambers HF, et al. Practice guidelines for the diagnosis and management of skin and soft tissue infections: 2014 update by the Infectious Diseases Society of America. Clin Infect Dis. 2014 Jul 15;59(2):e10-52. PMID: </w:t>
      </w:r>
      <w:r w:rsidRPr="00552F81">
        <w:t>24973422.</w:t>
      </w:r>
    </w:p>
    <w:p w14:paraId="57FD0925" w14:textId="3908211D" w:rsidR="009F54CD" w:rsidRPr="001177E0" w:rsidRDefault="009F54CD" w:rsidP="00671ABC">
      <w:pPr>
        <w:pStyle w:val="Reference"/>
        <w:ind w:left="-90"/>
      </w:pPr>
      <w:r w:rsidRPr="001177E0">
        <w:t>Stollman N, Smalley W, Hirano I, et al. American Gastroenterological Association Institute Guideline on the Management of Acute Diverticulitis. Gastroenterology. 2015 Dec;149(7):1944-9. PM</w:t>
      </w:r>
      <w:bookmarkStart w:id="0" w:name="_GoBack"/>
      <w:bookmarkEnd w:id="0"/>
      <w:r w:rsidRPr="001177E0">
        <w:t>ID: 26453777.</w:t>
      </w:r>
    </w:p>
    <w:p w14:paraId="694735CF" w14:textId="35EB383B" w:rsidR="00F17E9A" w:rsidRPr="00671ABC" w:rsidRDefault="00F17E9A" w:rsidP="00671ABC">
      <w:pPr>
        <w:rPr>
          <w:rFonts w:ascii="Arial" w:hAnsi="Arial" w:cs="Arial"/>
          <w:sz w:val="20"/>
          <w:szCs w:val="20"/>
        </w:rPr>
      </w:pPr>
    </w:p>
    <w:p w14:paraId="77859325" w14:textId="77777777" w:rsidR="00F17E9A" w:rsidRPr="00EA7CB0" w:rsidRDefault="00F17E9A" w:rsidP="00EA7CB0">
      <w:pPr>
        <w:spacing w:after="0" w:line="240" w:lineRule="auto"/>
        <w:ind w:right="-540"/>
        <w:contextualSpacing/>
        <w:rPr>
          <w:rFonts w:ascii="Arial" w:hAnsi="Arial" w:cs="Arial"/>
          <w:noProof/>
          <w:sz w:val="24"/>
          <w:szCs w:val="24"/>
        </w:rPr>
      </w:pPr>
    </w:p>
    <w:p w14:paraId="4724DB53" w14:textId="631206C6" w:rsidR="00643ED9" w:rsidRPr="00C81ADE" w:rsidRDefault="001C0563" w:rsidP="00C81ADE">
      <w:pPr>
        <w:rPr>
          <w:rFonts w:ascii="Arial" w:eastAsia="Calibri" w:hAnsi="Arial" w:cs="Arial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62C759E" wp14:editId="52CB9DD3">
                <wp:extent cx="2819400" cy="3990975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E2C7" w14:textId="77777777" w:rsidR="001C0563" w:rsidRPr="009D41D5" w:rsidRDefault="001C0563" w:rsidP="001C056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AHRQ Pub. No. 17(20)-0028-EF</w:t>
                            </w:r>
                          </w:p>
                          <w:p w14:paraId="541EAE01" w14:textId="77777777" w:rsidR="001C0563" w:rsidRPr="009D41D5" w:rsidRDefault="001C0563" w:rsidP="001C056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C759E" id="Text Box 5" o:spid="_x0000_s1027" type="#_x0000_t202" style="width:222pt;height:3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" filled="f" stroked="f">
                <v:textbox>
                  <w:txbxContent>
                    <w:p w14:paraId="160EE2C7" w14:textId="77777777" w:rsidR="001C0563" w:rsidRPr="009D41D5" w:rsidRDefault="001C0563" w:rsidP="001C056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AHRQ Pub. No. 17(20)-0028-EF</w:t>
                      </w:r>
                    </w:p>
                    <w:p w14:paraId="541EAE01" w14:textId="77777777" w:rsidR="001C0563" w:rsidRPr="009D41D5" w:rsidRDefault="001C0563" w:rsidP="001C056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November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43ED9" w:rsidRPr="00C81ADE" w:rsidSect="00671ABC">
      <w:type w:val="continuous"/>
      <w:pgSz w:w="12240" w:h="15840"/>
      <w:pgMar w:top="288" w:right="1260" w:bottom="446" w:left="1440" w:header="0" w:footer="0" w:gutter="0"/>
      <w:cols w:num="2" w:space="54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899FEE" w16cid:durableId="21553C42"/>
  <w16cid:commentId w16cid:paraId="5D7FC969" w16cid:durableId="21553C43"/>
  <w16cid:commentId w16cid:paraId="3AE56282" w16cid:durableId="21553C44"/>
  <w16cid:commentId w16cid:paraId="7F6FA790" w16cid:durableId="21553C45"/>
  <w16cid:commentId w16cid:paraId="5D0121F8" w16cid:durableId="21553C46"/>
  <w16cid:commentId w16cid:paraId="45018858" w16cid:durableId="21553C47"/>
  <w16cid:commentId w16cid:paraId="279FA1A5" w16cid:durableId="21553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98C93" w14:textId="77777777" w:rsidR="003411C7" w:rsidRDefault="003411C7" w:rsidP="00E32D5F">
      <w:pPr>
        <w:spacing w:after="0" w:line="240" w:lineRule="auto"/>
      </w:pPr>
      <w:r>
        <w:separator/>
      </w:r>
    </w:p>
  </w:endnote>
  <w:endnote w:type="continuationSeparator" w:id="0">
    <w:p w14:paraId="7158405F" w14:textId="77777777" w:rsidR="003411C7" w:rsidRDefault="003411C7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377D" w14:textId="5D4040DE" w:rsidR="001C0563" w:rsidRDefault="001C0563">
    <w:pPr>
      <w:pStyle w:val="Footer"/>
      <w:jc w:val="right"/>
    </w:pPr>
    <w:r>
      <w:t xml:space="preserve"> Diverticulitis </w:t>
    </w:r>
    <w:sdt>
      <w:sdtPr>
        <w:id w:val="-16871286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B2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CD057B5" w14:textId="77777777" w:rsidR="001C0563" w:rsidRDefault="001C0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596A" w14:textId="77777777" w:rsidR="003411C7" w:rsidRDefault="003411C7" w:rsidP="00E32D5F">
      <w:pPr>
        <w:spacing w:after="0" w:line="240" w:lineRule="auto"/>
      </w:pPr>
      <w:r>
        <w:separator/>
      </w:r>
    </w:p>
  </w:footnote>
  <w:footnote w:type="continuationSeparator" w:id="0">
    <w:p w14:paraId="0F51F396" w14:textId="77777777" w:rsidR="003411C7" w:rsidRDefault="003411C7" w:rsidP="00E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23C2"/>
    <w:multiLevelType w:val="hybridMultilevel"/>
    <w:tmpl w:val="1BA6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B0FDA"/>
    <w:multiLevelType w:val="hybridMultilevel"/>
    <w:tmpl w:val="AFA60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165A56"/>
    <w:multiLevelType w:val="hybridMultilevel"/>
    <w:tmpl w:val="DBF8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03"/>
    <w:rsid w:val="00014144"/>
    <w:rsid w:val="00035786"/>
    <w:rsid w:val="0003625E"/>
    <w:rsid w:val="00045415"/>
    <w:rsid w:val="00092DD3"/>
    <w:rsid w:val="000D3E11"/>
    <w:rsid w:val="000F5E0E"/>
    <w:rsid w:val="00110647"/>
    <w:rsid w:val="00154B8B"/>
    <w:rsid w:val="001557A2"/>
    <w:rsid w:val="00160839"/>
    <w:rsid w:val="001B17E4"/>
    <w:rsid w:val="001C0563"/>
    <w:rsid w:val="001C07C2"/>
    <w:rsid w:val="001C5A8F"/>
    <w:rsid w:val="001C6AFA"/>
    <w:rsid w:val="001E2C4C"/>
    <w:rsid w:val="00255449"/>
    <w:rsid w:val="00297FC3"/>
    <w:rsid w:val="002C0116"/>
    <w:rsid w:val="003301F7"/>
    <w:rsid w:val="00330FC8"/>
    <w:rsid w:val="003411C7"/>
    <w:rsid w:val="0034510C"/>
    <w:rsid w:val="00383CB5"/>
    <w:rsid w:val="003950D6"/>
    <w:rsid w:val="003C760A"/>
    <w:rsid w:val="003D2567"/>
    <w:rsid w:val="00432B72"/>
    <w:rsid w:val="004425B0"/>
    <w:rsid w:val="004465A1"/>
    <w:rsid w:val="00490FCA"/>
    <w:rsid w:val="004968C1"/>
    <w:rsid w:val="004A5F95"/>
    <w:rsid w:val="004D325A"/>
    <w:rsid w:val="005070CE"/>
    <w:rsid w:val="0054534B"/>
    <w:rsid w:val="00552F81"/>
    <w:rsid w:val="00562939"/>
    <w:rsid w:val="00576895"/>
    <w:rsid w:val="005844D9"/>
    <w:rsid w:val="00590377"/>
    <w:rsid w:val="005B1858"/>
    <w:rsid w:val="005E0076"/>
    <w:rsid w:val="005E4503"/>
    <w:rsid w:val="00605862"/>
    <w:rsid w:val="006203A3"/>
    <w:rsid w:val="00622E9B"/>
    <w:rsid w:val="00643ED9"/>
    <w:rsid w:val="00645B8F"/>
    <w:rsid w:val="00662A8A"/>
    <w:rsid w:val="00671ABC"/>
    <w:rsid w:val="00695C5C"/>
    <w:rsid w:val="006B05B9"/>
    <w:rsid w:val="006B1341"/>
    <w:rsid w:val="006B2FC3"/>
    <w:rsid w:val="006B7A85"/>
    <w:rsid w:val="006C3581"/>
    <w:rsid w:val="006D14F1"/>
    <w:rsid w:val="007151CB"/>
    <w:rsid w:val="007310A7"/>
    <w:rsid w:val="007470F9"/>
    <w:rsid w:val="0075167B"/>
    <w:rsid w:val="00754A59"/>
    <w:rsid w:val="00755339"/>
    <w:rsid w:val="00777CEC"/>
    <w:rsid w:val="00795B21"/>
    <w:rsid w:val="007A0EAE"/>
    <w:rsid w:val="007C65B5"/>
    <w:rsid w:val="007E79E8"/>
    <w:rsid w:val="00853FE1"/>
    <w:rsid w:val="00856C98"/>
    <w:rsid w:val="00881521"/>
    <w:rsid w:val="00881D37"/>
    <w:rsid w:val="00890A2C"/>
    <w:rsid w:val="008A2728"/>
    <w:rsid w:val="008D2E91"/>
    <w:rsid w:val="009136D5"/>
    <w:rsid w:val="0093095C"/>
    <w:rsid w:val="009855A1"/>
    <w:rsid w:val="0098786D"/>
    <w:rsid w:val="009A7D69"/>
    <w:rsid w:val="009B22AA"/>
    <w:rsid w:val="009C5CA6"/>
    <w:rsid w:val="009D6BAB"/>
    <w:rsid w:val="009F54CD"/>
    <w:rsid w:val="00A42A0C"/>
    <w:rsid w:val="00A434A6"/>
    <w:rsid w:val="00A555D1"/>
    <w:rsid w:val="00A66178"/>
    <w:rsid w:val="00A66F41"/>
    <w:rsid w:val="00A70298"/>
    <w:rsid w:val="00A70B35"/>
    <w:rsid w:val="00A80D16"/>
    <w:rsid w:val="00AC1501"/>
    <w:rsid w:val="00AF29CB"/>
    <w:rsid w:val="00AF70FE"/>
    <w:rsid w:val="00B64896"/>
    <w:rsid w:val="00B7651A"/>
    <w:rsid w:val="00B81215"/>
    <w:rsid w:val="00BF53F6"/>
    <w:rsid w:val="00C00B2C"/>
    <w:rsid w:val="00C023B2"/>
    <w:rsid w:val="00C058C8"/>
    <w:rsid w:val="00C06D50"/>
    <w:rsid w:val="00C44143"/>
    <w:rsid w:val="00C7216E"/>
    <w:rsid w:val="00C765C6"/>
    <w:rsid w:val="00C81ADE"/>
    <w:rsid w:val="00C86C5C"/>
    <w:rsid w:val="00CA5938"/>
    <w:rsid w:val="00CD52C7"/>
    <w:rsid w:val="00CD7C7B"/>
    <w:rsid w:val="00CE058C"/>
    <w:rsid w:val="00CF294E"/>
    <w:rsid w:val="00D0568E"/>
    <w:rsid w:val="00D47F61"/>
    <w:rsid w:val="00D53992"/>
    <w:rsid w:val="00D571B1"/>
    <w:rsid w:val="00D60AAC"/>
    <w:rsid w:val="00DE7D43"/>
    <w:rsid w:val="00E32D5F"/>
    <w:rsid w:val="00E8124D"/>
    <w:rsid w:val="00EA7CB0"/>
    <w:rsid w:val="00EB1650"/>
    <w:rsid w:val="00EF5475"/>
    <w:rsid w:val="00F10439"/>
    <w:rsid w:val="00F17E9A"/>
    <w:rsid w:val="00F46A03"/>
    <w:rsid w:val="00F900A3"/>
    <w:rsid w:val="00FC36CE"/>
    <w:rsid w:val="00FC5028"/>
    <w:rsid w:val="00FE0296"/>
    <w:rsid w:val="00FE0739"/>
    <w:rsid w:val="00FE2E52"/>
    <w:rsid w:val="00FE6D1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C872DBA"/>
  <w15:docId w15:val="{65CD7B4D-ACE7-43B2-99CE-D895F6C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FE1"/>
    <w:pPr>
      <w:spacing w:before="240" w:after="0" w:line="240" w:lineRule="auto"/>
      <w:ind w:left="-547" w:right="-547"/>
      <w:contextualSpacing/>
      <w:outlineLvl w:val="0"/>
    </w:pPr>
    <w:rPr>
      <w:rFonts w:ascii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3FE1"/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Reference">
    <w:name w:val="Reference"/>
    <w:basedOn w:val="Normal"/>
    <w:qFormat/>
    <w:rsid w:val="001C0563"/>
    <w:pPr>
      <w:ind w:left="-540" w:right="18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FA38-C0E6-4C26-A063-182DF6E9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12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Diverticulitis</vt:lpstr>
    </vt:vector>
  </TitlesOfParts>
  <Company>Hewlett-Packard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Diverticulitis</dc:title>
  <dc:subject>AHRQ Safety Program for Improving Antibiotic Use</dc:subject>
  <dc:creator>"Agency for Healthcare Research and Quality (AHRQ)"</dc:creator>
  <cp:keywords>Diverticulitis; CUSP; Antibiotic</cp:keywords>
  <cp:lastModifiedBy>Heidenrich, Christine (AHRQ/OC) (CTR)</cp:lastModifiedBy>
  <cp:revision>7</cp:revision>
  <dcterms:created xsi:type="dcterms:W3CDTF">2019-10-22T20:02:00Z</dcterms:created>
  <dcterms:modified xsi:type="dcterms:W3CDTF">2019-11-07T20:13:00Z</dcterms:modified>
  <cp:category>CUSP; Antibiotic Stewardship</cp:category>
</cp:coreProperties>
</file>