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6C4B5" w14:textId="77777777" w:rsidR="0053407B" w:rsidRPr="001E6C84" w:rsidRDefault="0053407B" w:rsidP="00A03071">
      <w:pPr>
        <w:pStyle w:val="Heading10"/>
      </w:pPr>
      <w:r w:rsidRPr="001E6C8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F2D090" wp14:editId="4694ECF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315200" cy="561975"/>
                <wp:effectExtent l="0" t="0" r="19050" b="28575"/>
                <wp:wrapSquare wrapText="bothSides"/>
                <wp:docPr id="217" name="Text Box 2" descr="Title: Cellulit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61975"/>
                        </a:xfrm>
                        <a:prstGeom prst="rect">
                          <a:avLst/>
                        </a:prstGeom>
                        <a:solidFill>
                          <a:srgbClr val="007DA3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9455C" w14:textId="77777777" w:rsidR="0053407B" w:rsidRPr="007B046C" w:rsidRDefault="0053407B" w:rsidP="007B046C">
                            <w:pPr>
                              <w:pStyle w:val="Title"/>
                            </w:pPr>
                            <w:r w:rsidRPr="007B046C">
                              <w:t xml:space="preserve">Cellulitis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D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Cellulitis" style="position:absolute;margin-left:-51.75pt;margin-top:0;width:8in;height:4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" fillcolor="#007da3" strokecolor="#31849b [2408]">
                <v:textbox>
                  <w:txbxContent>
                    <w:p w14:paraId="6859455C" w14:textId="77777777" w:rsidR="0053407B" w:rsidRPr="007B046C" w:rsidRDefault="0053407B" w:rsidP="007B046C">
                      <w:pPr>
                        <w:pStyle w:val="Title"/>
                      </w:pPr>
                      <w:r w:rsidRPr="007B046C">
                        <w:t xml:space="preserve">Cellulitis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6C84">
        <w:t>Diagnosis</w:t>
      </w:r>
    </w:p>
    <w:p w14:paraId="3B7533AA" w14:textId="77777777" w:rsidR="0053407B" w:rsidRPr="003E13BE" w:rsidRDefault="0053407B" w:rsidP="0053407B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16"/>
          <w:szCs w:val="16"/>
        </w:rPr>
      </w:pPr>
      <w:r w:rsidRPr="003950D6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2C7AB5" wp14:editId="12DA368C">
                <wp:simplePos x="0" y="0"/>
                <wp:positionH relativeFrom="column">
                  <wp:posOffset>-346075</wp:posOffset>
                </wp:positionH>
                <wp:positionV relativeFrom="paragraph">
                  <wp:posOffset>14605</wp:posOffset>
                </wp:positionV>
                <wp:extent cx="661035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DA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5114F4B" id="Straight Connector 2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1.15pt" to="493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" strokecolor="#007da3" strokeweight="2.5pt"/>
            </w:pict>
          </mc:Fallback>
        </mc:AlternateContent>
      </w:r>
    </w:p>
    <w:p w14:paraId="1A4BC76B" w14:textId="11C59092" w:rsidR="0053407B" w:rsidRPr="004465A1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Relatively sudden onset of redness, warmth, tenderness, and swelling of the skin</w:t>
      </w:r>
      <w:r w:rsidR="006F38A5">
        <w:rPr>
          <w:rFonts w:ascii="Arial" w:hAnsi="Arial" w:cs="Arial"/>
          <w:noProof/>
          <w:sz w:val="24"/>
          <w:szCs w:val="24"/>
          <w:vertAlign w:val="superscript"/>
        </w:rPr>
        <w:t>1-3</w:t>
      </w:r>
    </w:p>
    <w:p w14:paraId="682E125C" w14:textId="3D6D1EC4" w:rsidR="0053407B" w:rsidRPr="004465A1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3950D6">
        <w:rPr>
          <w:rFonts w:ascii="Arial" w:hAnsi="Arial" w:cs="Arial"/>
          <w:b/>
          <w:noProof/>
          <w:sz w:val="24"/>
          <w:szCs w:val="24"/>
        </w:rPr>
        <w:t>Nonpurulent</w:t>
      </w:r>
      <w:r w:rsidRPr="004465A1">
        <w:rPr>
          <w:rFonts w:ascii="Arial" w:hAnsi="Arial" w:cs="Arial"/>
          <w:noProof/>
          <w:sz w:val="24"/>
          <w:szCs w:val="24"/>
        </w:rPr>
        <w:t xml:space="preserve">: no evidence of abscess/phlegmon; </w:t>
      </w:r>
      <w:r>
        <w:rPr>
          <w:rFonts w:ascii="Arial" w:hAnsi="Arial" w:cs="Arial"/>
          <w:noProof/>
          <w:sz w:val="24"/>
          <w:szCs w:val="24"/>
        </w:rPr>
        <w:t xml:space="preserve">most cases </w:t>
      </w:r>
      <w:r w:rsidRPr="004465A1">
        <w:rPr>
          <w:rFonts w:ascii="Arial" w:hAnsi="Arial" w:cs="Arial"/>
          <w:noProof/>
          <w:sz w:val="24"/>
          <w:szCs w:val="24"/>
        </w:rPr>
        <w:t xml:space="preserve">caused by </w:t>
      </w:r>
      <w:r w:rsidR="00570714">
        <w:rPr>
          <w:rFonts w:ascii="Arial" w:hAnsi="Arial" w:cs="Arial"/>
          <w:noProof/>
          <w:sz w:val="24"/>
          <w:szCs w:val="24"/>
        </w:rPr>
        <w:t>beta</w:t>
      </w:r>
      <w:r w:rsidRPr="004465A1">
        <w:rPr>
          <w:rFonts w:ascii="Arial" w:hAnsi="Arial" w:cs="Arial"/>
          <w:noProof/>
          <w:sz w:val="24"/>
          <w:szCs w:val="24"/>
        </w:rPr>
        <w:t>-hemolytic streptococci (usually group A strep but also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4465A1">
        <w:rPr>
          <w:rFonts w:ascii="Arial" w:hAnsi="Arial" w:cs="Arial"/>
          <w:noProof/>
          <w:sz w:val="24"/>
          <w:szCs w:val="24"/>
        </w:rPr>
        <w:t>B, C, G)</w:t>
      </w:r>
      <w:r>
        <w:rPr>
          <w:rFonts w:ascii="Arial" w:hAnsi="Arial" w:cs="Arial"/>
          <w:noProof/>
          <w:sz w:val="24"/>
          <w:szCs w:val="24"/>
        </w:rPr>
        <w:t xml:space="preserve"> that are suceptible to penicillin; </w:t>
      </w:r>
      <w:r w:rsidRPr="004465A1">
        <w:rPr>
          <w:rFonts w:ascii="Arial" w:hAnsi="Arial" w:cs="Arial"/>
          <w:noProof/>
          <w:sz w:val="24"/>
          <w:szCs w:val="24"/>
        </w:rPr>
        <w:t>~10% of cases</w:t>
      </w:r>
      <w:r>
        <w:rPr>
          <w:rFonts w:ascii="Arial" w:hAnsi="Arial" w:cs="Arial"/>
          <w:noProof/>
          <w:sz w:val="24"/>
          <w:szCs w:val="24"/>
        </w:rPr>
        <w:t xml:space="preserve"> caused by </w:t>
      </w:r>
      <w:r w:rsidRPr="004465A1">
        <w:rPr>
          <w:rFonts w:ascii="Arial" w:hAnsi="Arial" w:cs="Arial"/>
          <w:noProof/>
          <w:sz w:val="24"/>
          <w:szCs w:val="24"/>
        </w:rPr>
        <w:t xml:space="preserve">methicillin-susceptible </w:t>
      </w:r>
      <w:r w:rsidRPr="00D742CC">
        <w:rPr>
          <w:rFonts w:ascii="Arial" w:hAnsi="Arial" w:cs="Arial"/>
          <w:i/>
          <w:noProof/>
          <w:sz w:val="24"/>
          <w:szCs w:val="24"/>
        </w:rPr>
        <w:t>Staphylococcus aureus</w:t>
      </w:r>
      <w:r w:rsidRPr="004465A1">
        <w:rPr>
          <w:rFonts w:ascii="Arial" w:hAnsi="Arial" w:cs="Arial"/>
          <w:noProof/>
          <w:sz w:val="24"/>
          <w:szCs w:val="24"/>
        </w:rPr>
        <w:t xml:space="preserve"> (MSSA) </w:t>
      </w:r>
    </w:p>
    <w:p w14:paraId="4A833FFE" w14:textId="77777777" w:rsidR="0053407B" w:rsidRPr="004465A1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3950D6">
        <w:rPr>
          <w:rFonts w:ascii="Arial" w:hAnsi="Arial" w:cs="Arial"/>
          <w:b/>
          <w:noProof/>
          <w:sz w:val="24"/>
          <w:szCs w:val="24"/>
        </w:rPr>
        <w:t>Purulent:</w:t>
      </w:r>
      <w:r w:rsidRPr="004465A1">
        <w:rPr>
          <w:rFonts w:ascii="Arial" w:hAnsi="Arial" w:cs="Arial"/>
          <w:noProof/>
          <w:sz w:val="24"/>
          <w:szCs w:val="24"/>
        </w:rPr>
        <w:t xml:space="preserve"> evidence of abscess/phlegmon; caused by </w:t>
      </w:r>
      <w:r w:rsidRPr="004465A1">
        <w:rPr>
          <w:rFonts w:ascii="Arial" w:hAnsi="Arial" w:cs="Arial"/>
          <w:i/>
          <w:noProof/>
          <w:sz w:val="24"/>
          <w:szCs w:val="24"/>
        </w:rPr>
        <w:t>S. aureus</w:t>
      </w:r>
      <w:r w:rsidRPr="004465A1">
        <w:rPr>
          <w:rFonts w:ascii="Arial" w:hAnsi="Arial" w:cs="Arial"/>
          <w:noProof/>
          <w:sz w:val="24"/>
          <w:szCs w:val="24"/>
        </w:rPr>
        <w:t>, often methicillin-resistant (MRSA)</w:t>
      </w:r>
    </w:p>
    <w:p w14:paraId="283AD4AF" w14:textId="68422325" w:rsidR="0053407B" w:rsidRPr="00B90DE0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 xml:space="preserve">Almost always </w:t>
      </w:r>
      <w:r w:rsidRPr="00B90DE0">
        <w:rPr>
          <w:rFonts w:ascii="Arial" w:hAnsi="Arial" w:cs="Arial"/>
          <w:noProof/>
          <w:sz w:val="24"/>
          <w:szCs w:val="24"/>
        </w:rPr>
        <w:t>unilateral</w:t>
      </w:r>
      <w:r w:rsidR="00800B10" w:rsidRPr="00B90DE0">
        <w:rPr>
          <w:rFonts w:ascii="Arial" w:hAnsi="Arial" w:cs="Arial"/>
          <w:noProof/>
          <w:sz w:val="24"/>
          <w:szCs w:val="24"/>
          <w:vertAlign w:val="superscript"/>
        </w:rPr>
        <w:t>4,5</w:t>
      </w:r>
    </w:p>
    <w:p w14:paraId="73FDF624" w14:textId="1535C11D" w:rsidR="0053407B" w:rsidRPr="004465A1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Fever in 22</w:t>
      </w:r>
      <w:r w:rsidR="00E20E3A">
        <w:rPr>
          <w:rFonts w:cs="Calibri"/>
          <w:noProof/>
          <w:sz w:val="24"/>
          <w:szCs w:val="24"/>
        </w:rPr>
        <w:t>–</w:t>
      </w:r>
      <w:r w:rsidRPr="004465A1">
        <w:rPr>
          <w:rFonts w:ascii="Arial" w:hAnsi="Arial" w:cs="Arial"/>
          <w:noProof/>
          <w:sz w:val="24"/>
          <w:szCs w:val="24"/>
        </w:rPr>
        <w:t>71%; elevated white blood cell count in 35</w:t>
      </w:r>
      <w:r w:rsidR="00E20E3A">
        <w:rPr>
          <w:rFonts w:cs="Calibri"/>
          <w:noProof/>
          <w:sz w:val="24"/>
          <w:szCs w:val="24"/>
        </w:rPr>
        <w:t>–</w:t>
      </w:r>
      <w:r w:rsidRPr="004465A1">
        <w:rPr>
          <w:rFonts w:ascii="Arial" w:hAnsi="Arial" w:cs="Arial"/>
          <w:noProof/>
          <w:sz w:val="24"/>
          <w:szCs w:val="24"/>
        </w:rPr>
        <w:t>50%</w:t>
      </w:r>
      <w:r w:rsidR="002F1E79">
        <w:rPr>
          <w:rFonts w:ascii="Arial" w:hAnsi="Arial" w:cs="Arial"/>
          <w:noProof/>
          <w:sz w:val="24"/>
          <w:szCs w:val="24"/>
          <w:vertAlign w:val="superscript"/>
        </w:rPr>
        <w:t>1</w:t>
      </w:r>
    </w:p>
    <w:p w14:paraId="70D8C899" w14:textId="4F16D9FC" w:rsidR="0053407B" w:rsidRPr="004465A1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Usually associated with skin surface disruption due to recent trauma, tinea pedis, cutaneous ulcer, past saphenous venectomy</w:t>
      </w:r>
      <w:r>
        <w:rPr>
          <w:rFonts w:ascii="Arial" w:hAnsi="Arial" w:cs="Arial"/>
          <w:noProof/>
          <w:sz w:val="24"/>
          <w:szCs w:val="24"/>
        </w:rPr>
        <w:t>,</w:t>
      </w:r>
      <w:r w:rsidRPr="004465A1">
        <w:rPr>
          <w:rFonts w:ascii="Arial" w:hAnsi="Arial" w:cs="Arial"/>
          <w:noProof/>
          <w:sz w:val="24"/>
          <w:szCs w:val="24"/>
        </w:rPr>
        <w:t xml:space="preserve"> or impaired venous or lymphatic drainage</w:t>
      </w:r>
      <w:r w:rsidR="002F1E79">
        <w:rPr>
          <w:rFonts w:ascii="Arial" w:hAnsi="Arial" w:cs="Arial"/>
          <w:noProof/>
          <w:sz w:val="24"/>
          <w:szCs w:val="24"/>
          <w:vertAlign w:val="superscript"/>
        </w:rPr>
        <w:t>2</w:t>
      </w:r>
    </w:p>
    <w:p w14:paraId="479489CC" w14:textId="0EB71C53" w:rsidR="0053407B" w:rsidRPr="004465A1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4465A1">
        <w:rPr>
          <w:rFonts w:ascii="Arial" w:hAnsi="Arial" w:cs="Arial"/>
          <w:noProof/>
          <w:sz w:val="24"/>
          <w:szCs w:val="24"/>
        </w:rPr>
        <w:t>Obtain wound culture if purulence is present</w:t>
      </w:r>
      <w:r w:rsidR="00016DC6">
        <w:rPr>
          <w:rFonts w:ascii="Arial" w:hAnsi="Arial" w:cs="Arial"/>
          <w:noProof/>
          <w:sz w:val="24"/>
          <w:szCs w:val="24"/>
          <w:vertAlign w:val="superscript"/>
        </w:rPr>
        <w:t>2,3</w:t>
      </w:r>
    </w:p>
    <w:p w14:paraId="28772676" w14:textId="1BDC1429" w:rsidR="0053407B" w:rsidRPr="00D742CC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D742CC">
        <w:rPr>
          <w:rFonts w:ascii="Arial" w:hAnsi="Arial" w:cs="Arial"/>
          <w:noProof/>
          <w:sz w:val="24"/>
          <w:szCs w:val="24"/>
        </w:rPr>
        <w:t>Obtain ultrasound if concern for abscess/phlegmon and physical exam is equivocal</w:t>
      </w:r>
      <w:r w:rsidR="00016DC6">
        <w:rPr>
          <w:rFonts w:ascii="Arial" w:hAnsi="Arial" w:cs="Arial"/>
          <w:noProof/>
          <w:sz w:val="24"/>
          <w:szCs w:val="24"/>
          <w:vertAlign w:val="superscript"/>
        </w:rPr>
        <w:t>2,3</w:t>
      </w:r>
    </w:p>
    <w:p w14:paraId="7E0B3E0D" w14:textId="131FE239" w:rsidR="0053407B" w:rsidRPr="00016DC6" w:rsidRDefault="0053407B" w:rsidP="0053407B">
      <w:pPr>
        <w:spacing w:before="120" w:after="0" w:line="240" w:lineRule="auto"/>
        <w:ind w:left="-547" w:right="-547"/>
        <w:contextualSpacing/>
        <w:rPr>
          <w:rFonts w:ascii="Arial" w:hAnsi="Arial" w:cs="Arial"/>
          <w:noProof/>
          <w:sz w:val="20"/>
          <w:szCs w:val="20"/>
          <w:vertAlign w:val="superscript"/>
        </w:rPr>
      </w:pPr>
      <w:r w:rsidRPr="003950D6">
        <w:rPr>
          <w:rFonts w:ascii="Arial" w:hAnsi="Arial" w:cs="Arial"/>
          <w:i/>
          <w:noProof/>
          <w:sz w:val="20"/>
          <w:szCs w:val="20"/>
        </w:rPr>
        <w:t>Note: Several noninfectious conditions can mimic cellulitis</w:t>
      </w:r>
      <w:r w:rsidR="00924F73">
        <w:rPr>
          <w:rFonts w:ascii="Arial" w:hAnsi="Arial" w:cs="Arial"/>
          <w:i/>
          <w:noProof/>
          <w:sz w:val="20"/>
          <w:szCs w:val="20"/>
        </w:rPr>
        <w:t>.</w:t>
      </w:r>
      <w:r>
        <w:rPr>
          <w:rFonts w:ascii="Arial" w:hAnsi="Arial" w:cs="Arial"/>
          <w:i/>
          <w:noProof/>
          <w:sz w:val="20"/>
          <w:szCs w:val="20"/>
        </w:rPr>
        <w:t xml:space="preserve"> </w:t>
      </w:r>
      <w:r w:rsidR="005F6339">
        <w:rPr>
          <w:rFonts w:ascii="Arial" w:hAnsi="Arial" w:cs="Arial"/>
          <w:i/>
          <w:noProof/>
          <w:sz w:val="20"/>
          <w:szCs w:val="20"/>
        </w:rPr>
        <w:t>T</w:t>
      </w:r>
      <w:r w:rsidR="00526851">
        <w:rPr>
          <w:rFonts w:ascii="Arial" w:hAnsi="Arial" w:cs="Arial"/>
          <w:i/>
          <w:noProof/>
          <w:sz w:val="20"/>
          <w:szCs w:val="20"/>
        </w:rPr>
        <w:t>he most common is venous stasis dermatitis</w:t>
      </w:r>
      <w:r w:rsidR="000574F7">
        <w:rPr>
          <w:rFonts w:ascii="Arial" w:hAnsi="Arial" w:cs="Arial"/>
          <w:i/>
          <w:noProof/>
          <w:sz w:val="20"/>
          <w:szCs w:val="20"/>
        </w:rPr>
        <w:t>,</w:t>
      </w:r>
      <w:r w:rsidR="00526851">
        <w:rPr>
          <w:rFonts w:ascii="Arial" w:hAnsi="Arial" w:cs="Arial"/>
          <w:i/>
          <w:noProof/>
          <w:sz w:val="20"/>
          <w:szCs w:val="20"/>
        </w:rPr>
        <w:t xml:space="preserve"> which is often bilateral</w:t>
      </w:r>
      <w:r w:rsidR="001015F4">
        <w:rPr>
          <w:rFonts w:ascii="Arial" w:hAnsi="Arial" w:cs="Arial"/>
          <w:i/>
          <w:noProof/>
          <w:sz w:val="20"/>
          <w:szCs w:val="20"/>
        </w:rPr>
        <w:t xml:space="preserve"> and associated with skin hyperpigmentation, pitting edema, serous drainage, and itching. </w:t>
      </w:r>
      <w:r w:rsidR="00E72451">
        <w:rPr>
          <w:rFonts w:ascii="Arial" w:hAnsi="Arial" w:cs="Arial"/>
          <w:i/>
          <w:noProof/>
          <w:sz w:val="20"/>
          <w:szCs w:val="20"/>
        </w:rPr>
        <w:t>Venous sta</w:t>
      </w:r>
      <w:r w:rsidR="00D6541A">
        <w:rPr>
          <w:rFonts w:ascii="Arial" w:hAnsi="Arial" w:cs="Arial"/>
          <w:i/>
          <w:noProof/>
          <w:sz w:val="20"/>
          <w:szCs w:val="20"/>
        </w:rPr>
        <w:t>s</w:t>
      </w:r>
      <w:r w:rsidR="00E72451">
        <w:rPr>
          <w:rFonts w:ascii="Arial" w:hAnsi="Arial" w:cs="Arial"/>
          <w:i/>
          <w:noProof/>
          <w:sz w:val="20"/>
          <w:szCs w:val="20"/>
        </w:rPr>
        <w:t>is dermatitis presents with minimal pain and without fevers.</w:t>
      </w:r>
      <w:r w:rsidR="00016DC6">
        <w:rPr>
          <w:rFonts w:ascii="Arial" w:hAnsi="Arial" w:cs="Arial"/>
          <w:noProof/>
          <w:sz w:val="20"/>
          <w:szCs w:val="20"/>
          <w:vertAlign w:val="superscript"/>
        </w:rPr>
        <w:t>6</w:t>
      </w:r>
    </w:p>
    <w:p w14:paraId="105879FA" w14:textId="77777777" w:rsidR="0053407B" w:rsidRPr="003E13BE" w:rsidRDefault="0053407B" w:rsidP="0053407B">
      <w:pPr>
        <w:spacing w:after="0" w:line="240" w:lineRule="auto"/>
        <w:ind w:left="-540" w:right="-540"/>
        <w:contextualSpacing/>
        <w:rPr>
          <w:rFonts w:ascii="Arial" w:hAnsi="Arial" w:cs="Arial"/>
          <w:b/>
          <w:sz w:val="8"/>
          <w:szCs w:val="8"/>
        </w:rPr>
      </w:pPr>
    </w:p>
    <w:p w14:paraId="2D4C2C09" w14:textId="77777777" w:rsidR="0053407B" w:rsidRPr="001E6C84" w:rsidRDefault="0053407B" w:rsidP="00A03071">
      <w:pPr>
        <w:pStyle w:val="Heading10"/>
      </w:pPr>
      <w:r w:rsidRPr="001E6C8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EE5955" wp14:editId="0A6ED132">
                <wp:simplePos x="0" y="0"/>
                <wp:positionH relativeFrom="column">
                  <wp:posOffset>-349250</wp:posOffset>
                </wp:positionH>
                <wp:positionV relativeFrom="paragraph">
                  <wp:posOffset>263525</wp:posOffset>
                </wp:positionV>
                <wp:extent cx="6610350" cy="2857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DA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39E9E" id="Straight Connector 3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20.75pt" to="49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" strokecolor="#007da3" strokeweight="2.5pt"/>
            </w:pict>
          </mc:Fallback>
        </mc:AlternateContent>
      </w:r>
      <w:r w:rsidRPr="001E6C84">
        <w:t>Treatment</w:t>
      </w:r>
    </w:p>
    <w:p w14:paraId="5E42224B" w14:textId="77777777" w:rsidR="0053407B" w:rsidRPr="00AC1501" w:rsidRDefault="0053407B" w:rsidP="0053407B">
      <w:pPr>
        <w:spacing w:after="0" w:line="240" w:lineRule="auto"/>
        <w:ind w:left="-540" w:right="-540"/>
        <w:contextualSpacing/>
        <w:rPr>
          <w:rFonts w:ascii="Arial" w:hAnsi="Arial" w:cs="Arial"/>
          <w:b/>
          <w:sz w:val="20"/>
          <w:szCs w:val="20"/>
        </w:rPr>
      </w:pPr>
    </w:p>
    <w:p w14:paraId="2A2A8CF6" w14:textId="65400B6D" w:rsidR="0053407B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9874F3">
        <w:rPr>
          <w:rFonts w:ascii="Arial" w:hAnsi="Arial" w:cs="Arial"/>
          <w:sz w:val="24"/>
          <w:szCs w:val="24"/>
        </w:rPr>
        <w:t>Elevate the affected extremity and treat underlying predisposing conditions</w:t>
      </w:r>
      <w:r w:rsidR="00016DC6">
        <w:rPr>
          <w:rFonts w:ascii="Arial" w:hAnsi="Arial" w:cs="Arial"/>
          <w:sz w:val="24"/>
          <w:szCs w:val="24"/>
          <w:vertAlign w:val="superscript"/>
        </w:rPr>
        <w:t>1,2</w:t>
      </w:r>
    </w:p>
    <w:p w14:paraId="3D6E7A8E" w14:textId="48D27FCF" w:rsidR="0053407B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9874F3">
        <w:rPr>
          <w:rFonts w:ascii="Arial" w:hAnsi="Arial" w:cs="Arial"/>
          <w:noProof/>
          <w:sz w:val="24"/>
          <w:szCs w:val="24"/>
        </w:rPr>
        <w:t>Erythema may initially persist</w:t>
      </w:r>
      <w:r>
        <w:rPr>
          <w:rFonts w:ascii="Arial" w:hAnsi="Arial" w:cs="Arial"/>
          <w:noProof/>
          <w:sz w:val="24"/>
          <w:szCs w:val="24"/>
        </w:rPr>
        <w:t>, worsen</w:t>
      </w:r>
      <w:r w:rsidR="007914BE">
        <w:rPr>
          <w:rFonts w:ascii="Arial" w:hAnsi="Arial" w:cs="Arial"/>
          <w:noProof/>
          <w:sz w:val="24"/>
          <w:szCs w:val="24"/>
        </w:rPr>
        <w:t>,</w:t>
      </w:r>
      <w:r w:rsidRPr="009874F3">
        <w:rPr>
          <w:rFonts w:ascii="Arial" w:hAnsi="Arial" w:cs="Arial"/>
          <w:noProof/>
          <w:sz w:val="24"/>
          <w:szCs w:val="24"/>
        </w:rPr>
        <w:t xml:space="preserve"> or extend despite appropriate therapy</w:t>
      </w:r>
      <w:r w:rsidR="007914BE">
        <w:rPr>
          <w:rFonts w:ascii="Arial" w:hAnsi="Arial" w:cs="Arial"/>
          <w:noProof/>
          <w:sz w:val="24"/>
          <w:szCs w:val="24"/>
        </w:rPr>
        <w:t>,</w:t>
      </w:r>
      <w:r w:rsidRPr="009874F3">
        <w:rPr>
          <w:rFonts w:ascii="Arial" w:hAnsi="Arial" w:cs="Arial"/>
          <w:noProof/>
          <w:sz w:val="24"/>
          <w:szCs w:val="24"/>
        </w:rPr>
        <w:t xml:space="preserve"> but overall improvement (e.g., reduction of </w:t>
      </w:r>
      <w:r>
        <w:rPr>
          <w:rFonts w:ascii="Arial" w:hAnsi="Arial" w:cs="Arial"/>
          <w:noProof/>
          <w:sz w:val="24"/>
          <w:szCs w:val="24"/>
        </w:rPr>
        <w:t xml:space="preserve">pain, </w:t>
      </w:r>
      <w:r w:rsidRPr="009874F3">
        <w:rPr>
          <w:rFonts w:ascii="Arial" w:hAnsi="Arial" w:cs="Arial"/>
          <w:noProof/>
          <w:sz w:val="24"/>
          <w:szCs w:val="24"/>
        </w:rPr>
        <w:t>erythema</w:t>
      </w:r>
      <w:r w:rsidR="007914BE">
        <w:rPr>
          <w:rFonts w:ascii="Arial" w:hAnsi="Arial" w:cs="Arial"/>
          <w:noProof/>
          <w:sz w:val="24"/>
          <w:szCs w:val="24"/>
        </w:rPr>
        <w:t>,</w:t>
      </w:r>
      <w:r w:rsidRPr="009874F3">
        <w:rPr>
          <w:rFonts w:ascii="Arial" w:hAnsi="Arial" w:cs="Arial"/>
          <w:noProof/>
          <w:sz w:val="24"/>
          <w:szCs w:val="24"/>
        </w:rPr>
        <w:t xml:space="preserve"> and local inflammation and resolution of fevers) generally occurs by day 3</w:t>
      </w:r>
      <w:r w:rsidR="00016DC6">
        <w:rPr>
          <w:rFonts w:ascii="Arial" w:hAnsi="Arial" w:cs="Arial"/>
          <w:noProof/>
          <w:sz w:val="24"/>
          <w:szCs w:val="24"/>
          <w:vertAlign w:val="superscript"/>
        </w:rPr>
        <w:t>7</w:t>
      </w:r>
    </w:p>
    <w:p w14:paraId="52607479" w14:textId="2801AFC9" w:rsidR="0053407B" w:rsidRPr="009874F3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Narrow and tailor antbiotics</w:t>
      </w:r>
      <w:r w:rsidRPr="009874F3">
        <w:rPr>
          <w:rFonts w:ascii="Arial" w:hAnsi="Arial" w:cs="Arial"/>
          <w:noProof/>
          <w:sz w:val="24"/>
          <w:szCs w:val="24"/>
        </w:rPr>
        <w:t xml:space="preserve"> based on available culture results</w:t>
      </w:r>
      <w:r>
        <w:rPr>
          <w:rFonts w:ascii="Arial" w:hAnsi="Arial" w:cs="Arial"/>
          <w:noProof/>
          <w:sz w:val="24"/>
          <w:szCs w:val="24"/>
        </w:rPr>
        <w:t xml:space="preserve"> when available</w:t>
      </w:r>
      <w:r w:rsidR="007B5C8D">
        <w:rPr>
          <w:rFonts w:ascii="Arial" w:hAnsi="Arial" w:cs="Arial"/>
          <w:noProof/>
          <w:sz w:val="24"/>
          <w:szCs w:val="24"/>
          <w:vertAlign w:val="superscript"/>
        </w:rPr>
        <w:t>2,3</w:t>
      </w:r>
    </w:p>
    <w:p w14:paraId="59612C75" w14:textId="77777777" w:rsidR="0053407B" w:rsidRPr="003E13BE" w:rsidRDefault="0053407B" w:rsidP="0053407B">
      <w:pPr>
        <w:spacing w:after="0" w:line="240" w:lineRule="auto"/>
        <w:contextualSpacing/>
        <w:rPr>
          <w:rFonts w:ascii="Arial" w:hAnsi="Arial" w:cs="Arial"/>
          <w:i/>
          <w:sz w:val="8"/>
          <w:szCs w:val="8"/>
        </w:rPr>
      </w:pPr>
    </w:p>
    <w:p w14:paraId="7FF370EC" w14:textId="6657FE5B" w:rsidR="0053407B" w:rsidRPr="004465A1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b/>
          <w:noProof/>
          <w:sz w:val="24"/>
          <w:szCs w:val="24"/>
        </w:rPr>
        <w:t>Nonpurulent cellulitis</w:t>
      </w:r>
      <w:r w:rsidR="003A03C1">
        <w:rPr>
          <w:rFonts w:ascii="Arial" w:hAnsi="Arial" w:cs="Arial"/>
          <w:noProof/>
          <w:sz w:val="24"/>
          <w:szCs w:val="24"/>
          <w:vertAlign w:val="superscript"/>
        </w:rPr>
        <w:t>1,2</w:t>
      </w:r>
    </w:p>
    <w:p w14:paraId="39400792" w14:textId="20972404" w:rsidR="0053407B" w:rsidRPr="004465A1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Cover </w:t>
      </w:r>
      <w:r w:rsidR="001E6C84">
        <w:rPr>
          <w:rFonts w:ascii="Arial" w:hAnsi="Arial" w:cs="Arial"/>
          <w:noProof/>
          <w:sz w:val="24"/>
          <w:szCs w:val="24"/>
        </w:rPr>
        <w:t>beta</w:t>
      </w:r>
      <w:r w:rsidRPr="004465A1">
        <w:rPr>
          <w:rFonts w:ascii="Arial" w:hAnsi="Arial" w:cs="Arial"/>
          <w:noProof/>
          <w:sz w:val="24"/>
          <w:szCs w:val="24"/>
        </w:rPr>
        <w:t xml:space="preserve">-hemolytic strep </w:t>
      </w:r>
      <w:r>
        <w:rPr>
          <w:rFonts w:ascii="Arial" w:hAnsi="Arial" w:cs="Arial"/>
          <w:noProof/>
          <w:sz w:val="24"/>
          <w:szCs w:val="24"/>
        </w:rPr>
        <w:t xml:space="preserve">and </w:t>
      </w:r>
      <w:r w:rsidRPr="004465A1">
        <w:rPr>
          <w:rFonts w:ascii="Arial" w:hAnsi="Arial" w:cs="Arial"/>
          <w:noProof/>
          <w:sz w:val="24"/>
          <w:szCs w:val="24"/>
        </w:rPr>
        <w:t>MSSA</w:t>
      </w:r>
      <w:r>
        <w:rPr>
          <w:rFonts w:ascii="Arial" w:hAnsi="Arial" w:cs="Arial"/>
          <w:noProof/>
          <w:sz w:val="24"/>
          <w:szCs w:val="24"/>
        </w:rPr>
        <w:t xml:space="preserve">; </w:t>
      </w:r>
      <w:r w:rsidRPr="004465A1">
        <w:rPr>
          <w:rFonts w:ascii="Arial" w:hAnsi="Arial" w:cs="Arial"/>
          <w:noProof/>
          <w:sz w:val="24"/>
          <w:szCs w:val="24"/>
        </w:rPr>
        <w:t>MRSA coverage is not routinely indicated</w:t>
      </w:r>
    </w:p>
    <w:p w14:paraId="686F2D00" w14:textId="77777777" w:rsidR="0053407B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005733D7" w14:textId="77777777" w:rsidR="0053407B" w:rsidRPr="00D53992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2C6C5DAE" w14:textId="2BAAE17C" w:rsidR="0053407B" w:rsidRPr="004465A1" w:rsidRDefault="0053407B" w:rsidP="0053407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b/>
          <w:noProof/>
          <w:sz w:val="24"/>
          <w:szCs w:val="24"/>
        </w:rPr>
        <w:t>Purulent cellulitis</w:t>
      </w:r>
      <w:r w:rsidR="008328BC">
        <w:rPr>
          <w:rFonts w:ascii="Arial" w:hAnsi="Arial" w:cs="Arial"/>
          <w:b/>
          <w:noProof/>
          <w:sz w:val="24"/>
          <w:szCs w:val="24"/>
          <w:vertAlign w:val="superscript"/>
        </w:rPr>
        <w:t>2,3</w:t>
      </w:r>
    </w:p>
    <w:p w14:paraId="7F002BC0" w14:textId="77777777" w:rsidR="0053407B" w:rsidRPr="004465A1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Incision and drainage of abscess is essential </w:t>
      </w:r>
    </w:p>
    <w:p w14:paraId="449B5F1C" w14:textId="77777777" w:rsidR="0053407B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For an uncomplicated s</w:t>
      </w:r>
      <w:r w:rsidRPr="004465A1">
        <w:rPr>
          <w:rFonts w:ascii="Arial" w:hAnsi="Arial" w:cs="Arial"/>
          <w:noProof/>
          <w:sz w:val="24"/>
          <w:szCs w:val="24"/>
        </w:rPr>
        <w:t>kin abscess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4465A1">
        <w:rPr>
          <w:rFonts w:ascii="Arial" w:hAnsi="Arial" w:cs="Arial"/>
          <w:noProof/>
          <w:sz w:val="24"/>
          <w:szCs w:val="24"/>
        </w:rPr>
        <w:t>with minimal cellulitis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4465A1">
        <w:rPr>
          <w:rFonts w:ascii="Arial" w:hAnsi="Arial" w:cs="Arial"/>
          <w:noProof/>
          <w:sz w:val="24"/>
          <w:szCs w:val="24"/>
        </w:rPr>
        <w:t>antibiotic</w:t>
      </w:r>
      <w:r>
        <w:rPr>
          <w:rFonts w:ascii="Arial" w:hAnsi="Arial" w:cs="Arial"/>
          <w:noProof/>
          <w:sz w:val="24"/>
          <w:szCs w:val="24"/>
        </w:rPr>
        <w:t>s are of</w:t>
      </w:r>
      <w:r w:rsidRPr="004465A1">
        <w:rPr>
          <w:rFonts w:ascii="Arial" w:hAnsi="Arial" w:cs="Arial"/>
          <w:noProof/>
          <w:sz w:val="24"/>
          <w:szCs w:val="24"/>
        </w:rPr>
        <w:t xml:space="preserve"> modest benefit </w:t>
      </w:r>
      <w:r>
        <w:rPr>
          <w:rFonts w:ascii="Arial" w:hAnsi="Arial" w:cs="Arial"/>
          <w:noProof/>
          <w:sz w:val="24"/>
          <w:szCs w:val="24"/>
        </w:rPr>
        <w:t xml:space="preserve">once the </w:t>
      </w:r>
      <w:r w:rsidRPr="004465A1">
        <w:rPr>
          <w:rFonts w:ascii="Arial" w:hAnsi="Arial" w:cs="Arial"/>
          <w:noProof/>
          <w:sz w:val="24"/>
          <w:szCs w:val="24"/>
        </w:rPr>
        <w:t>absces</w:t>
      </w:r>
      <w:r>
        <w:rPr>
          <w:rFonts w:ascii="Arial" w:hAnsi="Arial" w:cs="Arial"/>
          <w:noProof/>
          <w:sz w:val="24"/>
          <w:szCs w:val="24"/>
        </w:rPr>
        <w:t>s is drained</w:t>
      </w:r>
    </w:p>
    <w:p w14:paraId="2C3C8F64" w14:textId="2045FF83" w:rsidR="00FC6EC2" w:rsidRDefault="0053407B" w:rsidP="00FC6EC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</w:t>
      </w:r>
      <w:r w:rsidRPr="004465A1">
        <w:rPr>
          <w:rFonts w:ascii="Arial" w:hAnsi="Arial" w:cs="Arial"/>
          <w:noProof/>
          <w:sz w:val="24"/>
          <w:szCs w:val="24"/>
        </w:rPr>
        <w:t xml:space="preserve">ntibiotics are recommended for </w:t>
      </w:r>
      <w:r w:rsidRPr="009F2284">
        <w:rPr>
          <w:rFonts w:ascii="Arial" w:hAnsi="Arial" w:cs="Arial"/>
          <w:noProof/>
          <w:sz w:val="24"/>
          <w:szCs w:val="24"/>
        </w:rPr>
        <w:t>residents with</w:t>
      </w:r>
      <w:r w:rsidR="00494A37">
        <w:rPr>
          <w:rFonts w:ascii="Arial" w:hAnsi="Arial" w:cs="Arial"/>
          <w:noProof/>
          <w:sz w:val="24"/>
          <w:szCs w:val="24"/>
        </w:rPr>
        <w:t>—</w:t>
      </w:r>
      <w:r w:rsidRPr="009F2284">
        <w:rPr>
          <w:rFonts w:ascii="Arial" w:hAnsi="Arial" w:cs="Arial"/>
          <w:noProof/>
          <w:sz w:val="24"/>
          <w:szCs w:val="24"/>
        </w:rPr>
        <w:t xml:space="preserve"> </w:t>
      </w:r>
    </w:p>
    <w:p w14:paraId="179C807A" w14:textId="4925194D" w:rsidR="0053407B" w:rsidRPr="009F2284" w:rsidRDefault="0099176A" w:rsidP="00A03071">
      <w:pPr>
        <w:pStyle w:val="ListParagraph"/>
        <w:numPr>
          <w:ilvl w:val="2"/>
          <w:numId w:val="25"/>
        </w:numPr>
        <w:spacing w:after="0" w:line="240" w:lineRule="auto"/>
        <w:ind w:left="108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</w:t>
      </w:r>
      <w:r w:rsidRPr="009F2284">
        <w:rPr>
          <w:rFonts w:ascii="Arial" w:hAnsi="Arial" w:cs="Arial"/>
          <w:noProof/>
          <w:sz w:val="24"/>
          <w:szCs w:val="24"/>
        </w:rPr>
        <w:t xml:space="preserve">ssociated </w:t>
      </w:r>
      <w:r w:rsidR="0053407B" w:rsidRPr="009F2284">
        <w:rPr>
          <w:rFonts w:ascii="Arial" w:hAnsi="Arial" w:cs="Arial"/>
          <w:noProof/>
          <w:sz w:val="24"/>
          <w:szCs w:val="24"/>
        </w:rPr>
        <w:t>systemic illness</w:t>
      </w:r>
    </w:p>
    <w:p w14:paraId="69F990D9" w14:textId="0B832766" w:rsidR="0053407B" w:rsidRDefault="0072229E" w:rsidP="00A03071">
      <w:pPr>
        <w:pStyle w:val="ListParagraph"/>
        <w:numPr>
          <w:ilvl w:val="2"/>
          <w:numId w:val="25"/>
        </w:numPr>
        <w:spacing w:after="0" w:line="240" w:lineRule="auto"/>
        <w:ind w:left="108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</w:t>
      </w:r>
      <w:r w:rsidR="0053407B" w:rsidRPr="004465A1">
        <w:rPr>
          <w:rFonts w:ascii="Arial" w:hAnsi="Arial" w:cs="Arial"/>
          <w:noProof/>
          <w:sz w:val="24"/>
          <w:szCs w:val="24"/>
        </w:rPr>
        <w:t>iabetes</w:t>
      </w:r>
      <w:r w:rsidR="0053407B">
        <w:rPr>
          <w:rFonts w:ascii="Arial" w:hAnsi="Arial" w:cs="Arial"/>
          <w:noProof/>
          <w:sz w:val="24"/>
          <w:szCs w:val="24"/>
        </w:rPr>
        <w:t xml:space="preserve"> or</w:t>
      </w:r>
      <w:r w:rsidR="0053407B" w:rsidRPr="004465A1">
        <w:rPr>
          <w:rFonts w:ascii="Arial" w:hAnsi="Arial" w:cs="Arial"/>
          <w:noProof/>
          <w:sz w:val="24"/>
          <w:szCs w:val="24"/>
        </w:rPr>
        <w:t xml:space="preserve"> immunocompromise</w:t>
      </w:r>
      <w:r w:rsidR="0053407B">
        <w:rPr>
          <w:rFonts w:ascii="Arial" w:hAnsi="Arial" w:cs="Arial"/>
          <w:noProof/>
          <w:sz w:val="24"/>
          <w:szCs w:val="24"/>
        </w:rPr>
        <w:t xml:space="preserve"> </w:t>
      </w:r>
    </w:p>
    <w:p w14:paraId="0926FA7A" w14:textId="0C4A848F" w:rsidR="00FC6EC2" w:rsidRDefault="0072229E" w:rsidP="00A03071">
      <w:pPr>
        <w:pStyle w:val="ListParagraph"/>
        <w:numPr>
          <w:ilvl w:val="2"/>
          <w:numId w:val="25"/>
        </w:numPr>
        <w:spacing w:after="0" w:line="240" w:lineRule="auto"/>
        <w:ind w:left="108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An </w:t>
      </w:r>
      <w:r w:rsidR="0053407B">
        <w:rPr>
          <w:rFonts w:ascii="Arial" w:hAnsi="Arial" w:cs="Arial"/>
          <w:noProof/>
          <w:sz w:val="24"/>
          <w:szCs w:val="24"/>
        </w:rPr>
        <w:t xml:space="preserve">abscess that has more than minimal cellulitis or </w:t>
      </w:r>
    </w:p>
    <w:p w14:paraId="2636CE71" w14:textId="2FB78D3E" w:rsidR="0053407B" w:rsidRDefault="0072229E" w:rsidP="00A03071">
      <w:pPr>
        <w:pStyle w:val="ListParagraph"/>
        <w:numPr>
          <w:ilvl w:val="2"/>
          <w:numId w:val="25"/>
        </w:numPr>
        <w:spacing w:after="0" w:line="240" w:lineRule="auto"/>
        <w:ind w:left="108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</w:t>
      </w:r>
      <w:r w:rsidR="00FC6EC2">
        <w:rPr>
          <w:rFonts w:ascii="Arial" w:hAnsi="Arial" w:cs="Arial"/>
          <w:noProof/>
          <w:sz w:val="24"/>
          <w:szCs w:val="24"/>
        </w:rPr>
        <w:t xml:space="preserve">n abscess </w:t>
      </w:r>
      <w:r w:rsidR="0053407B" w:rsidRPr="004465A1">
        <w:rPr>
          <w:rFonts w:ascii="Arial" w:hAnsi="Arial" w:cs="Arial"/>
          <w:noProof/>
          <w:sz w:val="24"/>
          <w:szCs w:val="24"/>
        </w:rPr>
        <w:t>in an area where drainage is difficult</w:t>
      </w:r>
    </w:p>
    <w:p w14:paraId="596545CA" w14:textId="2FB24B9B" w:rsidR="00FC6EC2" w:rsidRPr="009F2284" w:rsidRDefault="00FC6EC2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D742CC">
        <w:rPr>
          <w:rFonts w:ascii="Arial" w:hAnsi="Arial" w:cs="Arial"/>
          <w:noProof/>
          <w:sz w:val="24"/>
          <w:szCs w:val="24"/>
        </w:rPr>
        <w:t>Cover</w:t>
      </w:r>
      <w:r>
        <w:rPr>
          <w:rFonts w:ascii="Arial" w:hAnsi="Arial" w:cs="Arial"/>
          <w:i/>
          <w:noProof/>
          <w:sz w:val="24"/>
          <w:szCs w:val="24"/>
        </w:rPr>
        <w:t xml:space="preserve"> </w:t>
      </w:r>
      <w:r w:rsidRPr="004465A1">
        <w:rPr>
          <w:rFonts w:ascii="Arial" w:hAnsi="Arial" w:cs="Arial"/>
          <w:i/>
          <w:noProof/>
          <w:sz w:val="24"/>
          <w:szCs w:val="24"/>
        </w:rPr>
        <w:t>S. aureus</w:t>
      </w:r>
      <w:r w:rsidRPr="004465A1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including </w:t>
      </w:r>
      <w:r w:rsidRPr="004465A1">
        <w:rPr>
          <w:rFonts w:ascii="Arial" w:hAnsi="Arial" w:cs="Arial"/>
          <w:noProof/>
          <w:sz w:val="24"/>
          <w:szCs w:val="24"/>
        </w:rPr>
        <w:t>MRSA</w:t>
      </w:r>
    </w:p>
    <w:p w14:paraId="1F9A9753" w14:textId="77777777" w:rsidR="0053407B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[Place </w:t>
      </w:r>
      <w:r>
        <w:rPr>
          <w:rFonts w:ascii="Arial" w:hAnsi="Arial" w:cs="Arial"/>
          <w:noProof/>
          <w:sz w:val="24"/>
          <w:szCs w:val="24"/>
          <w:highlight w:val="lightGray"/>
        </w:rPr>
        <w:t>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08AC0F91" w14:textId="77777777" w:rsidR="0053407B" w:rsidRDefault="0053407B" w:rsidP="0053407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1924D194" w14:textId="77777777" w:rsidR="0053407B" w:rsidRPr="003E13BE" w:rsidRDefault="0053407B" w:rsidP="0053407B">
      <w:pPr>
        <w:pStyle w:val="ListParagraph"/>
        <w:spacing w:after="0" w:line="240" w:lineRule="auto"/>
        <w:ind w:left="360" w:right="-540"/>
        <w:contextualSpacing/>
        <w:rPr>
          <w:rFonts w:ascii="Arial" w:hAnsi="Arial" w:cs="Arial"/>
          <w:noProof/>
          <w:sz w:val="8"/>
          <w:szCs w:val="8"/>
        </w:rPr>
      </w:pPr>
    </w:p>
    <w:p w14:paraId="3488CA92" w14:textId="5ED59A79" w:rsidR="0053407B" w:rsidRPr="009874F3" w:rsidRDefault="0053407B" w:rsidP="0053407B">
      <w:pPr>
        <w:spacing w:after="0" w:line="240" w:lineRule="auto"/>
        <w:ind w:left="-547" w:right="-547"/>
        <w:contextualSpacing/>
        <w:rPr>
          <w:rFonts w:ascii="Arial" w:hAnsi="Arial" w:cs="Arial"/>
          <w:noProof/>
          <w:sz w:val="24"/>
          <w:szCs w:val="24"/>
        </w:rPr>
      </w:pPr>
      <w:r w:rsidRPr="009874F3">
        <w:rPr>
          <w:rFonts w:ascii="Arial" w:hAnsi="Arial" w:cs="Arial"/>
          <w:i/>
          <w:noProof/>
          <w:sz w:val="20"/>
          <w:szCs w:val="20"/>
        </w:rPr>
        <w:t>Note: Residents who are critically ill, neutropenic, severely immunocompromised</w:t>
      </w:r>
      <w:r w:rsidR="006A5048">
        <w:rPr>
          <w:rFonts w:ascii="Arial" w:hAnsi="Arial" w:cs="Arial"/>
          <w:i/>
          <w:noProof/>
          <w:sz w:val="20"/>
          <w:szCs w:val="20"/>
        </w:rPr>
        <w:t>,</w:t>
      </w:r>
      <w:r w:rsidRPr="009874F3">
        <w:rPr>
          <w:rFonts w:ascii="Arial" w:hAnsi="Arial" w:cs="Arial"/>
          <w:i/>
          <w:noProof/>
          <w:sz w:val="20"/>
          <w:szCs w:val="20"/>
        </w:rPr>
        <w:t xml:space="preserve"> or with suspected necrotizing fasciitis should receive care in an acute care setting where they can receive empiric broad-spectrum antibiotics. Patients with cellulitis associated with longstanding diabetic foot ulcers</w:t>
      </w:r>
      <w:r>
        <w:rPr>
          <w:rFonts w:ascii="Arial" w:hAnsi="Arial" w:cs="Arial"/>
          <w:i/>
          <w:noProof/>
          <w:sz w:val="20"/>
          <w:szCs w:val="20"/>
        </w:rPr>
        <w:t xml:space="preserve"> or pressure ulcers</w:t>
      </w:r>
      <w:r w:rsidRPr="009874F3">
        <w:rPr>
          <w:rFonts w:ascii="Arial" w:hAnsi="Arial" w:cs="Arial"/>
          <w:i/>
          <w:noProof/>
          <w:sz w:val="20"/>
          <w:szCs w:val="20"/>
        </w:rPr>
        <w:t xml:space="preserve"> may require alternative antibiotics</w:t>
      </w:r>
      <w:r>
        <w:rPr>
          <w:rFonts w:ascii="Arial" w:hAnsi="Arial" w:cs="Arial"/>
          <w:i/>
          <w:noProof/>
          <w:sz w:val="20"/>
          <w:szCs w:val="20"/>
        </w:rPr>
        <w:t>.</w:t>
      </w:r>
      <w:r w:rsidRPr="009874F3">
        <w:rPr>
          <w:rFonts w:ascii="Arial" w:hAnsi="Arial" w:cs="Arial"/>
          <w:i/>
          <w:noProof/>
          <w:sz w:val="20"/>
          <w:szCs w:val="20"/>
        </w:rPr>
        <w:t xml:space="preserve"> Consider transfe</w:t>
      </w:r>
      <w:r w:rsidR="00F26E5C">
        <w:rPr>
          <w:rFonts w:ascii="Arial" w:hAnsi="Arial" w:cs="Arial"/>
          <w:i/>
          <w:noProof/>
          <w:sz w:val="20"/>
          <w:szCs w:val="20"/>
        </w:rPr>
        <w:t>r</w:t>
      </w:r>
      <w:r w:rsidRPr="009874F3">
        <w:rPr>
          <w:rFonts w:ascii="Arial" w:hAnsi="Arial" w:cs="Arial"/>
          <w:i/>
          <w:noProof/>
          <w:sz w:val="20"/>
          <w:szCs w:val="20"/>
        </w:rPr>
        <w:t>ring these residents to an acute care setting if consistent with goals of care.</w:t>
      </w:r>
      <w:r w:rsidR="00CE3251">
        <w:rPr>
          <w:rFonts w:ascii="Arial" w:hAnsi="Arial" w:cs="Arial"/>
          <w:noProof/>
          <w:sz w:val="20"/>
          <w:szCs w:val="20"/>
          <w:vertAlign w:val="superscript"/>
        </w:rPr>
        <w:t>2,3</w:t>
      </w:r>
      <w:r w:rsidRPr="009874F3">
        <w:rPr>
          <w:rFonts w:ascii="Arial" w:hAnsi="Arial" w:cs="Arial"/>
          <w:i/>
          <w:noProof/>
          <w:sz w:val="20"/>
          <w:szCs w:val="20"/>
        </w:rPr>
        <w:t xml:space="preserve">  </w:t>
      </w:r>
    </w:p>
    <w:p w14:paraId="7ED01887" w14:textId="77777777" w:rsidR="0053407B" w:rsidRPr="003E13BE" w:rsidRDefault="0053407B" w:rsidP="0053407B">
      <w:pPr>
        <w:spacing w:after="0" w:line="240" w:lineRule="auto"/>
        <w:ind w:left="-540" w:right="-547"/>
        <w:contextualSpacing/>
        <w:rPr>
          <w:rFonts w:ascii="Arial" w:hAnsi="Arial" w:cs="Arial"/>
          <w:b/>
          <w:sz w:val="8"/>
          <w:szCs w:val="8"/>
        </w:rPr>
      </w:pPr>
    </w:p>
    <w:p w14:paraId="1049FCEA" w14:textId="77777777" w:rsidR="0053407B" w:rsidRPr="001E6C84" w:rsidRDefault="0053407B" w:rsidP="00A03071">
      <w:pPr>
        <w:pStyle w:val="Heading10"/>
      </w:pPr>
      <w:r w:rsidRPr="001E6C8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CAEEF8" wp14:editId="669B6286">
                <wp:simplePos x="0" y="0"/>
                <wp:positionH relativeFrom="column">
                  <wp:posOffset>-332105</wp:posOffset>
                </wp:positionH>
                <wp:positionV relativeFrom="paragraph">
                  <wp:posOffset>276225</wp:posOffset>
                </wp:positionV>
                <wp:extent cx="6610350" cy="28575"/>
                <wp:effectExtent l="19050" t="1905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7DA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7723D" id="Straight Connector 4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5pt,21.75pt" to="494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" strokecolor="#007da3" strokeweight="2.5pt"/>
            </w:pict>
          </mc:Fallback>
        </mc:AlternateContent>
      </w:r>
      <w:r w:rsidRPr="001E6C84">
        <w:t xml:space="preserve">Duration </w:t>
      </w:r>
    </w:p>
    <w:p w14:paraId="017858E1" w14:textId="77777777" w:rsidR="0053407B" w:rsidRPr="00AC1501" w:rsidRDefault="0053407B" w:rsidP="0053407B">
      <w:pPr>
        <w:spacing w:after="0" w:line="240" w:lineRule="auto"/>
        <w:ind w:left="-540" w:right="-547"/>
        <w:contextualSpacing/>
        <w:rPr>
          <w:rFonts w:ascii="Arial" w:hAnsi="Arial" w:cs="Arial"/>
          <w:b/>
          <w:sz w:val="20"/>
          <w:szCs w:val="20"/>
        </w:rPr>
      </w:pPr>
    </w:p>
    <w:p w14:paraId="12A4BCB4" w14:textId="7D3EAC5B" w:rsidR="003E13BE" w:rsidRPr="00494A37" w:rsidRDefault="0053407B" w:rsidP="00A03071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noProof/>
        </w:rPr>
      </w:pPr>
      <w:r w:rsidRPr="004465A1">
        <w:rPr>
          <w:rFonts w:ascii="Arial" w:hAnsi="Arial" w:cs="Arial"/>
          <w:noProof/>
          <w:sz w:val="24"/>
          <w:szCs w:val="24"/>
        </w:rPr>
        <w:t>5</w:t>
      </w:r>
      <w:r w:rsidR="00E20E3A">
        <w:rPr>
          <w:rFonts w:cs="Calibri"/>
          <w:noProof/>
          <w:sz w:val="24"/>
          <w:szCs w:val="24"/>
        </w:rPr>
        <w:t>–</w:t>
      </w:r>
      <w:r w:rsidRPr="004465A1">
        <w:rPr>
          <w:rFonts w:ascii="Arial" w:hAnsi="Arial" w:cs="Arial"/>
          <w:noProof/>
          <w:sz w:val="24"/>
          <w:szCs w:val="24"/>
        </w:rPr>
        <w:t>7 days if clincial response by day 3</w:t>
      </w:r>
      <w:r w:rsidR="00CE3251">
        <w:rPr>
          <w:rFonts w:ascii="Arial" w:hAnsi="Arial" w:cs="Arial"/>
          <w:noProof/>
          <w:sz w:val="24"/>
          <w:szCs w:val="24"/>
          <w:vertAlign w:val="superscript"/>
        </w:rPr>
        <w:t>1-3,8</w:t>
      </w:r>
      <w:r w:rsidR="0081450A">
        <w:rPr>
          <w:rFonts w:ascii="Arial" w:hAnsi="Arial" w:cs="Arial"/>
          <w:noProof/>
          <w:sz w:val="24"/>
          <w:szCs w:val="24"/>
          <w:vertAlign w:val="superscript"/>
        </w:rPr>
        <w:t>,9</w:t>
      </w:r>
    </w:p>
    <w:p w14:paraId="73FED03A" w14:textId="6A6D5844" w:rsidR="0053407B" w:rsidRPr="001E6C84" w:rsidRDefault="002C213D" w:rsidP="00A03071">
      <w:pPr>
        <w:pStyle w:val="Heading10"/>
      </w:pPr>
      <w:r w:rsidRPr="00AC1501">
        <w:rPr>
          <w:b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515210" wp14:editId="06DFDD40">
                <wp:simplePos x="0" y="0"/>
                <wp:positionH relativeFrom="column">
                  <wp:posOffset>-342900</wp:posOffset>
                </wp:positionH>
                <wp:positionV relativeFrom="paragraph">
                  <wp:posOffset>241300</wp:posOffset>
                </wp:positionV>
                <wp:extent cx="662940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7DA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E559E" id="Straight Connector 6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9pt" to="4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" strokecolor="#007da3" strokeweight="2.5pt"/>
            </w:pict>
          </mc:Fallback>
        </mc:AlternateContent>
      </w:r>
      <w:r w:rsidR="0053407B" w:rsidRPr="001E6C84">
        <w:t>References</w:t>
      </w:r>
    </w:p>
    <w:p w14:paraId="1187466B" w14:textId="49BCC8BA" w:rsidR="0053407B" w:rsidRPr="004B2D50" w:rsidRDefault="0053407B" w:rsidP="0053407B">
      <w:pPr>
        <w:pStyle w:val="ListParagraph"/>
        <w:spacing w:after="0" w:line="240" w:lineRule="auto"/>
        <w:ind w:right="-540"/>
        <w:contextualSpacing/>
        <w:rPr>
          <w:rFonts w:ascii="Arial" w:hAnsi="Arial" w:cs="Arial"/>
          <w:b/>
          <w:noProof/>
          <w:sz w:val="32"/>
          <w:szCs w:val="32"/>
        </w:rPr>
      </w:pPr>
    </w:p>
    <w:p w14:paraId="0DA52F4C" w14:textId="77777777" w:rsidR="0053407B" w:rsidRDefault="0053407B" w:rsidP="0053407B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  <w:sectPr w:rsidR="0053407B" w:rsidSect="00CD7F86">
          <w:footerReference w:type="default" r:id="rId8"/>
          <w:pgSz w:w="12240" w:h="15840"/>
          <w:pgMar w:top="288" w:right="1440" w:bottom="446" w:left="1440" w:header="0" w:footer="288" w:gutter="0"/>
          <w:cols w:space="720"/>
          <w:titlePg/>
          <w:docGrid w:linePitch="360"/>
        </w:sectPr>
      </w:pPr>
    </w:p>
    <w:p w14:paraId="6C31A7C4" w14:textId="5712D57F" w:rsidR="007D3498" w:rsidRDefault="007D3498" w:rsidP="00A03071">
      <w:pPr>
        <w:pStyle w:val="ListParagraph"/>
        <w:numPr>
          <w:ilvl w:val="0"/>
          <w:numId w:val="23"/>
        </w:numPr>
        <w:ind w:left="-180" w:right="405"/>
        <w:rPr>
          <w:rFonts w:ascii="Arial" w:hAnsi="Arial" w:cs="Arial"/>
          <w:sz w:val="20"/>
          <w:szCs w:val="20"/>
        </w:rPr>
      </w:pPr>
      <w:r w:rsidRPr="007D3498">
        <w:rPr>
          <w:rFonts w:ascii="Arial" w:hAnsi="Arial" w:cs="Arial"/>
          <w:sz w:val="20"/>
          <w:szCs w:val="20"/>
        </w:rPr>
        <w:t xml:space="preserve">Raff AB, </w:t>
      </w:r>
      <w:proofErr w:type="spellStart"/>
      <w:r w:rsidRPr="007D3498">
        <w:rPr>
          <w:rFonts w:ascii="Arial" w:hAnsi="Arial" w:cs="Arial"/>
          <w:sz w:val="20"/>
          <w:szCs w:val="20"/>
        </w:rPr>
        <w:t>Kroshinsky</w:t>
      </w:r>
      <w:proofErr w:type="spellEnd"/>
      <w:r w:rsidRPr="007D3498">
        <w:rPr>
          <w:rFonts w:ascii="Arial" w:hAnsi="Arial" w:cs="Arial"/>
          <w:sz w:val="20"/>
          <w:szCs w:val="20"/>
        </w:rPr>
        <w:t xml:space="preserve"> D. Cellulitis: A review. JAMA. 2016 Jul 19;316(3):325-37. PMID: 27434444.</w:t>
      </w:r>
    </w:p>
    <w:p w14:paraId="08954E38" w14:textId="0D5840D2" w:rsidR="007D3498" w:rsidRDefault="007D3498" w:rsidP="00A03071">
      <w:pPr>
        <w:pStyle w:val="ListParagraph"/>
        <w:numPr>
          <w:ilvl w:val="0"/>
          <w:numId w:val="23"/>
        </w:numPr>
        <w:ind w:left="-180" w:right="4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Stevens DL, </w:t>
      </w:r>
      <w:proofErr w:type="spellStart"/>
      <w:r>
        <w:rPr>
          <w:rFonts w:ascii="Arial" w:hAnsi="Arial" w:cs="Arial"/>
          <w:sz w:val="20"/>
          <w:szCs w:val="20"/>
        </w:rPr>
        <w:t>Bisno</w:t>
      </w:r>
      <w:proofErr w:type="spellEnd"/>
      <w:r>
        <w:rPr>
          <w:rFonts w:ascii="Arial" w:hAnsi="Arial" w:cs="Arial"/>
          <w:sz w:val="20"/>
          <w:szCs w:val="20"/>
        </w:rPr>
        <w:t xml:space="preserve"> AL, Chambers HF, et al. </w:t>
      </w:r>
      <w:r w:rsidRPr="007D3498">
        <w:rPr>
          <w:rFonts w:ascii="Arial" w:hAnsi="Arial" w:cs="Arial"/>
          <w:sz w:val="20"/>
          <w:szCs w:val="20"/>
        </w:rPr>
        <w:t>Practice guidelines for the diagnosis and management of skin and soft tissue infections: 2014 update by the Infectious Diseases Society of America</w:t>
      </w:r>
      <w:r>
        <w:rPr>
          <w:rFonts w:ascii="Arial" w:hAnsi="Arial" w:cs="Arial"/>
          <w:sz w:val="20"/>
          <w:szCs w:val="20"/>
        </w:rPr>
        <w:t xml:space="preserve">. </w:t>
      </w:r>
      <w:r w:rsidRPr="007D3498">
        <w:rPr>
          <w:rFonts w:ascii="Arial" w:hAnsi="Arial" w:cs="Arial"/>
          <w:sz w:val="20"/>
          <w:szCs w:val="20"/>
        </w:rPr>
        <w:t>Clin Infect Dis. 2014 Jul 15;59(2</w:t>
      </w:r>
      <w:proofErr w:type="gramStart"/>
      <w:r w:rsidRPr="007D3498">
        <w:rPr>
          <w:rFonts w:ascii="Arial" w:hAnsi="Arial" w:cs="Arial"/>
          <w:sz w:val="20"/>
          <w:szCs w:val="20"/>
        </w:rPr>
        <w:t>):e</w:t>
      </w:r>
      <w:proofErr w:type="gramEnd"/>
      <w:r w:rsidRPr="007D3498">
        <w:rPr>
          <w:rFonts w:ascii="Arial" w:hAnsi="Arial" w:cs="Arial"/>
          <w:sz w:val="20"/>
          <w:szCs w:val="20"/>
        </w:rPr>
        <w:t>10-52.</w:t>
      </w:r>
      <w:r>
        <w:rPr>
          <w:rFonts w:ascii="Arial" w:hAnsi="Arial" w:cs="Arial"/>
          <w:sz w:val="20"/>
          <w:szCs w:val="20"/>
        </w:rPr>
        <w:t xml:space="preserve"> </w:t>
      </w:r>
      <w:r w:rsidRPr="007D3498">
        <w:rPr>
          <w:rFonts w:ascii="Arial" w:hAnsi="Arial" w:cs="Arial"/>
          <w:sz w:val="20"/>
          <w:szCs w:val="20"/>
        </w:rPr>
        <w:t>PMID: 24973422</w:t>
      </w:r>
      <w:r>
        <w:rPr>
          <w:rFonts w:ascii="Arial" w:hAnsi="Arial" w:cs="Arial"/>
          <w:sz w:val="20"/>
          <w:szCs w:val="20"/>
        </w:rPr>
        <w:t>.</w:t>
      </w:r>
    </w:p>
    <w:p w14:paraId="0DBB7955" w14:textId="6AEAB648" w:rsidR="006F38A5" w:rsidRDefault="006F38A5" w:rsidP="00A03071">
      <w:pPr>
        <w:pStyle w:val="ListParagraph"/>
        <w:numPr>
          <w:ilvl w:val="0"/>
          <w:numId w:val="23"/>
        </w:numPr>
        <w:ind w:left="-180" w:right="4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Liu C, Bayer A, Cosgrove SE, et al. </w:t>
      </w:r>
      <w:r w:rsidRPr="006F38A5">
        <w:rPr>
          <w:rFonts w:ascii="Arial" w:hAnsi="Arial" w:cs="Arial"/>
          <w:sz w:val="20"/>
          <w:szCs w:val="20"/>
        </w:rPr>
        <w:t xml:space="preserve">Clinical </w:t>
      </w:r>
      <w:r>
        <w:rPr>
          <w:rFonts w:ascii="Arial" w:hAnsi="Arial" w:cs="Arial"/>
          <w:sz w:val="20"/>
          <w:szCs w:val="20"/>
        </w:rPr>
        <w:t>p</w:t>
      </w:r>
      <w:r w:rsidRPr="006F38A5">
        <w:rPr>
          <w:rFonts w:ascii="Arial" w:hAnsi="Arial" w:cs="Arial"/>
          <w:sz w:val="20"/>
          <w:szCs w:val="20"/>
        </w:rPr>
        <w:t xml:space="preserve">ractice </w:t>
      </w:r>
      <w:r>
        <w:rPr>
          <w:rFonts w:ascii="Arial" w:hAnsi="Arial" w:cs="Arial"/>
          <w:sz w:val="20"/>
          <w:szCs w:val="20"/>
        </w:rPr>
        <w:t>g</w:t>
      </w:r>
      <w:r w:rsidRPr="006F38A5">
        <w:rPr>
          <w:rFonts w:ascii="Arial" w:hAnsi="Arial" w:cs="Arial"/>
          <w:sz w:val="20"/>
          <w:szCs w:val="20"/>
        </w:rPr>
        <w:t xml:space="preserve">uidelines by the Infectious Diseases Society of America for the </w:t>
      </w:r>
      <w:r>
        <w:rPr>
          <w:rFonts w:ascii="Arial" w:hAnsi="Arial" w:cs="Arial"/>
          <w:sz w:val="20"/>
          <w:szCs w:val="20"/>
        </w:rPr>
        <w:t>t</w:t>
      </w:r>
      <w:r w:rsidRPr="006F38A5">
        <w:rPr>
          <w:rFonts w:ascii="Arial" w:hAnsi="Arial" w:cs="Arial"/>
          <w:sz w:val="20"/>
          <w:szCs w:val="20"/>
        </w:rPr>
        <w:t xml:space="preserve">reatment of </w:t>
      </w:r>
      <w:r>
        <w:rPr>
          <w:rFonts w:ascii="Arial" w:hAnsi="Arial" w:cs="Arial"/>
          <w:sz w:val="20"/>
          <w:szCs w:val="20"/>
        </w:rPr>
        <w:t>m</w:t>
      </w:r>
      <w:r w:rsidRPr="006F38A5">
        <w:rPr>
          <w:rFonts w:ascii="Arial" w:hAnsi="Arial" w:cs="Arial"/>
          <w:sz w:val="20"/>
          <w:szCs w:val="20"/>
        </w:rPr>
        <w:t>ethicillin-</w:t>
      </w:r>
      <w:r>
        <w:rPr>
          <w:rFonts w:ascii="Arial" w:hAnsi="Arial" w:cs="Arial"/>
          <w:sz w:val="20"/>
          <w:szCs w:val="20"/>
        </w:rPr>
        <w:t>r</w:t>
      </w:r>
      <w:r w:rsidRPr="006F38A5">
        <w:rPr>
          <w:rFonts w:ascii="Arial" w:hAnsi="Arial" w:cs="Arial"/>
          <w:sz w:val="20"/>
          <w:szCs w:val="20"/>
        </w:rPr>
        <w:t xml:space="preserve">esistant </w:t>
      </w:r>
      <w:r w:rsidR="00C846E3" w:rsidRPr="00C846E3">
        <w:rPr>
          <w:rFonts w:ascii="Arial" w:hAnsi="Arial" w:cs="Arial"/>
          <w:i/>
          <w:sz w:val="20"/>
          <w:szCs w:val="20"/>
        </w:rPr>
        <w:t>S</w:t>
      </w:r>
      <w:r w:rsidRPr="00C846E3">
        <w:rPr>
          <w:rFonts w:ascii="Arial" w:hAnsi="Arial" w:cs="Arial"/>
          <w:i/>
          <w:sz w:val="20"/>
          <w:szCs w:val="20"/>
        </w:rPr>
        <w:t xml:space="preserve">taphylococcus aureus </w:t>
      </w:r>
      <w:r w:rsidR="00BD01F8">
        <w:rPr>
          <w:rFonts w:ascii="Arial" w:hAnsi="Arial" w:cs="Arial"/>
          <w:sz w:val="20"/>
          <w:szCs w:val="20"/>
        </w:rPr>
        <w:t>i</w:t>
      </w:r>
      <w:r w:rsidRPr="006F38A5">
        <w:rPr>
          <w:rFonts w:ascii="Arial" w:hAnsi="Arial" w:cs="Arial"/>
          <w:sz w:val="20"/>
          <w:szCs w:val="20"/>
        </w:rPr>
        <w:t xml:space="preserve">nfections in </w:t>
      </w:r>
      <w:r>
        <w:rPr>
          <w:rFonts w:ascii="Arial" w:hAnsi="Arial" w:cs="Arial"/>
          <w:sz w:val="20"/>
          <w:szCs w:val="20"/>
        </w:rPr>
        <w:t>a</w:t>
      </w:r>
      <w:r w:rsidRPr="006F38A5">
        <w:rPr>
          <w:rFonts w:ascii="Arial" w:hAnsi="Arial" w:cs="Arial"/>
          <w:sz w:val="20"/>
          <w:szCs w:val="20"/>
        </w:rPr>
        <w:t xml:space="preserve">dults and </w:t>
      </w:r>
      <w:r>
        <w:rPr>
          <w:rFonts w:ascii="Arial" w:hAnsi="Arial" w:cs="Arial"/>
          <w:sz w:val="20"/>
          <w:szCs w:val="20"/>
        </w:rPr>
        <w:t>c</w:t>
      </w:r>
      <w:r w:rsidRPr="006F38A5">
        <w:rPr>
          <w:rFonts w:ascii="Arial" w:hAnsi="Arial" w:cs="Arial"/>
          <w:sz w:val="20"/>
          <w:szCs w:val="20"/>
        </w:rPr>
        <w:t>hildren</w:t>
      </w:r>
      <w:r>
        <w:rPr>
          <w:rFonts w:ascii="Arial" w:hAnsi="Arial" w:cs="Arial"/>
          <w:sz w:val="20"/>
          <w:szCs w:val="20"/>
        </w:rPr>
        <w:t xml:space="preserve">. </w:t>
      </w:r>
      <w:r w:rsidRPr="006F38A5">
        <w:rPr>
          <w:rFonts w:ascii="Arial" w:hAnsi="Arial" w:cs="Arial"/>
          <w:sz w:val="20"/>
          <w:szCs w:val="20"/>
        </w:rPr>
        <w:t>Clin Infect Dis. 2011 Feb 1;52(3</w:t>
      </w:r>
      <w:proofErr w:type="gramStart"/>
      <w:r w:rsidRPr="006F38A5">
        <w:rPr>
          <w:rFonts w:ascii="Arial" w:hAnsi="Arial" w:cs="Arial"/>
          <w:sz w:val="20"/>
          <w:szCs w:val="20"/>
        </w:rPr>
        <w:t>):e</w:t>
      </w:r>
      <w:proofErr w:type="gramEnd"/>
      <w:r w:rsidRPr="006F38A5">
        <w:rPr>
          <w:rFonts w:ascii="Arial" w:hAnsi="Arial" w:cs="Arial"/>
          <w:sz w:val="20"/>
          <w:szCs w:val="20"/>
        </w:rPr>
        <w:t>18-55.</w:t>
      </w:r>
      <w:r>
        <w:rPr>
          <w:rFonts w:ascii="Arial" w:hAnsi="Arial" w:cs="Arial"/>
          <w:sz w:val="20"/>
          <w:szCs w:val="20"/>
        </w:rPr>
        <w:t xml:space="preserve"> </w:t>
      </w:r>
      <w:r w:rsidRPr="006F38A5">
        <w:rPr>
          <w:rFonts w:ascii="Arial" w:hAnsi="Arial" w:cs="Arial"/>
          <w:sz w:val="20"/>
          <w:szCs w:val="20"/>
        </w:rPr>
        <w:t>PMID: 21208910</w:t>
      </w:r>
      <w:r>
        <w:rPr>
          <w:rFonts w:ascii="Arial" w:hAnsi="Arial" w:cs="Arial"/>
          <w:sz w:val="20"/>
          <w:szCs w:val="20"/>
        </w:rPr>
        <w:t>.</w:t>
      </w:r>
    </w:p>
    <w:p w14:paraId="501CF6B2" w14:textId="06F03555" w:rsidR="006F38A5" w:rsidRDefault="00800B10" w:rsidP="00A03071">
      <w:pPr>
        <w:pStyle w:val="ListParagraph"/>
        <w:numPr>
          <w:ilvl w:val="0"/>
          <w:numId w:val="23"/>
        </w:numPr>
        <w:ind w:left="-180" w:right="4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Batra V, </w:t>
      </w:r>
      <w:proofErr w:type="spellStart"/>
      <w:r>
        <w:rPr>
          <w:rFonts w:ascii="Arial" w:hAnsi="Arial" w:cs="Arial"/>
          <w:sz w:val="20"/>
          <w:szCs w:val="20"/>
        </w:rPr>
        <w:t>Baras</w:t>
      </w:r>
      <w:proofErr w:type="spellEnd"/>
      <w:r>
        <w:rPr>
          <w:rFonts w:ascii="Arial" w:hAnsi="Arial" w:cs="Arial"/>
          <w:sz w:val="20"/>
          <w:szCs w:val="20"/>
        </w:rPr>
        <w:t xml:space="preserve"> A. Bilateral cellulitis. BMJ Case Rep. 2015 Sep 21;</w:t>
      </w:r>
      <w:proofErr w:type="gramStart"/>
      <w:r>
        <w:rPr>
          <w:rFonts w:ascii="Arial" w:hAnsi="Arial" w:cs="Arial"/>
          <w:sz w:val="20"/>
          <w:szCs w:val="20"/>
        </w:rPr>
        <w:t>2015:bcr</w:t>
      </w:r>
      <w:proofErr w:type="gramEnd"/>
      <w:r>
        <w:rPr>
          <w:rFonts w:ascii="Arial" w:hAnsi="Arial" w:cs="Arial"/>
          <w:sz w:val="20"/>
          <w:szCs w:val="20"/>
        </w:rPr>
        <w:t xml:space="preserve">2015211117. </w:t>
      </w:r>
      <w:r w:rsidRPr="00800B10">
        <w:rPr>
          <w:rFonts w:ascii="Arial" w:hAnsi="Arial" w:cs="Arial"/>
          <w:sz w:val="20"/>
          <w:szCs w:val="20"/>
        </w:rPr>
        <w:t>PMID: 26392449</w:t>
      </w:r>
      <w:r>
        <w:rPr>
          <w:rFonts w:ascii="Arial" w:hAnsi="Arial" w:cs="Arial"/>
          <w:sz w:val="20"/>
          <w:szCs w:val="20"/>
        </w:rPr>
        <w:t>.</w:t>
      </w:r>
    </w:p>
    <w:p w14:paraId="0C8CF4DC" w14:textId="5316A11E" w:rsidR="00E9218C" w:rsidRPr="00494A37" w:rsidRDefault="00800B10" w:rsidP="00A03071">
      <w:pPr>
        <w:pStyle w:val="ListParagraph"/>
        <w:numPr>
          <w:ilvl w:val="0"/>
          <w:numId w:val="23"/>
        </w:numPr>
        <w:ind w:left="-180" w:right="405"/>
      </w:pPr>
      <w:r w:rsidRPr="00800B10">
        <w:rPr>
          <w:rFonts w:ascii="Arial" w:hAnsi="Arial" w:cs="Arial"/>
          <w:sz w:val="20"/>
          <w:szCs w:val="20"/>
        </w:rPr>
        <w:t>Choosing Wisely:</w:t>
      </w:r>
      <w:r>
        <w:rPr>
          <w:rFonts w:ascii="Arial" w:hAnsi="Arial" w:cs="Arial"/>
          <w:sz w:val="20"/>
          <w:szCs w:val="20"/>
        </w:rPr>
        <w:t xml:space="preserve"> </w:t>
      </w:r>
      <w:r w:rsidRPr="00800B10">
        <w:rPr>
          <w:rFonts w:ascii="Arial" w:hAnsi="Arial" w:cs="Arial"/>
          <w:sz w:val="20"/>
          <w:szCs w:val="20"/>
        </w:rPr>
        <w:t>Don’t routinely use antibiotics to treat bilateral swelling and redness of the lower leg unless there is clear evidence of infection.</w:t>
      </w:r>
      <w:r>
        <w:rPr>
          <w:rFonts w:ascii="Arial" w:hAnsi="Arial" w:cs="Arial"/>
          <w:sz w:val="20"/>
          <w:szCs w:val="20"/>
        </w:rPr>
        <w:t xml:space="preserve"> American Family Physician. 2020. </w:t>
      </w:r>
      <w:r w:rsidRPr="00800B10">
        <w:rPr>
          <w:rFonts w:ascii="Arial" w:hAnsi="Arial" w:cs="Arial"/>
          <w:sz w:val="20"/>
          <w:szCs w:val="20"/>
        </w:rPr>
        <w:t>https://www.aafp.org/afp/recommendations/viewRecommendation.htm?recommendationId=287</w:t>
      </w:r>
      <w:r>
        <w:rPr>
          <w:rFonts w:ascii="Arial" w:hAnsi="Arial" w:cs="Arial"/>
          <w:sz w:val="20"/>
          <w:szCs w:val="20"/>
        </w:rPr>
        <w:t>. Accessed Apr 27, 2021.</w:t>
      </w:r>
    </w:p>
    <w:p w14:paraId="286FB8B6" w14:textId="3BDC8DF4" w:rsidR="00800B10" w:rsidRDefault="00566A61" w:rsidP="00016DC6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016DC6" w:rsidRPr="00016DC6">
        <w:rPr>
          <w:rFonts w:ascii="Arial" w:hAnsi="Arial" w:cs="Arial"/>
          <w:sz w:val="20"/>
          <w:szCs w:val="20"/>
        </w:rPr>
        <w:t xml:space="preserve">Keller EC, </w:t>
      </w:r>
      <w:proofErr w:type="spellStart"/>
      <w:r w:rsidR="00016DC6" w:rsidRPr="00016DC6">
        <w:rPr>
          <w:rFonts w:ascii="Arial" w:hAnsi="Arial" w:cs="Arial"/>
          <w:sz w:val="20"/>
          <w:szCs w:val="20"/>
        </w:rPr>
        <w:t>Tomecki</w:t>
      </w:r>
      <w:proofErr w:type="spellEnd"/>
      <w:r w:rsidR="00016DC6" w:rsidRPr="00016DC6">
        <w:rPr>
          <w:rFonts w:ascii="Arial" w:hAnsi="Arial" w:cs="Arial"/>
          <w:sz w:val="20"/>
          <w:szCs w:val="20"/>
        </w:rPr>
        <w:t xml:space="preserve"> KJ, </w:t>
      </w:r>
      <w:proofErr w:type="spellStart"/>
      <w:r w:rsidR="00016DC6" w:rsidRPr="00016DC6">
        <w:rPr>
          <w:rFonts w:ascii="Arial" w:hAnsi="Arial" w:cs="Arial"/>
          <w:sz w:val="20"/>
          <w:szCs w:val="20"/>
        </w:rPr>
        <w:t>Alraies</w:t>
      </w:r>
      <w:proofErr w:type="spellEnd"/>
      <w:r w:rsidR="00016DC6" w:rsidRPr="00016DC6">
        <w:rPr>
          <w:rFonts w:ascii="Arial" w:hAnsi="Arial" w:cs="Arial"/>
          <w:sz w:val="20"/>
          <w:szCs w:val="20"/>
        </w:rPr>
        <w:t xml:space="preserve"> MC. Distinguishing cellulitis from its mimics. Cleve Clin J Med. 2012 Aug;79(8):547-52. PMID: 22854433.</w:t>
      </w:r>
    </w:p>
    <w:p w14:paraId="1D88B467" w14:textId="0CA21C95" w:rsidR="00016DC6" w:rsidRPr="00CE3251" w:rsidRDefault="00016DC6" w:rsidP="00016DC6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C548B5">
        <w:rPr>
          <w:rFonts w:ascii="Arial" w:hAnsi="Arial" w:cs="Arial"/>
          <w:sz w:val="20"/>
          <w:szCs w:val="20"/>
        </w:rPr>
        <w:t>Bruun</w:t>
      </w:r>
      <w:proofErr w:type="spellEnd"/>
      <w:r w:rsidRPr="00C548B5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C548B5">
        <w:rPr>
          <w:rFonts w:ascii="Arial" w:hAnsi="Arial" w:cs="Arial"/>
          <w:sz w:val="20"/>
          <w:szCs w:val="20"/>
        </w:rPr>
        <w:t>Oppegaard</w:t>
      </w:r>
      <w:proofErr w:type="spellEnd"/>
      <w:r w:rsidRPr="00C548B5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C548B5">
        <w:rPr>
          <w:rFonts w:ascii="Arial" w:hAnsi="Arial" w:cs="Arial"/>
          <w:sz w:val="20"/>
          <w:szCs w:val="20"/>
        </w:rPr>
        <w:t>Hufthammer</w:t>
      </w:r>
      <w:proofErr w:type="spellEnd"/>
      <w:r w:rsidRPr="00C548B5">
        <w:rPr>
          <w:rFonts w:ascii="Arial" w:hAnsi="Arial" w:cs="Arial"/>
          <w:sz w:val="20"/>
          <w:szCs w:val="20"/>
        </w:rPr>
        <w:t xml:space="preserve"> KO, et al. Early </w:t>
      </w:r>
      <w:r w:rsidRPr="002829D8">
        <w:rPr>
          <w:rFonts w:asciiTheme="minorBidi" w:hAnsiTheme="minorBidi"/>
          <w:sz w:val="20"/>
          <w:szCs w:val="20"/>
        </w:rPr>
        <w:t>response in cellulitis: a prospective study of dynamics and predictors. Clin Infect Dis. 2016 Oct 15;63(8):1034-41. PMID: 27402819</w:t>
      </w:r>
      <w:r>
        <w:rPr>
          <w:rFonts w:asciiTheme="minorBidi" w:hAnsiTheme="minorBidi"/>
          <w:sz w:val="20"/>
          <w:szCs w:val="20"/>
        </w:rPr>
        <w:t>.</w:t>
      </w:r>
    </w:p>
    <w:p w14:paraId="546C1FE5" w14:textId="495FE06A" w:rsidR="00D3087E" w:rsidRDefault="00CE3251" w:rsidP="00CE3251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0"/>
          <w:szCs w:val="20"/>
        </w:rPr>
      </w:pPr>
      <w:r w:rsidRPr="00CE3251">
        <w:rPr>
          <w:rFonts w:ascii="Arial" w:hAnsi="Arial" w:cs="Arial"/>
          <w:sz w:val="20"/>
          <w:szCs w:val="20"/>
        </w:rPr>
        <w:t>Hepburn MJ, Dooley DP, Skidmore PJ, et al. Comparison of short-course (5 days) and standard (10 days) treatment for uncomplicated cellulitis. Arch Intern Med. 2004 Aug 9;164(15):1669-74. PMID: 15302637.</w:t>
      </w:r>
    </w:p>
    <w:p w14:paraId="22343B2F" w14:textId="2EE54CCA" w:rsidR="00CE3251" w:rsidRDefault="00AA2B42" w:rsidP="00A03071">
      <w:pPr>
        <w:pStyle w:val="ListParagraph"/>
        <w:numPr>
          <w:ilvl w:val="0"/>
          <w:numId w:val="23"/>
        </w:numPr>
        <w:ind w:left="360"/>
      </w:pPr>
      <w:r>
        <w:rPr>
          <w:rFonts w:ascii="Arial" w:hAnsi="Arial" w:cs="Arial"/>
          <w:sz w:val="20"/>
          <w:szCs w:val="20"/>
        </w:rPr>
        <w:t xml:space="preserve">Stevens DL, </w:t>
      </w:r>
      <w:proofErr w:type="spellStart"/>
      <w:r>
        <w:rPr>
          <w:rFonts w:ascii="Arial" w:hAnsi="Arial" w:cs="Arial"/>
          <w:sz w:val="20"/>
          <w:szCs w:val="20"/>
        </w:rPr>
        <w:t>Bisno</w:t>
      </w:r>
      <w:proofErr w:type="spellEnd"/>
      <w:r>
        <w:rPr>
          <w:rFonts w:ascii="Arial" w:hAnsi="Arial" w:cs="Arial"/>
          <w:sz w:val="20"/>
          <w:szCs w:val="20"/>
        </w:rPr>
        <w:t xml:space="preserve"> AL, Chambers HF, el al. Practice guidelines for the diagnosis</w:t>
      </w:r>
      <w:r w:rsidR="00D22AF2">
        <w:rPr>
          <w:rFonts w:ascii="Arial" w:hAnsi="Arial" w:cs="Arial"/>
          <w:sz w:val="20"/>
          <w:szCs w:val="20"/>
        </w:rPr>
        <w:t xml:space="preserve"> and management of skin and soft tissue infections: 2014 update by the Infectious Diseases Society of America. Clin Infect Dis. 2014 Jul 15</w:t>
      </w:r>
      <w:r w:rsidR="00534668">
        <w:rPr>
          <w:rFonts w:ascii="Arial" w:hAnsi="Arial" w:cs="Arial"/>
          <w:sz w:val="20"/>
          <w:szCs w:val="20"/>
        </w:rPr>
        <w:t>;59(2</w:t>
      </w:r>
      <w:proofErr w:type="gramStart"/>
      <w:r w:rsidR="00534668">
        <w:rPr>
          <w:rFonts w:ascii="Arial" w:hAnsi="Arial" w:cs="Arial"/>
          <w:sz w:val="20"/>
          <w:szCs w:val="20"/>
        </w:rPr>
        <w:t>):e</w:t>
      </w:r>
      <w:proofErr w:type="gramEnd"/>
      <w:r w:rsidR="00534668">
        <w:rPr>
          <w:rFonts w:ascii="Arial" w:hAnsi="Arial" w:cs="Arial"/>
          <w:sz w:val="20"/>
          <w:szCs w:val="20"/>
        </w:rPr>
        <w:t>10-52. PMID: 24973422.</w:t>
      </w:r>
    </w:p>
    <w:p w14:paraId="58859DB1" w14:textId="77777777" w:rsidR="00566A61" w:rsidRDefault="00566A61" w:rsidP="00C911B6">
      <w:pPr>
        <w:spacing w:before="2280" w:after="0" w:line="240" w:lineRule="auto"/>
        <w:ind w:left="360"/>
        <w:jc w:val="right"/>
        <w:rPr>
          <w:rFonts w:cstheme="minorHAnsi"/>
        </w:rPr>
        <w:sectPr w:rsidR="00566A61" w:rsidSect="00A03071">
          <w:footerReference w:type="first" r:id="rId9"/>
          <w:type w:val="continuous"/>
          <w:pgSz w:w="12240" w:h="15840"/>
          <w:pgMar w:top="288" w:right="990" w:bottom="540" w:left="1440" w:header="0" w:footer="924" w:gutter="0"/>
          <w:cols w:num="2" w:space="180"/>
          <w:titlePg/>
          <w:docGrid w:linePitch="360"/>
        </w:sectPr>
      </w:pPr>
    </w:p>
    <w:p w14:paraId="0F7D3E16" w14:textId="173E9FD0" w:rsidR="00C911B6" w:rsidRDefault="00C911B6" w:rsidP="00A03071">
      <w:pPr>
        <w:spacing w:before="5520" w:after="0" w:line="240" w:lineRule="auto"/>
        <w:ind w:left="360"/>
        <w:jc w:val="right"/>
        <w:rPr>
          <w:rFonts w:cstheme="minorHAnsi"/>
        </w:rPr>
      </w:pPr>
      <w:r>
        <w:rPr>
          <w:rFonts w:cstheme="minorHAnsi"/>
        </w:rPr>
        <w:t>AHRQ Pub. No. 17(21)-0029</w:t>
      </w:r>
    </w:p>
    <w:p w14:paraId="501BBFFF" w14:textId="2B149E35" w:rsidR="00CE3251" w:rsidRDefault="00FF1880" w:rsidP="009F2284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>June</w:t>
      </w:r>
      <w:r w:rsidR="00C911B6">
        <w:rPr>
          <w:rFonts w:cstheme="minorHAnsi"/>
        </w:rPr>
        <w:t xml:space="preserve"> 202</w:t>
      </w:r>
      <w:r w:rsidR="00566A61">
        <w:rPr>
          <w:rFonts w:cstheme="minorHAnsi"/>
        </w:rPr>
        <w:t>1</w:t>
      </w:r>
    </w:p>
    <w:p w14:paraId="1AE42B12" w14:textId="77777777" w:rsidR="00566A61" w:rsidRDefault="00566A61" w:rsidP="009F2284">
      <w:pPr>
        <w:tabs>
          <w:tab w:val="left" w:pos="2250"/>
        </w:tabs>
        <w:rPr>
          <w:rFonts w:ascii="Arial" w:hAnsi="Arial" w:cs="Arial"/>
          <w:sz w:val="20"/>
          <w:szCs w:val="20"/>
        </w:rPr>
        <w:sectPr w:rsidR="00566A61" w:rsidSect="00A03071">
          <w:type w:val="continuous"/>
          <w:pgSz w:w="12240" w:h="15840"/>
          <w:pgMar w:top="288" w:right="1440" w:bottom="540" w:left="1440" w:header="0" w:footer="924" w:gutter="0"/>
          <w:cols w:space="180"/>
          <w:titlePg/>
          <w:docGrid w:linePitch="360"/>
        </w:sectPr>
      </w:pPr>
    </w:p>
    <w:p w14:paraId="576A1F0E" w14:textId="28C10402" w:rsidR="00643ED9" w:rsidRPr="009F2284" w:rsidRDefault="00643ED9" w:rsidP="009F2284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sectPr w:rsidR="00643ED9" w:rsidRPr="009F2284" w:rsidSect="00CD7F86">
      <w:type w:val="continuous"/>
      <w:pgSz w:w="12240" w:h="15840"/>
      <w:pgMar w:top="288" w:right="1440" w:bottom="540" w:left="1440" w:header="0" w:footer="924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611EC" w14:textId="77777777" w:rsidR="00346F2B" w:rsidRDefault="00346F2B" w:rsidP="00E32D5F">
      <w:pPr>
        <w:spacing w:after="0" w:line="240" w:lineRule="auto"/>
      </w:pPr>
      <w:r>
        <w:separator/>
      </w:r>
    </w:p>
  </w:endnote>
  <w:endnote w:type="continuationSeparator" w:id="0">
    <w:p w14:paraId="1F0FB1F0" w14:textId="77777777" w:rsidR="00346F2B" w:rsidRDefault="00346F2B" w:rsidP="00E32D5F">
      <w:pPr>
        <w:spacing w:after="0" w:line="240" w:lineRule="auto"/>
      </w:pPr>
      <w:r>
        <w:continuationSeparator/>
      </w:r>
    </w:p>
  </w:endnote>
  <w:endnote w:type="continuationNotice" w:id="1">
    <w:p w14:paraId="40FFF909" w14:textId="77777777" w:rsidR="00346F2B" w:rsidRDefault="00346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3CCF9" w14:textId="23250782" w:rsidR="00F07EB6" w:rsidRDefault="00F07EB6">
    <w:pPr>
      <w:pStyle w:val="Footer"/>
    </w:pPr>
    <w:r>
      <w:t xml:space="preserve">AHRQ Safety Program for Improving Antibiotic Use </w:t>
    </w:r>
    <w:r>
      <w:rPr>
        <w:rFonts w:cstheme="minorHAnsi"/>
      </w:rPr>
      <w:t>–</w:t>
    </w:r>
    <w:r>
      <w:t xml:space="preserve"> Long-Term Care</w:t>
    </w:r>
    <w:r>
      <w:tab/>
      <w:t>Cellulitis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01F4" w14:textId="7774598B" w:rsidR="004A5F95" w:rsidRDefault="004A5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76906" w14:textId="77777777" w:rsidR="00346F2B" w:rsidRDefault="00346F2B" w:rsidP="00E32D5F">
      <w:pPr>
        <w:spacing w:after="0" w:line="240" w:lineRule="auto"/>
      </w:pPr>
      <w:r>
        <w:separator/>
      </w:r>
    </w:p>
  </w:footnote>
  <w:footnote w:type="continuationSeparator" w:id="0">
    <w:p w14:paraId="772506C5" w14:textId="77777777" w:rsidR="00346F2B" w:rsidRDefault="00346F2B" w:rsidP="00E32D5F">
      <w:pPr>
        <w:spacing w:after="0" w:line="240" w:lineRule="auto"/>
      </w:pPr>
      <w:r>
        <w:continuationSeparator/>
      </w:r>
    </w:p>
  </w:footnote>
  <w:footnote w:type="continuationNotice" w:id="1">
    <w:p w14:paraId="232B31B7" w14:textId="77777777" w:rsidR="00346F2B" w:rsidRDefault="00346F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A09"/>
    <w:multiLevelType w:val="hybridMultilevel"/>
    <w:tmpl w:val="E124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36C0"/>
    <w:multiLevelType w:val="hybridMultilevel"/>
    <w:tmpl w:val="6F5C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A6F"/>
    <w:multiLevelType w:val="hybridMultilevel"/>
    <w:tmpl w:val="247C0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2" w:tplc="F8AC73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969CC"/>
    <w:multiLevelType w:val="hybridMultilevel"/>
    <w:tmpl w:val="22E27E98"/>
    <w:lvl w:ilvl="0" w:tplc="F8AC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CED635E"/>
    <w:multiLevelType w:val="hybridMultilevel"/>
    <w:tmpl w:val="9B9C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43EA"/>
    <w:multiLevelType w:val="hybridMultilevel"/>
    <w:tmpl w:val="15048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17FF"/>
    <w:multiLevelType w:val="hybridMultilevel"/>
    <w:tmpl w:val="746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6EB5"/>
    <w:multiLevelType w:val="hybridMultilevel"/>
    <w:tmpl w:val="C1A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3EFD409D"/>
    <w:multiLevelType w:val="hybridMultilevel"/>
    <w:tmpl w:val="097C2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7B6DFA"/>
    <w:multiLevelType w:val="hybridMultilevel"/>
    <w:tmpl w:val="A7888EBA"/>
    <w:lvl w:ilvl="0" w:tplc="F8AC73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4172CA"/>
    <w:multiLevelType w:val="hybridMultilevel"/>
    <w:tmpl w:val="7FB4B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AC73E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2" w:tplc="F8AC73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737774"/>
    <w:multiLevelType w:val="hybridMultilevel"/>
    <w:tmpl w:val="8EC211A0"/>
    <w:lvl w:ilvl="0" w:tplc="F8AC73EA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5DCF0D44"/>
    <w:multiLevelType w:val="hybridMultilevel"/>
    <w:tmpl w:val="067ADD56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C7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42DB1"/>
    <w:multiLevelType w:val="hybridMultilevel"/>
    <w:tmpl w:val="C0BEB6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C203C"/>
    <w:multiLevelType w:val="hybridMultilevel"/>
    <w:tmpl w:val="A3A6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C7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C7375"/>
    <w:multiLevelType w:val="hybridMultilevel"/>
    <w:tmpl w:val="5D2499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3" w15:restartNumberingAfterBreak="0">
    <w:nsid w:val="6F5848BF"/>
    <w:multiLevelType w:val="hybridMultilevel"/>
    <w:tmpl w:val="1298C4E6"/>
    <w:lvl w:ilvl="0" w:tplc="EA160D1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9A333C"/>
    <w:multiLevelType w:val="hybridMultilevel"/>
    <w:tmpl w:val="61F8B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7"/>
  </w:num>
  <w:num w:numId="5">
    <w:abstractNumId w:val="9"/>
  </w:num>
  <w:num w:numId="6">
    <w:abstractNumId w:val="11"/>
  </w:num>
  <w:num w:numId="7">
    <w:abstractNumId w:val="5"/>
  </w:num>
  <w:num w:numId="8">
    <w:abstractNumId w:val="19"/>
  </w:num>
  <w:num w:numId="9">
    <w:abstractNumId w:val="22"/>
  </w:num>
  <w:num w:numId="10">
    <w:abstractNumId w:val="7"/>
  </w:num>
  <w:num w:numId="11">
    <w:abstractNumId w:val="24"/>
  </w:num>
  <w:num w:numId="12">
    <w:abstractNumId w:val="8"/>
  </w:num>
  <w:num w:numId="13">
    <w:abstractNumId w:val="18"/>
  </w:num>
  <w:num w:numId="14">
    <w:abstractNumId w:val="6"/>
  </w:num>
  <w:num w:numId="15">
    <w:abstractNumId w:val="3"/>
  </w:num>
  <w:num w:numId="16">
    <w:abstractNumId w:val="4"/>
  </w:num>
  <w:num w:numId="17">
    <w:abstractNumId w:val="13"/>
  </w:num>
  <w:num w:numId="18">
    <w:abstractNumId w:val="2"/>
  </w:num>
  <w:num w:numId="19">
    <w:abstractNumId w:val="1"/>
  </w:num>
  <w:num w:numId="20">
    <w:abstractNumId w:val="20"/>
  </w:num>
  <w:num w:numId="21">
    <w:abstractNumId w:val="12"/>
  </w:num>
  <w:num w:numId="22">
    <w:abstractNumId w:val="16"/>
  </w:num>
  <w:num w:numId="23">
    <w:abstractNumId w:val="21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23A4"/>
    <w:rsid w:val="00004D83"/>
    <w:rsid w:val="0000735A"/>
    <w:rsid w:val="00016DC6"/>
    <w:rsid w:val="00032516"/>
    <w:rsid w:val="00035786"/>
    <w:rsid w:val="00045415"/>
    <w:rsid w:val="000574F7"/>
    <w:rsid w:val="00063104"/>
    <w:rsid w:val="0007244D"/>
    <w:rsid w:val="000911D6"/>
    <w:rsid w:val="00092DD3"/>
    <w:rsid w:val="000C6B61"/>
    <w:rsid w:val="001015F4"/>
    <w:rsid w:val="00110647"/>
    <w:rsid w:val="00133DE8"/>
    <w:rsid w:val="00151BAF"/>
    <w:rsid w:val="00156468"/>
    <w:rsid w:val="00160839"/>
    <w:rsid w:val="001653F1"/>
    <w:rsid w:val="0017722B"/>
    <w:rsid w:val="001B17E4"/>
    <w:rsid w:val="001C07C2"/>
    <w:rsid w:val="001C10B1"/>
    <w:rsid w:val="001C6AFA"/>
    <w:rsid w:val="001D0BA1"/>
    <w:rsid w:val="001E2C4C"/>
    <w:rsid w:val="001E6C84"/>
    <w:rsid w:val="001F206A"/>
    <w:rsid w:val="0020191C"/>
    <w:rsid w:val="0021295B"/>
    <w:rsid w:val="00214881"/>
    <w:rsid w:val="0029483C"/>
    <w:rsid w:val="00294891"/>
    <w:rsid w:val="002A4C33"/>
    <w:rsid w:val="002B6A3E"/>
    <w:rsid w:val="002C213D"/>
    <w:rsid w:val="002D46B9"/>
    <w:rsid w:val="002F1E79"/>
    <w:rsid w:val="002F377E"/>
    <w:rsid w:val="00302FFE"/>
    <w:rsid w:val="00307112"/>
    <w:rsid w:val="003301F7"/>
    <w:rsid w:val="003459E9"/>
    <w:rsid w:val="00346F2B"/>
    <w:rsid w:val="003570EB"/>
    <w:rsid w:val="00383CB5"/>
    <w:rsid w:val="003950D6"/>
    <w:rsid w:val="003A03C1"/>
    <w:rsid w:val="003B0A11"/>
    <w:rsid w:val="003C2A13"/>
    <w:rsid w:val="003D2567"/>
    <w:rsid w:val="003E13BE"/>
    <w:rsid w:val="003E45B8"/>
    <w:rsid w:val="003F710B"/>
    <w:rsid w:val="00432B72"/>
    <w:rsid w:val="004439F3"/>
    <w:rsid w:val="0044634F"/>
    <w:rsid w:val="004465A1"/>
    <w:rsid w:val="0047499C"/>
    <w:rsid w:val="00490FCA"/>
    <w:rsid w:val="0049216E"/>
    <w:rsid w:val="00494A37"/>
    <w:rsid w:val="004968C1"/>
    <w:rsid w:val="004A5F95"/>
    <w:rsid w:val="004B0601"/>
    <w:rsid w:val="004C079E"/>
    <w:rsid w:val="004D47B6"/>
    <w:rsid w:val="004F15BE"/>
    <w:rsid w:val="00507035"/>
    <w:rsid w:val="005070CE"/>
    <w:rsid w:val="00516F7D"/>
    <w:rsid w:val="00526851"/>
    <w:rsid w:val="0053407B"/>
    <w:rsid w:val="00534668"/>
    <w:rsid w:val="00566A61"/>
    <w:rsid w:val="00570714"/>
    <w:rsid w:val="00581E44"/>
    <w:rsid w:val="005844D9"/>
    <w:rsid w:val="0058751D"/>
    <w:rsid w:val="00590377"/>
    <w:rsid w:val="005C5136"/>
    <w:rsid w:val="005C5708"/>
    <w:rsid w:val="005C798B"/>
    <w:rsid w:val="005D4915"/>
    <w:rsid w:val="005D6A53"/>
    <w:rsid w:val="005E0076"/>
    <w:rsid w:val="005E4503"/>
    <w:rsid w:val="005E7AAB"/>
    <w:rsid w:val="005F3100"/>
    <w:rsid w:val="005F6339"/>
    <w:rsid w:val="00605862"/>
    <w:rsid w:val="006203A3"/>
    <w:rsid w:val="0062417D"/>
    <w:rsid w:val="00633E67"/>
    <w:rsid w:val="00643ED9"/>
    <w:rsid w:val="0065471D"/>
    <w:rsid w:val="00662A8A"/>
    <w:rsid w:val="0067136E"/>
    <w:rsid w:val="006765AD"/>
    <w:rsid w:val="006816F2"/>
    <w:rsid w:val="00695C5C"/>
    <w:rsid w:val="006A5048"/>
    <w:rsid w:val="006B05B9"/>
    <w:rsid w:val="006B7A85"/>
    <w:rsid w:val="006D145E"/>
    <w:rsid w:val="006D14F1"/>
    <w:rsid w:val="006E48FB"/>
    <w:rsid w:val="006F38A5"/>
    <w:rsid w:val="007151CB"/>
    <w:rsid w:val="0072229E"/>
    <w:rsid w:val="007310A7"/>
    <w:rsid w:val="00740CDC"/>
    <w:rsid w:val="0075167B"/>
    <w:rsid w:val="00754A59"/>
    <w:rsid w:val="00755339"/>
    <w:rsid w:val="007771E7"/>
    <w:rsid w:val="00777CEC"/>
    <w:rsid w:val="00781A87"/>
    <w:rsid w:val="007914BE"/>
    <w:rsid w:val="007A0EAE"/>
    <w:rsid w:val="007B046C"/>
    <w:rsid w:val="007B5C8D"/>
    <w:rsid w:val="007C25A8"/>
    <w:rsid w:val="007D3498"/>
    <w:rsid w:val="007E79E8"/>
    <w:rsid w:val="00800B10"/>
    <w:rsid w:val="0081450A"/>
    <w:rsid w:val="008328BC"/>
    <w:rsid w:val="00856C98"/>
    <w:rsid w:val="0086206A"/>
    <w:rsid w:val="0087133E"/>
    <w:rsid w:val="00881521"/>
    <w:rsid w:val="00881D37"/>
    <w:rsid w:val="00890A2C"/>
    <w:rsid w:val="00895525"/>
    <w:rsid w:val="008C1099"/>
    <w:rsid w:val="008D2E91"/>
    <w:rsid w:val="008D50BB"/>
    <w:rsid w:val="0090060B"/>
    <w:rsid w:val="00924F73"/>
    <w:rsid w:val="0092775C"/>
    <w:rsid w:val="0093095C"/>
    <w:rsid w:val="00933258"/>
    <w:rsid w:val="00937006"/>
    <w:rsid w:val="00972667"/>
    <w:rsid w:val="0097680C"/>
    <w:rsid w:val="009808CC"/>
    <w:rsid w:val="0098786D"/>
    <w:rsid w:val="009905BB"/>
    <w:rsid w:val="0099176A"/>
    <w:rsid w:val="00991A26"/>
    <w:rsid w:val="00997692"/>
    <w:rsid w:val="009A09C6"/>
    <w:rsid w:val="009C5CA6"/>
    <w:rsid w:val="009E2517"/>
    <w:rsid w:val="009F2284"/>
    <w:rsid w:val="00A03071"/>
    <w:rsid w:val="00A22B1E"/>
    <w:rsid w:val="00A335D4"/>
    <w:rsid w:val="00A42A0C"/>
    <w:rsid w:val="00A434A6"/>
    <w:rsid w:val="00A60322"/>
    <w:rsid w:val="00A66F41"/>
    <w:rsid w:val="00A70298"/>
    <w:rsid w:val="00A80D16"/>
    <w:rsid w:val="00A87EF9"/>
    <w:rsid w:val="00A91A2A"/>
    <w:rsid w:val="00AA2B42"/>
    <w:rsid w:val="00AC1501"/>
    <w:rsid w:val="00AC21E5"/>
    <w:rsid w:val="00AC27BB"/>
    <w:rsid w:val="00AF29CB"/>
    <w:rsid w:val="00B02E5C"/>
    <w:rsid w:val="00B339AA"/>
    <w:rsid w:val="00B36B0E"/>
    <w:rsid w:val="00B3799F"/>
    <w:rsid w:val="00B53744"/>
    <w:rsid w:val="00B64896"/>
    <w:rsid w:val="00B70005"/>
    <w:rsid w:val="00B72243"/>
    <w:rsid w:val="00B7651A"/>
    <w:rsid w:val="00B81215"/>
    <w:rsid w:val="00B90DE0"/>
    <w:rsid w:val="00B9202D"/>
    <w:rsid w:val="00BD01F8"/>
    <w:rsid w:val="00C023B2"/>
    <w:rsid w:val="00C043C0"/>
    <w:rsid w:val="00C06D50"/>
    <w:rsid w:val="00C31478"/>
    <w:rsid w:val="00C37CE4"/>
    <w:rsid w:val="00C41A32"/>
    <w:rsid w:val="00C43C11"/>
    <w:rsid w:val="00C44143"/>
    <w:rsid w:val="00C45B1A"/>
    <w:rsid w:val="00C6557D"/>
    <w:rsid w:val="00C70EE6"/>
    <w:rsid w:val="00C74B83"/>
    <w:rsid w:val="00C846E3"/>
    <w:rsid w:val="00C911B6"/>
    <w:rsid w:val="00CA5938"/>
    <w:rsid w:val="00CD7C7B"/>
    <w:rsid w:val="00CD7F86"/>
    <w:rsid w:val="00CE3251"/>
    <w:rsid w:val="00CF294E"/>
    <w:rsid w:val="00D0568E"/>
    <w:rsid w:val="00D22AF2"/>
    <w:rsid w:val="00D3087E"/>
    <w:rsid w:val="00D445A3"/>
    <w:rsid w:val="00D47F61"/>
    <w:rsid w:val="00D53992"/>
    <w:rsid w:val="00D5576F"/>
    <w:rsid w:val="00D571B1"/>
    <w:rsid w:val="00D57E23"/>
    <w:rsid w:val="00D60AAC"/>
    <w:rsid w:val="00D6302C"/>
    <w:rsid w:val="00D6541A"/>
    <w:rsid w:val="00D742CC"/>
    <w:rsid w:val="00DD4C67"/>
    <w:rsid w:val="00DE26B0"/>
    <w:rsid w:val="00DE77D8"/>
    <w:rsid w:val="00DE7D43"/>
    <w:rsid w:val="00E0035C"/>
    <w:rsid w:val="00E20E3A"/>
    <w:rsid w:val="00E30765"/>
    <w:rsid w:val="00E32D5F"/>
    <w:rsid w:val="00E603E8"/>
    <w:rsid w:val="00E646E7"/>
    <w:rsid w:val="00E72451"/>
    <w:rsid w:val="00E8124D"/>
    <w:rsid w:val="00E90A44"/>
    <w:rsid w:val="00E9218C"/>
    <w:rsid w:val="00EB1650"/>
    <w:rsid w:val="00EE02F3"/>
    <w:rsid w:val="00EE5CEE"/>
    <w:rsid w:val="00EE6B7B"/>
    <w:rsid w:val="00F07EB6"/>
    <w:rsid w:val="00F10439"/>
    <w:rsid w:val="00F17F4E"/>
    <w:rsid w:val="00F26E5C"/>
    <w:rsid w:val="00F46A03"/>
    <w:rsid w:val="00F54A53"/>
    <w:rsid w:val="00F72689"/>
    <w:rsid w:val="00F74652"/>
    <w:rsid w:val="00F91514"/>
    <w:rsid w:val="00FA3368"/>
    <w:rsid w:val="00FB40B2"/>
    <w:rsid w:val="00FC36CE"/>
    <w:rsid w:val="00FC6EC2"/>
    <w:rsid w:val="00FC7026"/>
    <w:rsid w:val="00FD31CD"/>
    <w:rsid w:val="00FE0296"/>
    <w:rsid w:val="00FE0739"/>
    <w:rsid w:val="00FE2E52"/>
    <w:rsid w:val="00FF1880"/>
    <w:rsid w:val="015EB908"/>
    <w:rsid w:val="0DDABBE1"/>
    <w:rsid w:val="15A68DBB"/>
    <w:rsid w:val="1B15451D"/>
    <w:rsid w:val="1D3377F4"/>
    <w:rsid w:val="26E4C01A"/>
    <w:rsid w:val="4230B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872DBA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6B9"/>
    <w:pPr>
      <w:spacing w:before="240" w:after="0" w:line="240" w:lineRule="auto"/>
      <w:ind w:left="-547" w:right="-547"/>
      <w:contextualSpacing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46B9"/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Reference">
    <w:name w:val="Reference"/>
    <w:basedOn w:val="Normal"/>
    <w:qFormat/>
    <w:rsid w:val="002D46B9"/>
    <w:rPr>
      <w:rFonts w:ascii="Arial" w:hAnsi="Arial" w:cs="Arial"/>
      <w:sz w:val="20"/>
      <w:szCs w:val="20"/>
    </w:rPr>
  </w:style>
  <w:style w:type="character" w:customStyle="1" w:styleId="volume-issue-pages">
    <w:name w:val="volume-issue-pages"/>
    <w:basedOn w:val="DefaultParagraphFont"/>
    <w:rsid w:val="00E603E8"/>
  </w:style>
  <w:style w:type="character" w:customStyle="1" w:styleId="publication-date">
    <w:name w:val="publication-date"/>
    <w:basedOn w:val="DefaultParagraphFont"/>
    <w:rsid w:val="00E603E8"/>
  </w:style>
  <w:style w:type="character" w:customStyle="1" w:styleId="id-label">
    <w:name w:val="id-label"/>
    <w:basedOn w:val="DefaultParagraphFont"/>
    <w:rsid w:val="00E603E8"/>
  </w:style>
  <w:style w:type="character" w:styleId="Strong">
    <w:name w:val="Strong"/>
    <w:basedOn w:val="DefaultParagraphFont"/>
    <w:uiPriority w:val="22"/>
    <w:qFormat/>
    <w:rsid w:val="00E603E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2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2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708"/>
    <w:rPr>
      <w:color w:val="800080" w:themeColor="followedHyperlink"/>
      <w:u w:val="single"/>
    </w:rPr>
  </w:style>
  <w:style w:type="paragraph" w:customStyle="1" w:styleId="Heading10">
    <w:name w:val="Heading1"/>
    <w:basedOn w:val="Normal"/>
    <w:qFormat/>
    <w:rsid w:val="00FF1880"/>
    <w:pPr>
      <w:spacing w:before="120" w:after="0" w:line="240" w:lineRule="auto"/>
      <w:ind w:right="-547" w:hanging="540"/>
      <w:contextualSpacing/>
    </w:pPr>
    <w:rPr>
      <w:rFonts w:ascii="Arial" w:hAnsi="Arial" w:cs="Arial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046C"/>
    <w:rPr>
      <w:color w:val="FFFFFF" w:themeColor="background1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7B046C"/>
    <w:rPr>
      <w:color w:val="FFFFFF" w:themeColor="background1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4CD7-68CE-4BC0-BDE4-46631191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8</TotalTime>
  <Pages>2</Pages>
  <Words>692</Words>
  <Characters>3886</Characters>
  <Application>Microsoft Office Word</Application>
  <DocSecurity>0</DocSecurity>
  <Lines>114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 Miller</dc:creator>
  <cp:lastModifiedBy>Heidenrich, Christine (AHRQ/OC) (CTR)</cp:lastModifiedBy>
  <cp:revision>3</cp:revision>
  <dcterms:created xsi:type="dcterms:W3CDTF">2021-05-17T14:45:00Z</dcterms:created>
  <dcterms:modified xsi:type="dcterms:W3CDTF">2021-05-24T18:09:00Z</dcterms:modified>
</cp:coreProperties>
</file>