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9299F" w14:textId="187CDEED" w:rsidR="004E4252" w:rsidRPr="001461AB" w:rsidRDefault="002D174B" w:rsidP="0060148B">
      <w:pPr>
        <w:pStyle w:val="Header1"/>
        <w:spacing w:before="560"/>
      </w:pPr>
      <w:r w:rsidRPr="001461AB">
        <w:t xml:space="preserve">Section 9-1 – </w:t>
      </w:r>
      <w:r w:rsidR="004E4252" w:rsidRPr="001461AB">
        <w:t>Standardized Nursing Protocol:</w:t>
      </w:r>
    </w:p>
    <w:p w14:paraId="471E6EEF" w14:textId="4249AB66" w:rsidR="004E4252" w:rsidRPr="001461AB" w:rsidRDefault="004E4252" w:rsidP="001461AB">
      <w:pPr>
        <w:pStyle w:val="Header1"/>
      </w:pPr>
      <w:r w:rsidRPr="001461AB">
        <w:t xml:space="preserve">Bed Bathing </w:t>
      </w:r>
      <w:r w:rsidR="002D174B" w:rsidRPr="001461AB">
        <w:t>W</w:t>
      </w:r>
      <w:r w:rsidRPr="001461AB">
        <w:t xml:space="preserve">ith 2% Chlorhexidine (CHG) </w:t>
      </w:r>
      <w:r w:rsidR="002D174B" w:rsidRPr="001461AB">
        <w:t>N</w:t>
      </w:r>
      <w:r w:rsidRPr="001461AB">
        <w:t>o-</w:t>
      </w:r>
      <w:r w:rsidR="002D174B" w:rsidRPr="001461AB">
        <w:t>R</w:t>
      </w:r>
      <w:r w:rsidRPr="001461AB">
        <w:t xml:space="preserve">inse </w:t>
      </w:r>
      <w:r w:rsidR="002D174B" w:rsidRPr="001461AB">
        <w:t>B</w:t>
      </w:r>
      <w:r w:rsidRPr="001461AB">
        <w:t xml:space="preserve">athing </w:t>
      </w:r>
      <w:r w:rsidR="002D174B" w:rsidRPr="001461AB">
        <w:t>C</w:t>
      </w:r>
      <w:r w:rsidRPr="001461AB">
        <w:t>loths and Showering</w:t>
      </w:r>
    </w:p>
    <w:p w14:paraId="7592AD2C" w14:textId="54000FB3" w:rsidR="004E4252" w:rsidRPr="001461AB" w:rsidRDefault="004E4252" w:rsidP="001461AB">
      <w:pPr>
        <w:pStyle w:val="Header1"/>
      </w:pPr>
      <w:r w:rsidRPr="001461AB">
        <w:t xml:space="preserve">With 4% CHG </w:t>
      </w:r>
      <w:r w:rsidR="002D174B" w:rsidRPr="001461AB">
        <w:t>L</w:t>
      </w:r>
      <w:r w:rsidRPr="001461AB">
        <w:t xml:space="preserve">iquid </w:t>
      </w:r>
      <w:r w:rsidR="002D174B" w:rsidRPr="001461AB">
        <w:t>S</w:t>
      </w:r>
      <w:r w:rsidRPr="001461AB">
        <w:t>oap</w:t>
      </w:r>
    </w:p>
    <w:p w14:paraId="52C27E73" w14:textId="77777777" w:rsidR="006F3E79" w:rsidRPr="00C00809" w:rsidRDefault="006F3E79" w:rsidP="00C00809">
      <w:pPr>
        <w:spacing w:after="0" w:line="312" w:lineRule="auto"/>
        <w:jc w:val="center"/>
        <w:rPr>
          <w:b/>
          <w:sz w:val="24"/>
          <w:szCs w:val="28"/>
        </w:rPr>
      </w:pPr>
    </w:p>
    <w:p w14:paraId="7683596C" w14:textId="58E9FA3C" w:rsidR="003159C5" w:rsidRPr="001461AB" w:rsidRDefault="000F7EFC" w:rsidP="001461AB">
      <w:pPr>
        <w:pStyle w:val="ParagraphtextCalibri"/>
      </w:pPr>
      <w:r w:rsidRPr="003130AA">
        <w:rPr>
          <w:b/>
          <w:bCs/>
        </w:rPr>
        <w:t>Background:</w:t>
      </w:r>
      <w:r w:rsidRPr="00E13110">
        <w:t xml:space="preserve"> </w:t>
      </w:r>
      <w:r w:rsidR="005A37C6" w:rsidRPr="00E13110">
        <w:t xml:space="preserve">The </w:t>
      </w:r>
      <w:r w:rsidR="005A37C6" w:rsidRPr="002D174B">
        <w:rPr>
          <w:b/>
          <w:bCs/>
          <w:u w:val="single"/>
        </w:rPr>
        <w:t>A</w:t>
      </w:r>
      <w:r w:rsidR="005A37C6" w:rsidRPr="00296303">
        <w:t xml:space="preserve">ctive </w:t>
      </w:r>
      <w:r w:rsidR="005A37C6" w:rsidRPr="002D174B">
        <w:rPr>
          <w:b/>
          <w:bCs/>
          <w:u w:val="single"/>
        </w:rPr>
        <w:t>Bat</w:t>
      </w:r>
      <w:r w:rsidR="005A37C6" w:rsidRPr="00296303">
        <w:t xml:space="preserve">hing </w:t>
      </w:r>
      <w:r w:rsidR="00593751" w:rsidRPr="00296303">
        <w:t>t</w:t>
      </w:r>
      <w:r w:rsidR="005A37C6" w:rsidRPr="00296303">
        <w:t xml:space="preserve">o </w:t>
      </w:r>
      <w:r w:rsidR="005A37C6" w:rsidRPr="002D174B">
        <w:rPr>
          <w:b/>
          <w:bCs/>
          <w:u w:val="single"/>
        </w:rPr>
        <w:t>E</w:t>
      </w:r>
      <w:r w:rsidR="005A37C6" w:rsidRPr="00296303">
        <w:t>liminate</w:t>
      </w:r>
      <w:r w:rsidR="002D174B">
        <w:t xml:space="preserve"> (ABATE</w:t>
      </w:r>
      <w:r w:rsidR="005A37C6" w:rsidRPr="00E13110">
        <w:t>) Infection Trial found that decolonization of adult non-</w:t>
      </w:r>
      <w:r w:rsidR="002D174B">
        <w:t>intensive care unit (</w:t>
      </w:r>
      <w:r w:rsidR="005A37C6" w:rsidRPr="00E13110">
        <w:t>ICU</w:t>
      </w:r>
      <w:r w:rsidR="002D174B">
        <w:t>)</w:t>
      </w:r>
      <w:r w:rsidR="005A37C6" w:rsidRPr="00E13110">
        <w:t xml:space="preserve"> patients with</w:t>
      </w:r>
      <w:r w:rsidR="00CA2B51" w:rsidRPr="00E13110">
        <w:t xml:space="preserve"> selected</w:t>
      </w:r>
      <w:r w:rsidR="005A37C6" w:rsidRPr="00E13110">
        <w:t xml:space="preserve"> medical devices (</w:t>
      </w:r>
      <w:r w:rsidR="00CA2B51" w:rsidRPr="00E13110">
        <w:t>i.e.</w:t>
      </w:r>
      <w:r w:rsidR="0013339F" w:rsidRPr="00E13110">
        <w:t>,</w:t>
      </w:r>
      <w:r w:rsidR="002B4CFD" w:rsidRPr="00E13110">
        <w:t xml:space="preserve"> </w:t>
      </w:r>
      <w:r w:rsidR="005A37C6" w:rsidRPr="00E13110">
        <w:t>central lines, midline catheters</w:t>
      </w:r>
      <w:r w:rsidR="002D174B">
        <w:t>,</w:t>
      </w:r>
      <w:r w:rsidR="005A37C6" w:rsidRPr="00E13110">
        <w:t xml:space="preserve"> and lumbar drains) resulted in a 32</w:t>
      </w:r>
      <w:r w:rsidR="000D5E75" w:rsidRPr="00E13110">
        <w:t xml:space="preserve"> percent</w:t>
      </w:r>
      <w:r w:rsidR="005A37C6" w:rsidRPr="00E13110">
        <w:t xml:space="preserve"> reduction in </w:t>
      </w:r>
      <w:r w:rsidR="005A37C6" w:rsidRPr="003130AA">
        <w:t>all-cause bloodstream infections, and a 37</w:t>
      </w:r>
      <w:r w:rsidR="000D5E75" w:rsidRPr="003130AA">
        <w:t xml:space="preserve"> percent</w:t>
      </w:r>
      <w:r w:rsidR="005A37C6" w:rsidRPr="003130AA">
        <w:t xml:space="preserve"> reduction in </w:t>
      </w:r>
      <w:r w:rsidR="00660F58" w:rsidRPr="003130AA">
        <w:t>positive</w:t>
      </w:r>
      <w:r w:rsidR="00E13110" w:rsidRPr="003130AA">
        <w:t xml:space="preserve"> methicillin-resistant </w:t>
      </w:r>
      <w:r w:rsidR="00E13110" w:rsidRPr="003130AA">
        <w:rPr>
          <w:i/>
          <w:iCs/>
        </w:rPr>
        <w:t>Staphylococcus aureus</w:t>
      </w:r>
      <w:r w:rsidR="00660F58" w:rsidRPr="003130AA">
        <w:t xml:space="preserve"> </w:t>
      </w:r>
      <w:r w:rsidR="00E13110" w:rsidRPr="003130AA">
        <w:t>(</w:t>
      </w:r>
      <w:r w:rsidR="005A37C6" w:rsidRPr="003130AA">
        <w:t>MRSA</w:t>
      </w:r>
      <w:r w:rsidR="00E13110" w:rsidRPr="003130AA">
        <w:t>)</w:t>
      </w:r>
      <w:r w:rsidR="005A37C6" w:rsidRPr="003130AA">
        <w:t xml:space="preserve"> and </w:t>
      </w:r>
      <w:r w:rsidR="00E13110" w:rsidRPr="003130AA">
        <w:t>vancomycin-resistant enterococcus (</w:t>
      </w:r>
      <w:r w:rsidR="005A37C6" w:rsidRPr="003130AA">
        <w:t>VRE</w:t>
      </w:r>
      <w:r w:rsidR="00E13110" w:rsidRPr="003130AA">
        <w:t>)</w:t>
      </w:r>
      <w:r w:rsidR="005A37C6" w:rsidRPr="003130AA">
        <w:t xml:space="preserve"> cultures.</w:t>
      </w:r>
      <w:r w:rsidR="005A37C6" w:rsidRPr="002D174B">
        <w:rPr>
          <w:vertAlign w:val="superscript"/>
        </w:rPr>
        <w:t>1</w:t>
      </w:r>
      <w:r w:rsidR="005A37C6" w:rsidRPr="003130AA">
        <w:t xml:space="preserve"> The following protocol details the process for adopting skin decolonization in this population.</w:t>
      </w:r>
    </w:p>
    <w:p w14:paraId="3518796E" w14:textId="3CF55EEB" w:rsidR="006F3E79" w:rsidRPr="006C242E" w:rsidRDefault="00C00809" w:rsidP="003130AA">
      <w:pPr>
        <w:pStyle w:val="Heading1"/>
      </w:pPr>
      <w:r>
        <w:t>Protocol Overview</w:t>
      </w:r>
    </w:p>
    <w:p w14:paraId="363FB1BE" w14:textId="4A452063" w:rsidR="003159C5" w:rsidRPr="001461AB" w:rsidRDefault="00D54263" w:rsidP="001461AB">
      <w:pPr>
        <w:pStyle w:val="ListParagraph1"/>
        <w:numPr>
          <w:ilvl w:val="0"/>
          <w:numId w:val="3"/>
        </w:numPr>
      </w:pPr>
      <w:r w:rsidRPr="006C242E">
        <w:t xml:space="preserve">Daily </w:t>
      </w:r>
      <w:r w:rsidR="002D174B">
        <w:t>chlorhexidine (</w:t>
      </w:r>
      <w:r w:rsidRPr="00E13110">
        <w:t>CHG</w:t>
      </w:r>
      <w:r w:rsidR="002D174B">
        <w:t>)</w:t>
      </w:r>
      <w:r w:rsidRPr="00E13110">
        <w:t xml:space="preserve"> bathing</w:t>
      </w:r>
      <w:r>
        <w:t>/showering</w:t>
      </w:r>
      <w:r w:rsidRPr="006C242E">
        <w:t xml:space="preserve"> for non-ICU </w:t>
      </w:r>
      <w:r w:rsidR="007729A5">
        <w:t xml:space="preserve">adult patients </w:t>
      </w:r>
      <w:r w:rsidR="00943CF3">
        <w:t xml:space="preserve">with medical devices </w:t>
      </w:r>
      <w:r w:rsidR="007729A5">
        <w:t xml:space="preserve">for the </w:t>
      </w:r>
      <w:r w:rsidR="007729A5" w:rsidRPr="006C242E">
        <w:t xml:space="preserve">duration of </w:t>
      </w:r>
      <w:r w:rsidR="007729A5">
        <w:t>the hospital stay</w:t>
      </w:r>
    </w:p>
    <w:p w14:paraId="18E0A284" w14:textId="0AECD5A6" w:rsidR="00C00809" w:rsidRPr="006C242E" w:rsidRDefault="00C00809" w:rsidP="001461AB">
      <w:pPr>
        <w:pStyle w:val="Heading1"/>
      </w:pPr>
      <w:r>
        <w:t xml:space="preserve">CHG for Targeted </w:t>
      </w:r>
      <w:r w:rsidRPr="003130AA">
        <w:t>Decolonization</w:t>
      </w:r>
    </w:p>
    <w:p w14:paraId="636D3F8E" w14:textId="4EE9AE4F" w:rsidR="00C00809" w:rsidRPr="00E13110" w:rsidRDefault="00085A35" w:rsidP="00140D74">
      <w:pPr>
        <w:pStyle w:val="ListParagraph1"/>
      </w:pPr>
      <w:r w:rsidRPr="00E13110">
        <w:t xml:space="preserve">Target </w:t>
      </w:r>
      <w:r w:rsidR="0013339F" w:rsidRPr="003130AA">
        <w:t>p</w:t>
      </w:r>
      <w:r w:rsidRPr="003130AA">
        <w:t>atient</w:t>
      </w:r>
      <w:r w:rsidRPr="00E13110">
        <w:t xml:space="preserve"> </w:t>
      </w:r>
      <w:r w:rsidR="0013339F" w:rsidRPr="00E13110">
        <w:t>p</w:t>
      </w:r>
      <w:r w:rsidRPr="00E13110">
        <w:t>opulation</w:t>
      </w:r>
    </w:p>
    <w:p w14:paraId="712C20BF" w14:textId="77777777" w:rsidR="00C00809" w:rsidRPr="003130AA" w:rsidRDefault="00C00809" w:rsidP="009502B0">
      <w:pPr>
        <w:pStyle w:val="Subtitle"/>
        <w:numPr>
          <w:ilvl w:val="0"/>
          <w:numId w:val="1"/>
        </w:numPr>
      </w:pPr>
      <w:r w:rsidRPr="003130AA">
        <w:rPr>
          <w:i/>
          <w:iCs/>
          <w:u w:val="single"/>
        </w:rPr>
        <w:t>Include:</w:t>
      </w:r>
      <w:r w:rsidRPr="003130AA">
        <w:t xml:space="preserve"> Adult non-ICU patients with medical devices, such as:</w:t>
      </w:r>
    </w:p>
    <w:p w14:paraId="44F12A62" w14:textId="19303344" w:rsidR="00C00809" w:rsidRPr="003130AA" w:rsidRDefault="00C00809" w:rsidP="009502B0">
      <w:pPr>
        <w:pStyle w:val="Level3Bulletlist"/>
        <w:numPr>
          <w:ilvl w:val="1"/>
          <w:numId w:val="2"/>
        </w:numPr>
      </w:pPr>
      <w:r w:rsidRPr="003130AA">
        <w:t xml:space="preserve">Central </w:t>
      </w:r>
      <w:r w:rsidR="00DC7540" w:rsidRPr="003130AA">
        <w:t>lines</w:t>
      </w:r>
      <w:r w:rsidRPr="003130AA">
        <w:t xml:space="preserve"> (including dialysis catheters and port-a-caths)</w:t>
      </w:r>
    </w:p>
    <w:p w14:paraId="72F3DA20" w14:textId="18A3F1E8" w:rsidR="00C00809" w:rsidRPr="003130AA" w:rsidRDefault="00C00809" w:rsidP="009502B0">
      <w:pPr>
        <w:pStyle w:val="Level3Bulletlist"/>
        <w:numPr>
          <w:ilvl w:val="1"/>
          <w:numId w:val="2"/>
        </w:numPr>
      </w:pPr>
      <w:r w:rsidRPr="003130AA">
        <w:t>Midline catheters</w:t>
      </w:r>
      <w:r w:rsidR="00CC2B89" w:rsidRPr="003130AA">
        <w:footnoteReference w:id="1"/>
      </w:r>
    </w:p>
    <w:p w14:paraId="1003E661" w14:textId="0541483D" w:rsidR="00C00809" w:rsidRPr="003130AA" w:rsidRDefault="00C00809" w:rsidP="009502B0">
      <w:pPr>
        <w:pStyle w:val="Level3Bulletlist"/>
        <w:numPr>
          <w:ilvl w:val="1"/>
          <w:numId w:val="2"/>
        </w:numPr>
      </w:pPr>
      <w:r w:rsidRPr="003130AA">
        <w:t>Lumbar drains</w:t>
      </w:r>
    </w:p>
    <w:p w14:paraId="0C76A44B" w14:textId="6A50069C" w:rsidR="00C00809" w:rsidRPr="00E13110" w:rsidRDefault="00C00809" w:rsidP="002D174B">
      <w:pPr>
        <w:pStyle w:val="Subtitle"/>
        <w:numPr>
          <w:ilvl w:val="0"/>
          <w:numId w:val="1"/>
        </w:numPr>
        <w:rPr>
          <w:i/>
          <w:u w:val="single"/>
        </w:rPr>
      </w:pPr>
      <w:r w:rsidRPr="00E13110">
        <w:rPr>
          <w:i/>
          <w:u w:val="single"/>
        </w:rPr>
        <w:t>Exclude:</w:t>
      </w:r>
      <w:r w:rsidR="002C4E63" w:rsidRPr="00E13110">
        <w:rPr>
          <w:i/>
        </w:rPr>
        <w:t xml:space="preserve"> </w:t>
      </w:r>
      <w:r w:rsidR="002C4E63" w:rsidRPr="003130AA">
        <w:t>P</w:t>
      </w:r>
      <w:r w:rsidRPr="003130AA">
        <w:t>atients</w:t>
      </w:r>
      <w:r w:rsidRPr="00E13110">
        <w:t xml:space="preserve"> with known </w:t>
      </w:r>
      <w:r w:rsidR="007434F9" w:rsidRPr="00E13110">
        <w:t xml:space="preserve">allergies </w:t>
      </w:r>
      <w:r w:rsidRPr="00E13110">
        <w:t>to CHG</w:t>
      </w:r>
    </w:p>
    <w:p w14:paraId="146A9DAE" w14:textId="770BBEA0" w:rsidR="00E13110" w:rsidRPr="001461AB" w:rsidRDefault="00B4196F" w:rsidP="001461AB">
      <w:pPr>
        <w:pStyle w:val="ListParagraph1"/>
        <w:rPr>
          <w:rFonts w:asciiTheme="minorHAnsi" w:hAnsiTheme="minorHAnsi"/>
        </w:rPr>
      </w:pPr>
      <w:r w:rsidRPr="00EE1F8F">
        <w:t>Initiate the protocol each time an eligible patient is admitted to the hospital, even if the patient has received the protocol in a prior admission</w:t>
      </w:r>
      <w:r>
        <w:rPr>
          <w:rFonts w:asciiTheme="minorHAnsi" w:hAnsiTheme="minorHAnsi"/>
        </w:rPr>
        <w:t>.</w:t>
      </w:r>
      <w:r w:rsidR="006F3E79" w:rsidRPr="00E13110">
        <w:rPr>
          <w:rFonts w:asciiTheme="minorHAnsi" w:hAnsiTheme="minorHAnsi"/>
        </w:rPr>
        <w:t xml:space="preserve"> </w:t>
      </w:r>
    </w:p>
    <w:p w14:paraId="742FEE74" w14:textId="77777777" w:rsidR="002D174B" w:rsidRDefault="002D174B">
      <w:pPr>
        <w:spacing w:after="160" w:line="259" w:lineRule="auto"/>
        <w:rPr>
          <w:rFonts w:asciiTheme="minorHAnsi" w:eastAsiaTheme="minorHAnsi" w:hAnsiTheme="minorHAnsi" w:cstheme="minorBidi"/>
          <w:b/>
          <w:bCs/>
          <w:color w:val="0070C0"/>
          <w:sz w:val="28"/>
          <w:szCs w:val="28"/>
        </w:rPr>
      </w:pPr>
      <w:r>
        <w:br w:type="page"/>
      </w:r>
    </w:p>
    <w:p w14:paraId="13E882D2" w14:textId="1FF77AD5" w:rsidR="00D54263" w:rsidRPr="00E13110" w:rsidRDefault="00D54263" w:rsidP="003130AA">
      <w:pPr>
        <w:pStyle w:val="Heading1"/>
      </w:pPr>
      <w:r w:rsidRPr="00E13110">
        <w:lastRenderedPageBreak/>
        <w:t xml:space="preserve">Protocol for </w:t>
      </w:r>
      <w:r w:rsidRPr="003130AA">
        <w:t>Bed</w:t>
      </w:r>
      <w:r w:rsidRPr="00E13110">
        <w:t xml:space="preserve"> Bathing </w:t>
      </w:r>
      <w:r w:rsidR="007C19D5" w:rsidRPr="00E13110">
        <w:t>W</w:t>
      </w:r>
      <w:r w:rsidRPr="00E13110">
        <w:t xml:space="preserve">ith 2% </w:t>
      </w:r>
      <w:r w:rsidR="00F47756" w:rsidRPr="00E13110">
        <w:t xml:space="preserve">CHG </w:t>
      </w:r>
      <w:r w:rsidRPr="00E13110">
        <w:t>No-Rinse Bathing Cloths</w:t>
      </w:r>
    </w:p>
    <w:p w14:paraId="59EF7AF8" w14:textId="640E1CA0" w:rsidR="00D54263" w:rsidRPr="003130AA" w:rsidRDefault="00D54263" w:rsidP="009502B0">
      <w:pPr>
        <w:pStyle w:val="ListParagraph1"/>
        <w:numPr>
          <w:ilvl w:val="0"/>
          <w:numId w:val="3"/>
        </w:numPr>
      </w:pPr>
      <w:bookmarkStart w:id="0" w:name="_Hlk51248985"/>
      <w:r w:rsidRPr="00E13110">
        <w:t>Provide one-page instruction sheet for patients on CHG bathing to read prior to beginning bath (</w:t>
      </w:r>
      <w:r w:rsidR="00EA1303" w:rsidRPr="00E13110">
        <w:t xml:space="preserve">Section 10: </w:t>
      </w:r>
      <w:r w:rsidRPr="00E13110">
        <w:t xml:space="preserve">“Bathe </w:t>
      </w:r>
      <w:r w:rsidR="007C19D5" w:rsidRPr="00E13110">
        <w:t>D</w:t>
      </w:r>
      <w:r w:rsidRPr="00E13110">
        <w:t xml:space="preserve">aily with Chlorhexidine (CHG) </w:t>
      </w:r>
      <w:r w:rsidR="007C19D5" w:rsidRPr="00E13110">
        <w:t>C</w:t>
      </w:r>
      <w:r w:rsidRPr="00E13110">
        <w:t>loths</w:t>
      </w:r>
      <w:r w:rsidR="00421D93" w:rsidRPr="00E13110">
        <w:t xml:space="preserve"> </w:t>
      </w:r>
      <w:r w:rsidR="00023F50" w:rsidRPr="00E13110">
        <w:t>–</w:t>
      </w:r>
      <w:r w:rsidRPr="00E13110">
        <w:t xml:space="preserve"> Patients”).</w:t>
      </w:r>
    </w:p>
    <w:bookmarkEnd w:id="0"/>
    <w:p w14:paraId="534D5D46" w14:textId="3EE343D3" w:rsidR="00D54263" w:rsidRPr="003130AA" w:rsidRDefault="00D54263" w:rsidP="009502B0">
      <w:pPr>
        <w:pStyle w:val="ListParagraph1"/>
        <w:numPr>
          <w:ilvl w:val="0"/>
          <w:numId w:val="3"/>
        </w:numPr>
      </w:pPr>
      <w:r w:rsidRPr="00E13110">
        <w:t>Remove one set of warmed packets (</w:t>
      </w:r>
      <w:r w:rsidR="00023F50" w:rsidRPr="00E13110">
        <w:t>three</w:t>
      </w:r>
      <w:r w:rsidRPr="00E13110">
        <w:t xml:space="preserve"> packets in a set, </w:t>
      </w:r>
      <w:r w:rsidR="00023F50" w:rsidRPr="00E13110">
        <w:t>two</w:t>
      </w:r>
      <w:r w:rsidRPr="00E13110">
        <w:t xml:space="preserve"> cloths per packet) of no-rinse 2% CHG cloths from the warmer (total </w:t>
      </w:r>
      <w:r w:rsidR="00023F50" w:rsidRPr="00E13110">
        <w:t>six</w:t>
      </w:r>
      <w:r w:rsidRPr="00E13110">
        <w:t xml:space="preserve"> cloths). Note: Cloths should not be removed from warmer until just before bath.</w:t>
      </w:r>
    </w:p>
    <w:p w14:paraId="408450CC" w14:textId="1EE52F77" w:rsidR="00CC2B0B" w:rsidRPr="00E13110" w:rsidRDefault="00F0449D" w:rsidP="009502B0">
      <w:pPr>
        <w:pStyle w:val="ListParagraph1"/>
        <w:numPr>
          <w:ilvl w:val="0"/>
          <w:numId w:val="3"/>
        </w:numPr>
      </w:pPr>
      <w:r w:rsidRPr="00E13110">
        <w:t xml:space="preserve">For obese or incontinent patients, additional cloths may be needed. </w:t>
      </w:r>
      <w:r w:rsidR="003929B1" w:rsidRPr="00E13110">
        <w:t xml:space="preserve">Because these cloths come bundled as a set of three </w:t>
      </w:r>
      <w:r w:rsidR="00023F50" w:rsidRPr="00E13110">
        <w:t>two</w:t>
      </w:r>
      <w:r w:rsidR="003929B1" w:rsidRPr="00E13110">
        <w:t xml:space="preserve">-cloth packets, a </w:t>
      </w:r>
      <w:r w:rsidRPr="00E13110">
        <w:t xml:space="preserve">packet of </w:t>
      </w:r>
      <w:r w:rsidR="00023F50" w:rsidRPr="00E13110">
        <w:t>two</w:t>
      </w:r>
      <w:r w:rsidR="00620ABD" w:rsidRPr="00E13110">
        <w:t xml:space="preserve"> </w:t>
      </w:r>
      <w:r w:rsidRPr="00E13110">
        <w:t xml:space="preserve">cloths can be </w:t>
      </w:r>
      <w:r w:rsidR="000759A1" w:rsidRPr="00E13110">
        <w:t xml:space="preserve">taken separately </w:t>
      </w:r>
      <w:r w:rsidRPr="00E13110">
        <w:t xml:space="preserve">and warmed in </w:t>
      </w:r>
      <w:r w:rsidR="00CC2B0B" w:rsidRPr="00E13110">
        <w:t>a separate slot in the</w:t>
      </w:r>
      <w:r w:rsidRPr="00E13110">
        <w:t xml:space="preserve"> </w:t>
      </w:r>
      <w:r w:rsidR="00CC2B0B" w:rsidRPr="00E13110">
        <w:t xml:space="preserve">provided </w:t>
      </w:r>
      <w:r w:rsidRPr="00E13110">
        <w:t>warmer</w:t>
      </w:r>
      <w:r w:rsidR="00B72AA1">
        <w:t xml:space="preserve"> (Figure 9-1</w:t>
      </w:r>
      <w:r w:rsidR="002D174B">
        <w:t>-1</w:t>
      </w:r>
      <w:r w:rsidR="00B72AA1">
        <w:t>)</w:t>
      </w:r>
      <w:r w:rsidR="00CC2B0B" w:rsidRPr="00E13110">
        <w:t xml:space="preserve">. </w:t>
      </w:r>
    </w:p>
    <w:p w14:paraId="30AE2C6F" w14:textId="068CA3FA" w:rsidR="00F0449D" w:rsidRPr="003130AA" w:rsidRDefault="00B72AA1" w:rsidP="009502B0">
      <w:pPr>
        <w:pStyle w:val="ListParagraph1"/>
        <w:numPr>
          <w:ilvl w:val="0"/>
          <w:numId w:val="3"/>
        </w:numPr>
      </w:pPr>
      <w:r w:rsidRPr="00B72AA1">
        <w:rPr>
          <w:noProof/>
        </w:rPr>
        <mc:AlternateContent>
          <mc:Choice Requires="wps">
            <w:drawing>
              <wp:anchor distT="45720" distB="45720" distL="114300" distR="114300" simplePos="0" relativeHeight="251660288" behindDoc="0" locked="0" layoutInCell="1" allowOverlap="1" wp14:anchorId="773773B7" wp14:editId="35CF5919">
                <wp:simplePos x="0" y="0"/>
                <wp:positionH relativeFrom="column">
                  <wp:posOffset>4508500</wp:posOffset>
                </wp:positionH>
                <wp:positionV relativeFrom="paragraph">
                  <wp:posOffset>79375</wp:posOffset>
                </wp:positionV>
                <wp:extent cx="1847850" cy="2794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79400"/>
                        </a:xfrm>
                        <a:prstGeom prst="rect">
                          <a:avLst/>
                        </a:prstGeom>
                        <a:noFill/>
                        <a:ln w="9525">
                          <a:noFill/>
                          <a:miter lim="800000"/>
                          <a:headEnd/>
                          <a:tailEnd/>
                        </a:ln>
                      </wps:spPr>
                      <wps:txbx>
                        <w:txbxContent>
                          <w:p w14:paraId="62B8C93B" w14:textId="1A209489" w:rsidR="00B72AA1" w:rsidRPr="002D174B" w:rsidRDefault="00B72AA1" w:rsidP="002D174B">
                            <w:pPr>
                              <w:pStyle w:val="EndnoteText"/>
                              <w:ind w:left="0"/>
                              <w:jc w:val="left"/>
                              <w:rPr>
                                <w:b/>
                                <w:bCs/>
                              </w:rPr>
                            </w:pPr>
                            <w:r w:rsidRPr="002D174B">
                              <w:rPr>
                                <w:b/>
                                <w:bCs/>
                              </w:rPr>
                              <w:t>Figure 9-1</w:t>
                            </w:r>
                            <w:r w:rsidR="002D174B">
                              <w:rPr>
                                <w:b/>
                                <w:bCs/>
                              </w:rPr>
                              <w:t>-1</w:t>
                            </w:r>
                            <w:r w:rsidRPr="002D174B">
                              <w:rPr>
                                <w:b/>
                                <w:bCs/>
                              </w:rPr>
                              <w:t>. CHG Cloth Warmer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73773B7" id="_x0000_t202" coordsize="21600,21600" o:spt="202" path="m,l,21600r21600,l21600,xe">
                <v:stroke joinstyle="miter"/>
                <v:path gradientshapeok="t" o:connecttype="rect"/>
              </v:shapetype>
              <v:shape id="Text Box 2" o:spid="_x0000_s1026" type="#_x0000_t202" style="position:absolute;left:0;text-align:left;margin-left:355pt;margin-top:6.25pt;width:145.5pt;height:2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" filled="f" stroked="f">
                <v:textbox>
                  <w:txbxContent>
                    <w:p w14:paraId="62B8C93B" w14:textId="1A209489" w:rsidR="00B72AA1" w:rsidRPr="002D174B" w:rsidRDefault="00B72AA1" w:rsidP="002D174B">
                      <w:pPr>
                        <w:pStyle w:val="EndnoteText"/>
                        <w:ind w:left="0"/>
                        <w:jc w:val="left"/>
                        <w:rPr>
                          <w:b/>
                          <w:bCs/>
                        </w:rPr>
                      </w:pPr>
                      <w:r w:rsidRPr="002D174B">
                        <w:rPr>
                          <w:b/>
                          <w:bCs/>
                        </w:rPr>
                        <w:t>Figure 9-1</w:t>
                      </w:r>
                      <w:r w:rsidR="002D174B">
                        <w:rPr>
                          <w:b/>
                          <w:bCs/>
                        </w:rPr>
                        <w:t>-1</w:t>
                      </w:r>
                      <w:r w:rsidRPr="002D174B">
                        <w:rPr>
                          <w:b/>
                          <w:bCs/>
                        </w:rPr>
                        <w:t>. CHG Cloth Warmer</w:t>
                      </w:r>
                    </w:p>
                  </w:txbxContent>
                </v:textbox>
                <w10:wrap type="square"/>
              </v:shape>
            </w:pict>
          </mc:Fallback>
        </mc:AlternateContent>
      </w:r>
      <w:r w:rsidRPr="003130AA">
        <w:rPr>
          <w:noProof/>
        </w:rPr>
        <w:drawing>
          <wp:anchor distT="0" distB="0" distL="114300" distR="114300" simplePos="0" relativeHeight="251658240" behindDoc="0" locked="0" layoutInCell="1" allowOverlap="1" wp14:anchorId="6555D815" wp14:editId="5B5F9D02">
            <wp:simplePos x="0" y="0"/>
            <wp:positionH relativeFrom="column">
              <wp:posOffset>4610100</wp:posOffset>
            </wp:positionH>
            <wp:positionV relativeFrom="paragraph">
              <wp:posOffset>321310</wp:posOffset>
            </wp:positionV>
            <wp:extent cx="1706245" cy="2153285"/>
            <wp:effectExtent l="0" t="0" r="8255" b="0"/>
            <wp:wrapThrough wrapText="bothSides">
              <wp:wrapPolygon edited="0">
                <wp:start x="0" y="0"/>
                <wp:lineTo x="0" y="21403"/>
                <wp:lineTo x="21463" y="21403"/>
                <wp:lineTo x="21463" y="0"/>
                <wp:lineTo x="0" y="0"/>
              </wp:wrapPolygon>
            </wp:wrapThrough>
            <wp:docPr id="4" name="Picture 3" descr="CHG Cloth Wa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G Cloth Warmer"/>
                    <pic:cNvPicPr>
                      <a:picLocks noChangeAspect="1"/>
                    </pic:cNvPicPr>
                  </pic:nvPicPr>
                  <pic:blipFill rotWithShape="1">
                    <a:blip r:embed="rId11">
                      <a:extLst>
                        <a:ext uri="{28A0092B-C50C-407E-A947-70E740481C1C}">
                          <a14:useLocalDpi xmlns:a14="http://schemas.microsoft.com/office/drawing/2010/main" val="0"/>
                        </a:ext>
                      </a:extLst>
                    </a:blip>
                    <a:srcRect l="13973" b="5242"/>
                    <a:stretch/>
                  </pic:blipFill>
                  <pic:spPr>
                    <a:xfrm>
                      <a:off x="0" y="0"/>
                      <a:ext cx="1706245" cy="2153285"/>
                    </a:xfrm>
                    <a:prstGeom prst="rect">
                      <a:avLst/>
                    </a:prstGeom>
                  </pic:spPr>
                </pic:pic>
              </a:graphicData>
            </a:graphic>
            <wp14:sizeRelH relativeFrom="page">
              <wp14:pctWidth>0</wp14:pctWidth>
            </wp14:sizeRelH>
            <wp14:sizeRelV relativeFrom="page">
              <wp14:pctHeight>0</wp14:pctHeight>
            </wp14:sizeRelV>
          </wp:anchor>
        </w:drawing>
      </w:r>
      <w:r w:rsidR="00F35D5E">
        <w:t>W</w:t>
      </w:r>
      <w:r w:rsidR="00F35D5E" w:rsidRPr="00E13110">
        <w:t xml:space="preserve">e recommend that you reserve </w:t>
      </w:r>
      <w:r w:rsidR="00F35D5E">
        <w:t xml:space="preserve">one </w:t>
      </w:r>
      <w:r w:rsidR="00F35D5E" w:rsidRPr="00E13110">
        <w:t xml:space="preserve">column in the warmer for single two-cloth packets </w:t>
      </w:r>
      <w:r w:rsidR="00F35D5E">
        <w:t>t</w:t>
      </w:r>
      <w:r w:rsidR="00CC2B0B" w:rsidRPr="00E13110">
        <w:t xml:space="preserve">o address the common situation of needing additional </w:t>
      </w:r>
      <w:r w:rsidR="00CC2B0B" w:rsidRPr="00572519">
        <w:t>cloth</w:t>
      </w:r>
      <w:r w:rsidR="00572519" w:rsidRPr="00572519">
        <w:t>s</w:t>
      </w:r>
      <w:r w:rsidR="00F47756" w:rsidRPr="00572519">
        <w:t xml:space="preserve"> for</w:t>
      </w:r>
      <w:r w:rsidR="00CC2B0B" w:rsidRPr="00572519">
        <w:t xml:space="preserve"> obese</w:t>
      </w:r>
      <w:r w:rsidR="00CC2B0B" w:rsidRPr="00E13110">
        <w:t xml:space="preserve"> or incontinent patients, or to thoroughly clean devices</w:t>
      </w:r>
      <w:r w:rsidR="00F35D5E">
        <w:t>.</w:t>
      </w:r>
      <w:r w:rsidR="00CC2B0B" w:rsidRPr="00E13110">
        <w:t xml:space="preserve"> </w:t>
      </w:r>
      <w:r w:rsidR="00F0449D" w:rsidRPr="00E13110">
        <w:t>Use these additional packets as needed during the day.</w:t>
      </w:r>
      <w:r w:rsidR="00F0449D" w:rsidRPr="003130AA">
        <w:t xml:space="preserve"> </w:t>
      </w:r>
    </w:p>
    <w:p w14:paraId="5A0036D2" w14:textId="1F562364" w:rsidR="00D54263" w:rsidRPr="003130AA" w:rsidRDefault="0010450D" w:rsidP="009502B0">
      <w:pPr>
        <w:pStyle w:val="ListParagraph1"/>
        <w:numPr>
          <w:ilvl w:val="0"/>
          <w:numId w:val="3"/>
        </w:numPr>
      </w:pPr>
      <w:r w:rsidRPr="00E13110">
        <w:t xml:space="preserve">Inform </w:t>
      </w:r>
      <w:r w:rsidR="00D54263" w:rsidRPr="00E13110">
        <w:t>the patient that the CHG cloths work better than soap and water in removing bacteria from the skin and that the cloths serve as their routine bath</w:t>
      </w:r>
      <w:r w:rsidR="005660D5" w:rsidRPr="00E13110">
        <w:t xml:space="preserve"> (not a top coat)</w:t>
      </w:r>
      <w:r w:rsidR="00D54263" w:rsidRPr="00E13110">
        <w:t>.</w:t>
      </w:r>
    </w:p>
    <w:p w14:paraId="2D065524" w14:textId="0665B31A" w:rsidR="00D54263" w:rsidRPr="003130AA" w:rsidRDefault="00D54263" w:rsidP="009502B0">
      <w:pPr>
        <w:pStyle w:val="ListParagraph1"/>
        <w:numPr>
          <w:ilvl w:val="0"/>
          <w:numId w:val="3"/>
        </w:numPr>
      </w:pPr>
      <w:r w:rsidRPr="00E13110">
        <w:t>If the patient wishes to self</w:t>
      </w:r>
      <w:r w:rsidR="0010450D" w:rsidRPr="00E13110">
        <w:t>-</w:t>
      </w:r>
      <w:r w:rsidRPr="00E13110">
        <w:t>bathe, provide verbal instructions and as</w:t>
      </w:r>
      <w:r w:rsidR="00AB2CF0" w:rsidRPr="00E13110">
        <w:t>sist with hard</w:t>
      </w:r>
      <w:r w:rsidR="0010450D" w:rsidRPr="00E13110">
        <w:t>-</w:t>
      </w:r>
      <w:r w:rsidR="00AB2CF0" w:rsidRPr="00E13110">
        <w:t>to</w:t>
      </w:r>
      <w:r w:rsidR="0010450D" w:rsidRPr="00E13110">
        <w:t>-</w:t>
      </w:r>
      <w:r w:rsidR="00AB2CF0" w:rsidRPr="00E13110">
        <w:t xml:space="preserve">reach areas. </w:t>
      </w:r>
    </w:p>
    <w:p w14:paraId="099DF575" w14:textId="77777777" w:rsidR="003E153D" w:rsidRPr="003130AA" w:rsidRDefault="00D54263" w:rsidP="009502B0">
      <w:pPr>
        <w:pStyle w:val="ListParagraph1"/>
        <w:numPr>
          <w:ilvl w:val="0"/>
          <w:numId w:val="3"/>
        </w:numPr>
      </w:pPr>
      <w:r w:rsidRPr="00E13110">
        <w:t xml:space="preserve">Use each of the </w:t>
      </w:r>
      <w:r w:rsidR="00023F50" w:rsidRPr="00E13110">
        <w:t>six</w:t>
      </w:r>
      <w:r w:rsidRPr="00E13110">
        <w:t xml:space="preserve"> cloths for bathing </w:t>
      </w:r>
      <w:r w:rsidR="006D6736" w:rsidRPr="00E13110">
        <w:t>all</w:t>
      </w:r>
      <w:r w:rsidRPr="00E13110">
        <w:t xml:space="preserve"> </w:t>
      </w:r>
      <w:r w:rsidR="006D6736" w:rsidRPr="00E13110">
        <w:t xml:space="preserve">skin </w:t>
      </w:r>
      <w:r w:rsidRPr="00E13110">
        <w:t>areas</w:t>
      </w:r>
      <w:r w:rsidR="00023F50" w:rsidRPr="00E13110">
        <w:t>, in the order listed</w:t>
      </w:r>
      <w:r w:rsidR="006D6736" w:rsidRPr="00E13110">
        <w:t xml:space="preserve"> below</w:t>
      </w:r>
      <w:r w:rsidRPr="00E13110">
        <w:t>. Ensure that cloths are applied to skin by firm massage to ensure the binding of CHG to skin proteins. This allows CHG to continue to kill germs for a minimum of 24 hours.</w:t>
      </w:r>
    </w:p>
    <w:p w14:paraId="3496383E" w14:textId="065B9ABF" w:rsidR="003E153D" w:rsidRPr="003E153D" w:rsidRDefault="00D54263" w:rsidP="009502B0">
      <w:pPr>
        <w:pStyle w:val="Subtitle"/>
        <w:numPr>
          <w:ilvl w:val="0"/>
          <w:numId w:val="5"/>
        </w:numPr>
        <w:ind w:left="1440"/>
      </w:pPr>
      <w:r w:rsidRPr="003130AA">
        <w:rPr>
          <w:b/>
          <w:bCs/>
        </w:rPr>
        <w:t>Cloth 1:</w:t>
      </w:r>
      <w:r w:rsidRPr="003E153D">
        <w:t xml:space="preserve"> Face</w:t>
      </w:r>
      <w:r w:rsidR="002D174B">
        <w:t>,</w:t>
      </w:r>
      <w:r w:rsidR="00572519">
        <w:rPr>
          <w:rStyle w:val="FootnoteReference"/>
          <w:rFonts w:asciiTheme="minorHAnsi" w:hAnsiTheme="minorHAnsi"/>
        </w:rPr>
        <w:footnoteReference w:id="2"/>
      </w:r>
      <w:r w:rsidRPr="003E153D">
        <w:t xml:space="preserve"> neck, and chest. </w:t>
      </w:r>
      <w:r w:rsidR="00F6294B" w:rsidRPr="003D31BE">
        <w:rPr>
          <w:color w:val="8F0000"/>
        </w:rPr>
        <w:t>Avoid eyes and ear canal</w:t>
      </w:r>
      <w:r w:rsidR="0010450D" w:rsidRPr="003D31BE">
        <w:rPr>
          <w:color w:val="8F0000"/>
        </w:rPr>
        <w:t>s</w:t>
      </w:r>
      <w:r w:rsidRPr="003D31BE">
        <w:rPr>
          <w:color w:val="8F0000"/>
        </w:rPr>
        <w:t>.</w:t>
      </w:r>
    </w:p>
    <w:p w14:paraId="29432389" w14:textId="77777777" w:rsidR="003E153D" w:rsidRPr="003E153D" w:rsidRDefault="00D54263" w:rsidP="009502B0">
      <w:pPr>
        <w:pStyle w:val="Subtitle"/>
        <w:numPr>
          <w:ilvl w:val="0"/>
          <w:numId w:val="5"/>
        </w:numPr>
        <w:ind w:left="1440"/>
      </w:pPr>
      <w:r w:rsidRPr="003130AA">
        <w:rPr>
          <w:b/>
          <w:bCs/>
        </w:rPr>
        <w:t>Cloth 2:</w:t>
      </w:r>
      <w:r w:rsidRPr="003E153D">
        <w:t xml:space="preserve"> Both shoulders, arms, and hands</w:t>
      </w:r>
    </w:p>
    <w:p w14:paraId="51290802" w14:textId="77777777" w:rsidR="003E153D" w:rsidRPr="003E153D" w:rsidRDefault="00D54263" w:rsidP="009502B0">
      <w:pPr>
        <w:pStyle w:val="Subtitle"/>
        <w:numPr>
          <w:ilvl w:val="0"/>
          <w:numId w:val="5"/>
        </w:numPr>
        <w:ind w:left="1440"/>
      </w:pPr>
      <w:r w:rsidRPr="003130AA">
        <w:rPr>
          <w:b/>
          <w:bCs/>
        </w:rPr>
        <w:t>Cloth 3:</w:t>
      </w:r>
      <w:r w:rsidRPr="003E153D">
        <w:t xml:space="preserve"> Abdomen and </w:t>
      </w:r>
      <w:r w:rsidRPr="003E153D">
        <w:rPr>
          <w:i/>
        </w:rPr>
        <w:t>then</w:t>
      </w:r>
      <w:r w:rsidRPr="003E153D">
        <w:t xml:space="preserve"> groin/perineum</w:t>
      </w:r>
    </w:p>
    <w:p w14:paraId="0877D9F3" w14:textId="77777777" w:rsidR="003E153D" w:rsidRPr="003E153D" w:rsidRDefault="00D54263" w:rsidP="00140D74">
      <w:pPr>
        <w:pStyle w:val="Level3Bulletlist"/>
      </w:pPr>
      <w:r w:rsidRPr="003130AA">
        <w:rPr>
          <w:b/>
          <w:bCs/>
        </w:rPr>
        <w:t>Cloth 4:</w:t>
      </w:r>
      <w:r w:rsidRPr="003E153D">
        <w:t xml:space="preserve"> Right leg and foot</w:t>
      </w:r>
    </w:p>
    <w:p w14:paraId="2C8A571F" w14:textId="78F0F60C" w:rsidR="0065471F" w:rsidRPr="003E153D" w:rsidRDefault="00D54263" w:rsidP="009502B0">
      <w:pPr>
        <w:pStyle w:val="Subtitle"/>
        <w:numPr>
          <w:ilvl w:val="0"/>
          <w:numId w:val="5"/>
        </w:numPr>
        <w:ind w:left="1440"/>
      </w:pPr>
      <w:r w:rsidRPr="003130AA">
        <w:rPr>
          <w:b/>
          <w:bCs/>
        </w:rPr>
        <w:t>Cloth 5:</w:t>
      </w:r>
      <w:r w:rsidRPr="003E153D">
        <w:t xml:space="preserve"> Left leg and foot</w:t>
      </w:r>
    </w:p>
    <w:p w14:paraId="4F1C2218" w14:textId="6C2158F3" w:rsidR="003E153D" w:rsidRPr="003E153D" w:rsidRDefault="003E153D" w:rsidP="009502B0">
      <w:pPr>
        <w:pStyle w:val="Subtitle"/>
        <w:numPr>
          <w:ilvl w:val="0"/>
          <w:numId w:val="5"/>
        </w:numPr>
        <w:ind w:left="1440"/>
      </w:pPr>
      <w:r w:rsidRPr="003130AA">
        <w:rPr>
          <w:b/>
          <w:bCs/>
        </w:rPr>
        <w:t>Cloth 6:</w:t>
      </w:r>
      <w:r>
        <w:t xml:space="preserve"> </w:t>
      </w:r>
      <w:r w:rsidRPr="00572519">
        <w:t xml:space="preserve">Back of neck, back and </w:t>
      </w:r>
      <w:r w:rsidRPr="00572519">
        <w:rPr>
          <w:i/>
        </w:rPr>
        <w:t>then</w:t>
      </w:r>
      <w:r w:rsidRPr="00572519">
        <w:t xml:space="preserve"> buttocks</w:t>
      </w:r>
    </w:p>
    <w:p w14:paraId="5D1A4C8E" w14:textId="77777777" w:rsidR="00140D74" w:rsidRDefault="00140D74">
      <w:pPr>
        <w:spacing w:after="160" w:line="259" w:lineRule="auto"/>
        <w:rPr>
          <w:rStyle w:val="ListparagraphChar"/>
        </w:rPr>
      </w:pPr>
      <w:bookmarkStart w:id="1" w:name="_Hlk51272491"/>
      <w:r>
        <w:rPr>
          <w:rStyle w:val="ListparagraphChar"/>
        </w:rPr>
        <w:br w:type="page"/>
      </w:r>
    </w:p>
    <w:p w14:paraId="78A9ACFC" w14:textId="034C55A7" w:rsidR="00D54263" w:rsidRPr="00140D74" w:rsidRDefault="00515190" w:rsidP="00140D74">
      <w:pPr>
        <w:pStyle w:val="ListParagraph1"/>
      </w:pPr>
      <w:r w:rsidRPr="00140D74">
        <w:lastRenderedPageBreak/>
        <w:t>After applying a CHG wipe to a designated body section, use a clean section of the CHG wipe</w:t>
      </w:r>
      <w:r w:rsidR="003243A7" w:rsidRPr="00140D74">
        <w:t xml:space="preserve"> (or a new wipe)</w:t>
      </w:r>
      <w:r w:rsidRPr="00140D74">
        <w:t xml:space="preserve"> to </w:t>
      </w:r>
      <w:r w:rsidRPr="00140D74">
        <w:rPr>
          <w:b/>
          <w:bCs/>
        </w:rPr>
        <w:t>clean any device that is on that part of the body</w:t>
      </w:r>
      <w:r w:rsidRPr="00140D74">
        <w:t xml:space="preserve">. This includes not only </w:t>
      </w:r>
      <w:r w:rsidR="00AB3CC8" w:rsidRPr="00140D74">
        <w:t xml:space="preserve">any </w:t>
      </w:r>
      <w:r w:rsidRPr="00140D74">
        <w:t>central line, midline catheter, or lumbar drain, but also any other drain and tube on that patient’s body. In accordance with the ABATE Infection Trial protocol</w:t>
      </w:r>
      <w:r w:rsidRPr="00140D74">
        <w:rPr>
          <w:b/>
          <w:bCs/>
        </w:rPr>
        <w:t xml:space="preserve">, </w:t>
      </w:r>
      <w:r w:rsidR="00A103F2" w:rsidRPr="00140D74">
        <w:rPr>
          <w:b/>
          <w:bCs/>
        </w:rPr>
        <w:t xml:space="preserve">clean the 6 inches of ALL lines, drains, and tubing (e.g., central lines, midline catheters, chest tubes, surgical drains, G-tube/J-tube, urinary catheter, rectal tube) that are closest to the body using a clean portion of the CHG cloth, or a new CHG cloth. Wipe over nonpermeable dressings. </w:t>
      </w:r>
      <w:r w:rsidRPr="00140D74">
        <w:t>This will help remove bacteria close to where devices penetrate the skin. CHG is safe to use on devices and should be used over non</w:t>
      </w:r>
      <w:r w:rsidR="002D174B">
        <w:t>-</w:t>
      </w:r>
      <w:r w:rsidRPr="00140D74">
        <w:t>gauze dressings.</w:t>
      </w:r>
    </w:p>
    <w:bookmarkEnd w:id="1"/>
    <w:p w14:paraId="5750E212" w14:textId="6F8DF11C" w:rsidR="00D54263" w:rsidRPr="003130AA" w:rsidRDefault="00F0449D" w:rsidP="00140D74">
      <w:pPr>
        <w:pStyle w:val="ListParagraph1"/>
      </w:pPr>
      <w:r w:rsidRPr="003130AA">
        <w:t xml:space="preserve">If incontinence occurs, </w:t>
      </w:r>
      <w:r w:rsidR="002E52D5" w:rsidRPr="003130AA">
        <w:t xml:space="preserve">or if there are other secretions on the skin, </w:t>
      </w:r>
      <w:r w:rsidRPr="003130AA">
        <w:t>remove soilage with</w:t>
      </w:r>
      <w:r w:rsidR="00D54263" w:rsidRPr="003130AA">
        <w:t xml:space="preserve"> </w:t>
      </w:r>
      <w:r w:rsidRPr="003130AA">
        <w:t>disposable cloths</w:t>
      </w:r>
      <w:r w:rsidR="00D54263" w:rsidRPr="003130AA">
        <w:t xml:space="preserve"> or towels. Rinse </w:t>
      </w:r>
      <w:r w:rsidRPr="003130AA">
        <w:t xml:space="preserve">or wipe </w:t>
      </w:r>
      <w:r w:rsidR="00D54263" w:rsidRPr="003130AA">
        <w:t>the affected area with water</w:t>
      </w:r>
      <w:r w:rsidR="002F2AD9" w:rsidRPr="003130AA">
        <w:t>, t</w:t>
      </w:r>
      <w:r w:rsidR="00D54263" w:rsidRPr="003130AA">
        <w:t>hen clean skin with CHG cloths. If needed, use CHG</w:t>
      </w:r>
      <w:r w:rsidR="002F2AD9" w:rsidRPr="003130AA">
        <w:t>-</w:t>
      </w:r>
      <w:r w:rsidR="00D54263" w:rsidRPr="003130AA">
        <w:t>compatible barrier protection products for barrier protection</w:t>
      </w:r>
      <w:r w:rsidR="00D344C8" w:rsidRPr="003130AA">
        <w:t xml:space="preserve"> (contact product </w:t>
      </w:r>
      <w:r w:rsidR="00EE7D3A" w:rsidRPr="003130AA">
        <w:t>manufacturers</w:t>
      </w:r>
      <w:r w:rsidR="00D344C8" w:rsidRPr="003130AA">
        <w:t xml:space="preserve"> to confirm CHG compatibility).</w:t>
      </w:r>
      <w:r w:rsidR="00D54263" w:rsidRPr="003130AA">
        <w:t xml:space="preserve"> </w:t>
      </w:r>
    </w:p>
    <w:p w14:paraId="54FDA7F3" w14:textId="39DE091A" w:rsidR="00D54263" w:rsidRPr="003130AA" w:rsidRDefault="00D54263" w:rsidP="00140D74">
      <w:pPr>
        <w:pStyle w:val="ListParagraph1"/>
      </w:pPr>
      <w:r w:rsidRPr="003130AA">
        <w:t xml:space="preserve">Allow </w:t>
      </w:r>
      <w:r w:rsidR="0041521D" w:rsidRPr="003130AA">
        <w:t xml:space="preserve">CHG </w:t>
      </w:r>
      <w:r w:rsidRPr="003130AA">
        <w:t xml:space="preserve">to </w:t>
      </w:r>
      <w:r w:rsidR="002E52D5" w:rsidRPr="003130AA">
        <w:t xml:space="preserve">air </w:t>
      </w:r>
      <w:r w:rsidRPr="003130AA">
        <w:t>dry naturally – do not wipe off</w:t>
      </w:r>
      <w:r w:rsidR="009E6F47" w:rsidRPr="003130AA">
        <w:t>.</w:t>
      </w:r>
    </w:p>
    <w:p w14:paraId="22210632" w14:textId="63DFDACE" w:rsidR="00D54263" w:rsidRPr="003130AA" w:rsidRDefault="00D54263" w:rsidP="00140D74">
      <w:pPr>
        <w:pStyle w:val="ListParagraph1"/>
      </w:pPr>
      <w:r w:rsidRPr="003130AA">
        <w:t xml:space="preserve">CHG cloths have </w:t>
      </w:r>
      <w:r w:rsidRPr="00140D74">
        <w:t>moisturizers</w:t>
      </w:r>
      <w:r w:rsidRPr="003130AA">
        <w:t xml:space="preserve">. If additional moisturizer or lotion is needed, only use lotions that are </w:t>
      </w:r>
      <w:r w:rsidR="00A06CC5" w:rsidRPr="003130AA">
        <w:t xml:space="preserve">known to be compatible with CHG based upon manufacturer </w:t>
      </w:r>
      <w:r w:rsidR="00B42485" w:rsidRPr="003130AA">
        <w:t>information</w:t>
      </w:r>
      <w:r w:rsidR="00A06CC5" w:rsidRPr="003130AA">
        <w:t>.</w:t>
      </w:r>
    </w:p>
    <w:p w14:paraId="67F77BBC" w14:textId="54FD0DCC" w:rsidR="00D54263" w:rsidRPr="003130AA" w:rsidRDefault="00D54263" w:rsidP="00140D74">
      <w:pPr>
        <w:pStyle w:val="ListParagraph1"/>
      </w:pPr>
      <w:r w:rsidRPr="003130AA">
        <w:t xml:space="preserve">Do not place CHG cloths directly on bedding. </w:t>
      </w:r>
      <w:r w:rsidR="00977736" w:rsidRPr="003130AA">
        <w:t xml:space="preserve">When washed in the laundry cycle, CHG has a chemical interaction with bleach and will leave a brown stain. NOTE: </w:t>
      </w:r>
      <w:r w:rsidR="009E6F47" w:rsidRPr="003130AA">
        <w:t>O</w:t>
      </w:r>
      <w:r w:rsidRPr="003130AA">
        <w:t>nce CHG is applied to the skin, it binds skin proteins and will not rub off onto bedding.</w:t>
      </w:r>
    </w:p>
    <w:p w14:paraId="6026EBA4" w14:textId="77777777" w:rsidR="009C58C7" w:rsidRDefault="00D54263" w:rsidP="00140D74">
      <w:pPr>
        <w:pStyle w:val="ListParagraph1"/>
      </w:pPr>
      <w:r w:rsidRPr="003130AA">
        <w:t xml:space="preserve">Dispose of CHG cloths in trash. Do not flush in </w:t>
      </w:r>
      <w:r w:rsidR="00153C17" w:rsidRPr="003130AA">
        <w:t>toilet</w:t>
      </w:r>
      <w:r w:rsidRPr="003130AA">
        <w:t>.</w:t>
      </w:r>
    </w:p>
    <w:p w14:paraId="27EE43FA" w14:textId="3F1E1AFF" w:rsidR="008635EE" w:rsidRPr="009C58C7" w:rsidRDefault="00D54263" w:rsidP="009C58C7">
      <w:pPr>
        <w:pStyle w:val="ListParagraph1"/>
        <w:numPr>
          <w:ilvl w:val="0"/>
          <w:numId w:val="0"/>
        </w:numPr>
        <w:ind w:left="720"/>
      </w:pPr>
      <w:r w:rsidRPr="009C58C7">
        <w:rPr>
          <w:b/>
          <w:bCs/>
        </w:rPr>
        <w:t>NOTE: Use as many additional CHG bathing cloths as necessary to thoroughly cleanse body.</w:t>
      </w:r>
    </w:p>
    <w:p w14:paraId="72AC84DC" w14:textId="0B071E22" w:rsidR="00C00809" w:rsidRPr="00E13110" w:rsidRDefault="00C00809" w:rsidP="00140D74">
      <w:pPr>
        <w:pStyle w:val="Heading1"/>
      </w:pPr>
      <w:r w:rsidRPr="00E13110">
        <w:t xml:space="preserve">Protocol for Showering </w:t>
      </w:r>
      <w:r w:rsidR="00E0316A" w:rsidRPr="00E13110">
        <w:t>W</w:t>
      </w:r>
      <w:r w:rsidRPr="00E13110">
        <w:t>ith 4% Liquid Chlorhexidine</w:t>
      </w:r>
    </w:p>
    <w:p w14:paraId="5F71DF63" w14:textId="61B0B6AF" w:rsidR="00C00809" w:rsidRPr="00140D74" w:rsidRDefault="00C00809" w:rsidP="00140D74">
      <w:pPr>
        <w:pStyle w:val="ListParagraph1"/>
      </w:pPr>
      <w:r w:rsidRPr="00140D74">
        <w:t xml:space="preserve">Provide one-page instruction sheet </w:t>
      </w:r>
      <w:r w:rsidR="007434F9" w:rsidRPr="00140D74">
        <w:t xml:space="preserve">on CHG showering </w:t>
      </w:r>
      <w:r w:rsidRPr="00140D74">
        <w:t>for patients to read prior to beginning shower (</w:t>
      </w:r>
      <w:r w:rsidR="00156473" w:rsidRPr="00140D74">
        <w:t xml:space="preserve">located in </w:t>
      </w:r>
      <w:r w:rsidR="0041521D" w:rsidRPr="00140D74">
        <w:t xml:space="preserve">Section 10: </w:t>
      </w:r>
      <w:r w:rsidR="00F20369">
        <w:t>“</w:t>
      </w:r>
      <w:r w:rsidRPr="00140D74">
        <w:t>Patient CHG Shower Instructions</w:t>
      </w:r>
      <w:r w:rsidR="00F20369">
        <w:t>”</w:t>
      </w:r>
      <w:r w:rsidRPr="00140D74">
        <w:t>). Patients will be more likely to read the instructions in their spare time.</w:t>
      </w:r>
    </w:p>
    <w:p w14:paraId="2E93AF5C" w14:textId="0DBC32E9" w:rsidR="00C00809" w:rsidRPr="00140D74" w:rsidRDefault="0073354D" w:rsidP="00140D74">
      <w:pPr>
        <w:pStyle w:val="ListParagraph1"/>
      </w:pPr>
      <w:r w:rsidRPr="00140D74">
        <w:t>Provide patient with a single-</w:t>
      </w:r>
      <w:r w:rsidR="00C00809" w:rsidRPr="00140D74">
        <w:t xml:space="preserve">use rinse-off </w:t>
      </w:r>
      <w:r w:rsidR="00A03654" w:rsidRPr="00140D74">
        <w:t>4</w:t>
      </w:r>
      <w:r w:rsidR="00156473" w:rsidRPr="00140D74">
        <w:t xml:space="preserve"> </w:t>
      </w:r>
      <w:r w:rsidR="00A03654" w:rsidRPr="00140D74">
        <w:t>oz</w:t>
      </w:r>
      <w:r w:rsidR="00C00809" w:rsidRPr="00140D74">
        <w:t xml:space="preserve"> 4% CHG bottle for each shower</w:t>
      </w:r>
      <w:r w:rsidR="00156473" w:rsidRPr="00140D74">
        <w:t>.</w:t>
      </w:r>
    </w:p>
    <w:p w14:paraId="36B2BDFB" w14:textId="65EBD57B" w:rsidR="00C87A04" w:rsidRPr="00140D74" w:rsidRDefault="00C87A04" w:rsidP="00140D74">
      <w:pPr>
        <w:pStyle w:val="ListParagraph1"/>
      </w:pPr>
      <w:r w:rsidRPr="00140D74">
        <w:t>Wrap all devices</w:t>
      </w:r>
      <w:r w:rsidR="0052740E" w:rsidRPr="00140D74">
        <w:t xml:space="preserve">, </w:t>
      </w:r>
      <w:r w:rsidRPr="00140D74">
        <w:t>as needed, to protect from water in shower.</w:t>
      </w:r>
    </w:p>
    <w:p w14:paraId="72BB2074" w14:textId="2E5AC033" w:rsidR="00C00809" w:rsidRPr="00140D74" w:rsidRDefault="00C00809" w:rsidP="00140D74">
      <w:pPr>
        <w:pStyle w:val="ListParagraph1"/>
      </w:pPr>
      <w:r w:rsidRPr="00140D74">
        <w:t>Provide patient with a mesh sponge</w:t>
      </w:r>
      <w:r w:rsidR="00335B61" w:rsidRPr="00140D74">
        <w:t>,</w:t>
      </w:r>
      <w:r w:rsidR="0031788D" w:rsidRPr="00140D74">
        <w:t xml:space="preserve"> which allows CHG to lather well and aids application to the skin</w:t>
      </w:r>
      <w:r w:rsidRPr="00140D74">
        <w:t xml:space="preserve">. </w:t>
      </w:r>
      <w:r w:rsidR="0031788D" w:rsidRPr="00140D74">
        <w:t>Do</w:t>
      </w:r>
      <w:r w:rsidRPr="00140D74">
        <w:t xml:space="preserve"> not use cotton cloths – cotton binds CHG and does not release CHG well onto the skin. In addition, when laundered, CHG on cloths can mix with bleach and cause a brown stain</w:t>
      </w:r>
      <w:r w:rsidR="00477E7C" w:rsidRPr="00140D74">
        <w:t>.</w:t>
      </w:r>
    </w:p>
    <w:p w14:paraId="0FD8FFA6" w14:textId="2BDABA57" w:rsidR="00C00809" w:rsidRPr="00140D74" w:rsidRDefault="007434F9" w:rsidP="00140D74">
      <w:pPr>
        <w:pStyle w:val="ListParagraph1"/>
      </w:pPr>
      <w:r w:rsidRPr="00140D74">
        <w:t>Inform</w:t>
      </w:r>
      <w:r w:rsidR="00C00809" w:rsidRPr="00140D74">
        <w:t xml:space="preserve"> the patient that CHG works better than soap and water in removing bacteria from the skin and that additional non-CHG soap should not be used</w:t>
      </w:r>
      <w:r w:rsidR="00477E7C" w:rsidRPr="00140D74">
        <w:t>.</w:t>
      </w:r>
    </w:p>
    <w:p w14:paraId="12D44060" w14:textId="77777777" w:rsidR="00C00809" w:rsidRPr="00140D74" w:rsidRDefault="00C00809" w:rsidP="00140D74">
      <w:pPr>
        <w:pStyle w:val="ListParagraph1"/>
      </w:pPr>
      <w:r w:rsidRPr="00140D74">
        <w:t>Provide the patient with the following verbal shower instructions:</w:t>
      </w:r>
    </w:p>
    <w:p w14:paraId="73B657C6" w14:textId="7CB9C1E9" w:rsidR="00C00809" w:rsidRPr="00E13110" w:rsidRDefault="00C00809" w:rsidP="00140D74">
      <w:pPr>
        <w:pStyle w:val="Level3Bulletlist"/>
      </w:pPr>
      <w:r w:rsidRPr="00E13110">
        <w:t>Use liquid CHG as shampoo in addition to body cleansing</w:t>
      </w:r>
      <w:r w:rsidR="00461363" w:rsidRPr="00E13110">
        <w:t xml:space="preserve">. </w:t>
      </w:r>
    </w:p>
    <w:p w14:paraId="355229E9" w14:textId="21D6E719" w:rsidR="00C00809" w:rsidRPr="00E13110" w:rsidRDefault="00C00809" w:rsidP="00140D74">
      <w:pPr>
        <w:pStyle w:val="Level3Bulletlist"/>
      </w:pPr>
      <w:r w:rsidRPr="00E13110">
        <w:t>Wet skin with water. Turn off water or stand out of water stream</w:t>
      </w:r>
      <w:r w:rsidR="00477E7C" w:rsidRPr="00E13110">
        <w:t>.</w:t>
      </w:r>
    </w:p>
    <w:p w14:paraId="2C1EA789" w14:textId="4C6C6CFE" w:rsidR="00C00809" w:rsidRPr="00E13110" w:rsidRDefault="00C00809" w:rsidP="00140D74">
      <w:pPr>
        <w:pStyle w:val="Level3Bulletlist"/>
      </w:pPr>
      <w:r w:rsidRPr="00E13110">
        <w:lastRenderedPageBreak/>
        <w:t xml:space="preserve">Pour CHG onto wet </w:t>
      </w:r>
      <w:r w:rsidR="00C63E42" w:rsidRPr="00E13110">
        <w:t xml:space="preserve">mesh </w:t>
      </w:r>
      <w:r w:rsidRPr="00E13110">
        <w:t>sponge and rub sponge until it is foamy</w:t>
      </w:r>
      <w:r w:rsidR="00477E7C" w:rsidRPr="00E13110">
        <w:t>.</w:t>
      </w:r>
    </w:p>
    <w:p w14:paraId="72C8D795" w14:textId="07F9C221" w:rsidR="00847033" w:rsidRPr="00E13110" w:rsidRDefault="00C00809" w:rsidP="00140D74">
      <w:pPr>
        <w:pStyle w:val="Level3Bulletlist"/>
      </w:pPr>
      <w:r w:rsidRPr="00E13110">
        <w:t>Firmly massage soapy sponge all over skin in the same order as indicated for the CHG cloth instructions</w:t>
      </w:r>
      <w:r w:rsidR="0041521D" w:rsidRPr="00E13110">
        <w:t xml:space="preserve"> (see Section 10)</w:t>
      </w:r>
      <w:r w:rsidRPr="00E13110">
        <w:t>. Reapply CHG generously to keep sponge or cloth full of foamy lather. Be sure to clean from top down (cleanest to dirtiest areas).</w:t>
      </w:r>
    </w:p>
    <w:p w14:paraId="403A34E1" w14:textId="771AF810" w:rsidR="00847033" w:rsidRPr="00E13110" w:rsidRDefault="00847033" w:rsidP="00140D74">
      <w:pPr>
        <w:pStyle w:val="Level4bulletlist"/>
      </w:pPr>
      <w:r w:rsidRPr="00E13110">
        <w:t>Neck and chest, including under breasts for women</w:t>
      </w:r>
    </w:p>
    <w:p w14:paraId="140B75A8" w14:textId="77777777" w:rsidR="00847033" w:rsidRPr="00E13110" w:rsidRDefault="00847033" w:rsidP="009502B0">
      <w:pPr>
        <w:pStyle w:val="ListParagraph"/>
        <w:numPr>
          <w:ilvl w:val="2"/>
          <w:numId w:val="4"/>
        </w:numPr>
        <w:spacing w:line="276" w:lineRule="auto"/>
        <w:jc w:val="both"/>
        <w:rPr>
          <w:rFonts w:asciiTheme="minorHAnsi" w:hAnsiTheme="minorHAnsi" w:cstheme="minorHAnsi"/>
        </w:rPr>
      </w:pPr>
      <w:r w:rsidRPr="00E13110">
        <w:rPr>
          <w:rFonts w:asciiTheme="minorHAnsi" w:hAnsiTheme="minorHAnsi" w:cstheme="minorHAnsi"/>
        </w:rPr>
        <w:t>Back of neck, shoulders, and back</w:t>
      </w:r>
    </w:p>
    <w:p w14:paraId="16AD6050" w14:textId="77777777" w:rsidR="00847033" w:rsidRPr="00E13110" w:rsidRDefault="00847033" w:rsidP="009502B0">
      <w:pPr>
        <w:pStyle w:val="ListParagraph"/>
        <w:numPr>
          <w:ilvl w:val="2"/>
          <w:numId w:val="4"/>
        </w:numPr>
        <w:spacing w:line="276" w:lineRule="auto"/>
        <w:jc w:val="both"/>
        <w:rPr>
          <w:rFonts w:asciiTheme="minorHAnsi" w:hAnsiTheme="minorHAnsi" w:cstheme="minorHAnsi"/>
        </w:rPr>
      </w:pPr>
      <w:r w:rsidRPr="00E13110">
        <w:rPr>
          <w:rFonts w:asciiTheme="minorHAnsi" w:hAnsiTheme="minorHAnsi" w:cstheme="minorHAnsi"/>
        </w:rPr>
        <w:t>Armpits, arms, and hands</w:t>
      </w:r>
    </w:p>
    <w:p w14:paraId="14548BF8" w14:textId="7DBE4807" w:rsidR="00847033" w:rsidRPr="00E13110" w:rsidRDefault="00847033" w:rsidP="009502B0">
      <w:pPr>
        <w:pStyle w:val="ListParagraph"/>
        <w:numPr>
          <w:ilvl w:val="2"/>
          <w:numId w:val="4"/>
        </w:numPr>
        <w:spacing w:line="276" w:lineRule="auto"/>
        <w:jc w:val="both"/>
        <w:rPr>
          <w:rFonts w:asciiTheme="minorHAnsi" w:hAnsiTheme="minorHAnsi" w:cstheme="minorHAnsi"/>
        </w:rPr>
      </w:pPr>
      <w:r w:rsidRPr="00E13110">
        <w:rPr>
          <w:rFonts w:asciiTheme="minorHAnsi" w:hAnsiTheme="minorHAnsi" w:cstheme="minorHAnsi"/>
        </w:rPr>
        <w:t>Abdomen, hip</w:t>
      </w:r>
      <w:r w:rsidR="00833636" w:rsidRPr="00E13110">
        <w:rPr>
          <w:rFonts w:asciiTheme="minorHAnsi" w:hAnsiTheme="minorHAnsi" w:cstheme="minorHAnsi"/>
        </w:rPr>
        <w:t>s</w:t>
      </w:r>
      <w:r w:rsidRPr="00E13110">
        <w:rPr>
          <w:rFonts w:asciiTheme="minorHAnsi" w:hAnsiTheme="minorHAnsi" w:cstheme="minorHAnsi"/>
        </w:rPr>
        <w:t xml:space="preserve"> and groin</w:t>
      </w:r>
    </w:p>
    <w:p w14:paraId="0A8A77B2" w14:textId="77777777" w:rsidR="00847033" w:rsidRPr="00E13110" w:rsidRDefault="00847033" w:rsidP="009502B0">
      <w:pPr>
        <w:pStyle w:val="ListParagraph"/>
        <w:numPr>
          <w:ilvl w:val="2"/>
          <w:numId w:val="4"/>
        </w:numPr>
        <w:spacing w:line="276" w:lineRule="auto"/>
        <w:jc w:val="both"/>
        <w:rPr>
          <w:rFonts w:asciiTheme="minorHAnsi" w:hAnsiTheme="minorHAnsi" w:cstheme="minorHAnsi"/>
        </w:rPr>
      </w:pPr>
      <w:r w:rsidRPr="00E13110">
        <w:rPr>
          <w:rFonts w:asciiTheme="minorHAnsi" w:hAnsiTheme="minorHAnsi" w:cstheme="minorHAnsi"/>
        </w:rPr>
        <w:t>Both legs and feet</w:t>
      </w:r>
    </w:p>
    <w:p w14:paraId="49E39FE9" w14:textId="10CF635C" w:rsidR="00E13110" w:rsidRPr="00CC2B89" w:rsidRDefault="00706B9F" w:rsidP="009502B0">
      <w:pPr>
        <w:pStyle w:val="ListParagraph"/>
        <w:numPr>
          <w:ilvl w:val="2"/>
          <w:numId w:val="4"/>
        </w:numPr>
        <w:spacing w:line="276" w:lineRule="auto"/>
        <w:jc w:val="both"/>
        <w:rPr>
          <w:rFonts w:asciiTheme="minorHAnsi" w:hAnsiTheme="minorHAnsi" w:cstheme="minorHAnsi"/>
        </w:rPr>
      </w:pPr>
      <w:r w:rsidRPr="00E13110">
        <w:rPr>
          <w:rFonts w:asciiTheme="minorHAnsi" w:hAnsiTheme="minorHAnsi" w:cstheme="minorHAnsi"/>
        </w:rPr>
        <w:t>Perineum</w:t>
      </w:r>
      <w:r w:rsidR="0052740E" w:rsidRPr="00E13110">
        <w:rPr>
          <w:rFonts w:asciiTheme="minorHAnsi" w:hAnsiTheme="minorHAnsi" w:cstheme="minorHAnsi"/>
        </w:rPr>
        <w:t xml:space="preserve"> (</w:t>
      </w:r>
      <w:r w:rsidRPr="00E13110">
        <w:rPr>
          <w:rFonts w:asciiTheme="minorHAnsi" w:hAnsiTheme="minorHAnsi" w:cstheme="minorHAnsi"/>
        </w:rPr>
        <w:t>g</w:t>
      </w:r>
      <w:r w:rsidR="00847033" w:rsidRPr="00E13110">
        <w:rPr>
          <w:rFonts w:asciiTheme="minorHAnsi" w:hAnsiTheme="minorHAnsi" w:cstheme="minorHAnsi"/>
        </w:rPr>
        <w:t>enitals</w:t>
      </w:r>
      <w:r w:rsidR="0052740E" w:rsidRPr="00E13110">
        <w:rPr>
          <w:rFonts w:asciiTheme="minorHAnsi" w:hAnsiTheme="minorHAnsi" w:cstheme="minorHAnsi"/>
        </w:rPr>
        <w:t>)</w:t>
      </w:r>
      <w:r w:rsidR="00847033" w:rsidRPr="00E13110">
        <w:rPr>
          <w:rFonts w:asciiTheme="minorHAnsi" w:hAnsiTheme="minorHAnsi" w:cstheme="minorHAnsi"/>
        </w:rPr>
        <w:t xml:space="preserve"> last</w:t>
      </w:r>
    </w:p>
    <w:p w14:paraId="49656A13" w14:textId="75D178F5" w:rsidR="00C00809" w:rsidRPr="00E13110" w:rsidRDefault="00C00809" w:rsidP="00140D74">
      <w:pPr>
        <w:pStyle w:val="Level3Bulletlist"/>
      </w:pPr>
      <w:r w:rsidRPr="00E13110">
        <w:t>For best results, leave soapy lather on skin for 2 minutes</w:t>
      </w:r>
      <w:r w:rsidR="00DD4278" w:rsidRPr="00E13110">
        <w:t xml:space="preserve"> before rinsing</w:t>
      </w:r>
      <w:r w:rsidRPr="00E13110">
        <w:t xml:space="preserve">. </w:t>
      </w:r>
      <w:r w:rsidR="003A39B0" w:rsidRPr="00E13110">
        <w:t xml:space="preserve"> Lathering all body areas </w:t>
      </w:r>
      <w:r w:rsidR="003A39B0" w:rsidRPr="00E13110">
        <w:rPr>
          <w:b/>
          <w:bCs/>
        </w:rPr>
        <w:t>twice</w:t>
      </w:r>
      <w:r w:rsidR="003A39B0" w:rsidRPr="00E13110">
        <w:t xml:space="preserve"> before rinsing generally takes about 2 minutes.</w:t>
      </w:r>
    </w:p>
    <w:p w14:paraId="3B380604" w14:textId="001A4BFD" w:rsidR="0052740E" w:rsidRPr="00E13110" w:rsidRDefault="00C00809" w:rsidP="00140D74">
      <w:pPr>
        <w:pStyle w:val="ListParagraph1"/>
      </w:pPr>
      <w:r w:rsidRPr="00E13110">
        <w:t xml:space="preserve">CHG should be encouraged for hair, face, and body use. However, if patients insist on using personal shampoo or face products, instruct them to use their personal products first with a separate washcloth, rinse well, and keep personal bathing products off of the body because </w:t>
      </w:r>
      <w:r w:rsidR="00A608F8" w:rsidRPr="00E13110">
        <w:t xml:space="preserve">many </w:t>
      </w:r>
      <w:r w:rsidRPr="00E13110">
        <w:t xml:space="preserve">regular soaps and </w:t>
      </w:r>
      <w:r w:rsidR="00A608F8" w:rsidRPr="00E13110">
        <w:t xml:space="preserve">all </w:t>
      </w:r>
      <w:r w:rsidRPr="00E13110">
        <w:t xml:space="preserve">shampoos </w:t>
      </w:r>
      <w:r w:rsidR="00A608F8" w:rsidRPr="00E13110">
        <w:t>can inactivate</w:t>
      </w:r>
      <w:r w:rsidRPr="00E13110">
        <w:t xml:space="preserve"> CHG</w:t>
      </w:r>
      <w:r w:rsidR="008E7FEE" w:rsidRPr="00E13110">
        <w:t xml:space="preserve"> and prevent its germicidal activity</w:t>
      </w:r>
      <w:r w:rsidRPr="00E13110">
        <w:t>.</w:t>
      </w:r>
    </w:p>
    <w:p w14:paraId="45E2E6F3" w14:textId="04ACEC56" w:rsidR="00CC2B89" w:rsidRPr="008A1503" w:rsidRDefault="001826A8" w:rsidP="008A1503">
      <w:pPr>
        <w:pStyle w:val="ListParagraph1"/>
        <w:rPr>
          <w:noProof/>
        </w:rPr>
      </w:pPr>
      <w:bookmarkStart w:id="2" w:name="_Hlk80266046"/>
      <w:r w:rsidRPr="00A103F2">
        <w:rPr>
          <w:b/>
          <w:bCs/>
        </w:rPr>
        <w:t xml:space="preserve">After </w:t>
      </w:r>
      <w:r w:rsidR="00A71F43" w:rsidRPr="00A103F2">
        <w:rPr>
          <w:b/>
          <w:bCs/>
        </w:rPr>
        <w:t xml:space="preserve">the </w:t>
      </w:r>
      <w:r w:rsidRPr="008B1AF6">
        <w:rPr>
          <w:b/>
          <w:bCs/>
        </w:rPr>
        <w:t xml:space="preserve">shower, unwrap devices and </w:t>
      </w:r>
      <w:r w:rsidR="003F4484" w:rsidRPr="00740A64">
        <w:rPr>
          <w:b/>
          <w:bCs/>
        </w:rPr>
        <w:t>use</w:t>
      </w:r>
      <w:r w:rsidRPr="00740A64">
        <w:rPr>
          <w:b/>
          <w:bCs/>
        </w:rPr>
        <w:t xml:space="preserve"> a </w:t>
      </w:r>
      <w:r w:rsidR="00751C09" w:rsidRPr="00740A64">
        <w:rPr>
          <w:b/>
          <w:bCs/>
        </w:rPr>
        <w:t xml:space="preserve">single packet of two </w:t>
      </w:r>
      <w:r w:rsidRPr="00740A64">
        <w:rPr>
          <w:b/>
          <w:bCs/>
        </w:rPr>
        <w:t>2% CHG cloth</w:t>
      </w:r>
      <w:r w:rsidR="00FE2B74" w:rsidRPr="00740A64">
        <w:rPr>
          <w:b/>
          <w:bCs/>
        </w:rPr>
        <w:t>s</w:t>
      </w:r>
      <w:r w:rsidR="003F4484" w:rsidRPr="00A103F2">
        <w:rPr>
          <w:b/>
          <w:bCs/>
        </w:rPr>
        <w:t xml:space="preserve"> to </w:t>
      </w:r>
      <w:r w:rsidR="00A103F2" w:rsidRPr="00740A64">
        <w:rPr>
          <w:b/>
        </w:rPr>
        <w:t>clean the 6 inches of ALL lines, drains, and tubing (e.g., central lines, midline catheters, chest tubes, surgical drains, G-tube/J-tube, urinary catheter, rectal tube) that are closest to the body. Wipe over nonpermeable dressings.</w:t>
      </w:r>
      <w:r w:rsidR="00006FD6" w:rsidRPr="006C6F95">
        <w:t xml:space="preserve"> </w:t>
      </w:r>
      <w:bookmarkEnd w:id="2"/>
      <w:r w:rsidR="00006FD6" w:rsidRPr="006C6F95">
        <w:t xml:space="preserve">This will help remove bacteria close to where devices penetrate the skin. CHG is safe on devices and </w:t>
      </w:r>
      <w:r w:rsidR="00AB7286" w:rsidRPr="006C6F95">
        <w:t>should</w:t>
      </w:r>
      <w:r w:rsidR="00006FD6" w:rsidRPr="006C6F95">
        <w:t xml:space="preserve"> be used over non</w:t>
      </w:r>
      <w:r w:rsidR="008A1503">
        <w:t>-</w:t>
      </w:r>
      <w:r w:rsidR="00006FD6" w:rsidRPr="006C6F95">
        <w:t>gauze dressings.</w:t>
      </w:r>
    </w:p>
    <w:p w14:paraId="055A04D6" w14:textId="08561F44" w:rsidR="006F3E79" w:rsidRPr="00E13110" w:rsidRDefault="006F3E79" w:rsidP="00140D74">
      <w:pPr>
        <w:pStyle w:val="Heading1"/>
      </w:pPr>
      <w:r w:rsidRPr="00E13110">
        <w:t xml:space="preserve">Additional Important Instructions for </w:t>
      </w:r>
      <w:r w:rsidR="0038333F" w:rsidRPr="00140D74">
        <w:t>Chlorhexidine</w:t>
      </w:r>
      <w:r w:rsidRPr="00E13110">
        <w:t xml:space="preserve"> Bathing</w:t>
      </w:r>
      <w:r w:rsidR="009F43CF" w:rsidRPr="00E13110">
        <w:t xml:space="preserve"> and Showering</w:t>
      </w:r>
    </w:p>
    <w:p w14:paraId="26DB6457" w14:textId="77777777" w:rsidR="00FC2DDF" w:rsidRPr="00E13110" w:rsidRDefault="00FC2DDF" w:rsidP="00140D74">
      <w:pPr>
        <w:pStyle w:val="ListParagraph1"/>
      </w:pPr>
      <w:r w:rsidRPr="00E13110">
        <w:t>CHG replaces regular soap for bathing. CHG works better than soap and water to deeply cleanse the skin.</w:t>
      </w:r>
    </w:p>
    <w:p w14:paraId="51EB371A" w14:textId="54C4D1F0" w:rsidR="006F3E79" w:rsidRPr="00E13110" w:rsidRDefault="006F3E79" w:rsidP="00140D74">
      <w:pPr>
        <w:pStyle w:val="ListParagraph1"/>
      </w:pPr>
      <w:r w:rsidRPr="00E13110">
        <w:t xml:space="preserve">Do not use regular soap with CHG. Many soaps inactivate </w:t>
      </w:r>
      <w:r w:rsidR="000E458D" w:rsidRPr="00E13110">
        <w:t>CHG</w:t>
      </w:r>
      <w:r w:rsidRPr="00E13110">
        <w:t xml:space="preserve">. </w:t>
      </w:r>
    </w:p>
    <w:p w14:paraId="47ADD4CF" w14:textId="0AA4EFFC" w:rsidR="006F3E79" w:rsidRPr="00E13110" w:rsidRDefault="006F3E79" w:rsidP="00140D74">
      <w:pPr>
        <w:pStyle w:val="ListParagraph1"/>
      </w:pPr>
      <w:r w:rsidRPr="00E13110">
        <w:t xml:space="preserve">Ensure thorough cleaning, with special attention to commonly soiled areas such as the neck, </w:t>
      </w:r>
      <w:r w:rsidR="00D97626" w:rsidRPr="00E13110">
        <w:t xml:space="preserve">axilla, </w:t>
      </w:r>
      <w:r w:rsidRPr="00E13110">
        <w:t xml:space="preserve">skin folds, and </w:t>
      </w:r>
      <w:r w:rsidR="00B545CD" w:rsidRPr="00E13110">
        <w:t>groin/</w:t>
      </w:r>
      <w:r w:rsidRPr="00E13110">
        <w:t xml:space="preserve">perineal areas. CHG is safe to use </w:t>
      </w:r>
      <w:r w:rsidR="003304B7" w:rsidRPr="00E13110">
        <w:t xml:space="preserve">for </w:t>
      </w:r>
      <w:r w:rsidRPr="00E13110">
        <w:t xml:space="preserve">perineal </w:t>
      </w:r>
      <w:r w:rsidR="003304B7" w:rsidRPr="00E13110">
        <w:t>cleaning</w:t>
      </w:r>
      <w:r w:rsidRPr="00E13110">
        <w:t xml:space="preserve">, </w:t>
      </w:r>
      <w:bookmarkStart w:id="3" w:name="_Hlk80261722"/>
      <w:r w:rsidRPr="00E13110">
        <w:t xml:space="preserve">including </w:t>
      </w:r>
      <w:r w:rsidR="003304B7" w:rsidRPr="00E13110">
        <w:t xml:space="preserve">cleaning </w:t>
      </w:r>
      <w:r w:rsidR="00700CF8" w:rsidRPr="00E13110">
        <w:t xml:space="preserve">the </w:t>
      </w:r>
      <w:r w:rsidR="006C7670" w:rsidRPr="00E13110">
        <w:t>female labia and genital surface</w:t>
      </w:r>
      <w:bookmarkEnd w:id="3"/>
      <w:r w:rsidRPr="00E13110">
        <w:t xml:space="preserve">. </w:t>
      </w:r>
    </w:p>
    <w:p w14:paraId="72C9E668" w14:textId="1DF243A1" w:rsidR="006F3E79" w:rsidRPr="00E13110" w:rsidRDefault="006F3E79" w:rsidP="00140D74">
      <w:pPr>
        <w:pStyle w:val="ListParagraph1"/>
      </w:pPr>
      <w:r w:rsidRPr="00E13110">
        <w:t>CHG is safe for superficial wounds, including stage 1 and 2 decubitus ulcers</w:t>
      </w:r>
      <w:r w:rsidR="007434F9" w:rsidRPr="00E13110">
        <w:t xml:space="preserve"> and</w:t>
      </w:r>
      <w:r w:rsidRPr="00E13110">
        <w:t xml:space="preserve"> superficial burns, as well as rashes and abrasions. Use of CHG on these areas kills germs and helps prevent infections. Do not use on large or deep wounds</w:t>
      </w:r>
      <w:r w:rsidR="00C45962" w:rsidRPr="00E13110">
        <w:t xml:space="preserve"> (e.g.</w:t>
      </w:r>
      <w:r w:rsidR="00213686" w:rsidRPr="00E13110">
        <w:t xml:space="preserve">, </w:t>
      </w:r>
      <w:r w:rsidR="00C45962" w:rsidRPr="00E13110">
        <w:t>packed</w:t>
      </w:r>
      <w:r w:rsidR="00213686" w:rsidRPr="00E13110">
        <w:t xml:space="preserve"> </w:t>
      </w:r>
      <w:r w:rsidR="0041521D" w:rsidRPr="00E13110">
        <w:t>wounds</w:t>
      </w:r>
      <w:r w:rsidR="00C45962" w:rsidRPr="00E13110">
        <w:t>)</w:t>
      </w:r>
      <w:r w:rsidRPr="00E13110">
        <w:t>.</w:t>
      </w:r>
    </w:p>
    <w:p w14:paraId="4699227C" w14:textId="59CE461A" w:rsidR="006F3E79" w:rsidRPr="00E13110" w:rsidRDefault="006F3E79" w:rsidP="00140D74">
      <w:pPr>
        <w:pStyle w:val="ListParagraph1"/>
      </w:pPr>
      <w:r w:rsidRPr="00E13110">
        <w:t>Use CHG for all bathing purposes, including once-a-day full-body bathing, cleaning after soiling, or any other reasons for additional cleaning. This includes the face; however</w:t>
      </w:r>
      <w:r w:rsidR="00213686" w:rsidRPr="00E13110">
        <w:t>,</w:t>
      </w:r>
      <w:r w:rsidRPr="00E13110">
        <w:t xml:space="preserve"> avoid contact with eyes and ear</w:t>
      </w:r>
      <w:r w:rsidR="001D0C2F" w:rsidRPr="00E13110">
        <w:t xml:space="preserve"> canal</w:t>
      </w:r>
      <w:r w:rsidR="007434F9" w:rsidRPr="00E13110">
        <w:t>s</w:t>
      </w:r>
      <w:r w:rsidRPr="00E13110">
        <w:t>.</w:t>
      </w:r>
    </w:p>
    <w:p w14:paraId="7BCCCEE0" w14:textId="45A76427" w:rsidR="006F3E79" w:rsidRPr="00E13110" w:rsidRDefault="006F3E79" w:rsidP="00140D74">
      <w:pPr>
        <w:pStyle w:val="ListParagraph1"/>
      </w:pPr>
      <w:r w:rsidRPr="00E13110">
        <w:t>If moisturizer is needed, provide patient with CHG-compatible lotion</w:t>
      </w:r>
      <w:r w:rsidR="00DD6270" w:rsidRPr="00E13110">
        <w:t>.</w:t>
      </w:r>
    </w:p>
    <w:p w14:paraId="41BA1059" w14:textId="03CAE861" w:rsidR="00B510ED" w:rsidRPr="00E13110" w:rsidRDefault="007A3C5D" w:rsidP="00140D74">
      <w:pPr>
        <w:pStyle w:val="ListParagraph1"/>
      </w:pPr>
      <w:r w:rsidRPr="00E13110">
        <w:lastRenderedPageBreak/>
        <w:t>Remind patient that skin may feel sticky for just a few minutes after 2% CHG impregnated cloths are applied due to lotion or aloe vera in the cloths. This will go away once skin completely dries.</w:t>
      </w:r>
    </w:p>
    <w:p w14:paraId="5EA65EE8" w14:textId="74975868" w:rsidR="00D54263" w:rsidRPr="00E13110" w:rsidRDefault="007D2DC8" w:rsidP="00140D74">
      <w:pPr>
        <w:pStyle w:val="ListParagraph1"/>
      </w:pPr>
      <w:r w:rsidRPr="00E13110">
        <w:t>A</w:t>
      </w:r>
      <w:r w:rsidR="006F3E79" w:rsidRPr="00E13110">
        <w:t>llergic</w:t>
      </w:r>
      <w:r w:rsidR="006C4969" w:rsidRPr="00E13110">
        <w:t xml:space="preserve"> </w:t>
      </w:r>
      <w:r w:rsidR="006F3E79" w:rsidRPr="00E13110">
        <w:t>reactions are rare,</w:t>
      </w:r>
      <w:r w:rsidR="0011199E" w:rsidRPr="00E13110">
        <w:t xml:space="preserve"> </w:t>
      </w:r>
      <w:r w:rsidR="006F3E79" w:rsidRPr="00E13110">
        <w:t>but can occur</w:t>
      </w:r>
      <w:r w:rsidR="002E52D5" w:rsidRPr="00E13110">
        <w:t xml:space="preserve"> and are minor.</w:t>
      </w:r>
      <w:r w:rsidR="006F3E79" w:rsidRPr="00E13110">
        <w:t xml:space="preserve"> If your patient experiences a reaction possibly related to </w:t>
      </w:r>
      <w:r w:rsidR="007434F9" w:rsidRPr="00E13110">
        <w:t>CHG use, contact the patient’s treating physician for all clinical decisions on whether to stop using the product or on whether or not to provide any medication to address a possible reaction</w:t>
      </w:r>
      <w:r w:rsidR="006F3E79" w:rsidRPr="00E13110">
        <w:t>.</w:t>
      </w:r>
    </w:p>
    <w:p w14:paraId="68E7B56B" w14:textId="77777777" w:rsidR="00706B9F" w:rsidRPr="00E13110" w:rsidRDefault="006F3E79" w:rsidP="00140D74">
      <w:pPr>
        <w:pStyle w:val="ListParagraph1"/>
      </w:pPr>
      <w:r w:rsidRPr="00E13110">
        <w:t>Adhere to facility policies for covering vascular access devices, dressings, etc.</w:t>
      </w:r>
      <w:r w:rsidR="006C4969" w:rsidRPr="00E13110">
        <w:t>,</w:t>
      </w:r>
      <w:r w:rsidRPr="00E13110">
        <w:t xml:space="preserve"> to prevent water penetration and introduction of water</w:t>
      </w:r>
      <w:r w:rsidR="006C4969" w:rsidRPr="00E13110">
        <w:t>-</w:t>
      </w:r>
      <w:r w:rsidRPr="00E13110">
        <w:t>borne bacteria</w:t>
      </w:r>
      <w:r w:rsidR="00C30619" w:rsidRPr="00E13110">
        <w:t>.</w:t>
      </w:r>
    </w:p>
    <w:p w14:paraId="5882DBBE" w14:textId="44C22AFD" w:rsidR="00CC2B89" w:rsidRPr="008A1503" w:rsidRDefault="007D06D9" w:rsidP="008A1503">
      <w:pPr>
        <w:pStyle w:val="ListParagraph1"/>
      </w:pPr>
      <w:r w:rsidRPr="00E13110">
        <w:t>Generally</w:t>
      </w:r>
      <w:r w:rsidR="006C4969" w:rsidRPr="00E13110">
        <w:t>,</w:t>
      </w:r>
      <w:r w:rsidRPr="00E13110">
        <w:t xml:space="preserve"> patients with lumbar drains are not permitted to shower. However, use the showering protocol if patient is able to shower with a covered waterproof dressing.</w:t>
      </w:r>
    </w:p>
    <w:p w14:paraId="6FF687FC" w14:textId="1801DD92" w:rsidR="004510CC" w:rsidRPr="00CC2B89" w:rsidRDefault="004510CC" w:rsidP="00140D74">
      <w:pPr>
        <w:pStyle w:val="Heading1"/>
      </w:pPr>
      <w:r w:rsidRPr="00E13110">
        <w:t>Escalation Efforts for Patient Refusals</w:t>
      </w:r>
    </w:p>
    <w:p w14:paraId="5FCBB8A5" w14:textId="77777777" w:rsidR="004510CC" w:rsidRPr="00E13110" w:rsidRDefault="004510CC" w:rsidP="00140D74">
      <w:pPr>
        <w:pStyle w:val="ParagraphtextCalibri"/>
      </w:pPr>
      <w:r w:rsidRPr="00E13110">
        <w:t xml:space="preserve">As is </w:t>
      </w:r>
      <w:r w:rsidRPr="00140D74">
        <w:t>the</w:t>
      </w:r>
      <w:r w:rsidRPr="00E13110">
        <w:t xml:space="preserve"> case with other medical care, </w:t>
      </w:r>
      <w:r w:rsidRPr="00E13110">
        <w:rPr>
          <w:color w:val="000000" w:themeColor="text1"/>
        </w:rPr>
        <w:t xml:space="preserve">patients can refuse any portion of decolonization, either the CHG bath or the nasal product. </w:t>
      </w:r>
      <w:r w:rsidRPr="00E13110">
        <w:t>In order to make sure your patient is maximally informed before a refusal is accepted, perform the following:</w:t>
      </w:r>
    </w:p>
    <w:p w14:paraId="25777393" w14:textId="580F8218" w:rsidR="004510CC" w:rsidRPr="00CC2B89" w:rsidRDefault="004510CC" w:rsidP="009502B0">
      <w:pPr>
        <w:pStyle w:val="ParagraphtextCalibri"/>
        <w:numPr>
          <w:ilvl w:val="0"/>
          <w:numId w:val="7"/>
        </w:numPr>
      </w:pPr>
      <w:r w:rsidRPr="00E13110">
        <w:t xml:space="preserve">Review </w:t>
      </w:r>
      <w:r w:rsidR="00F20369">
        <w:t xml:space="preserve">tools in </w:t>
      </w:r>
      <w:r w:rsidRPr="00E13110">
        <w:t>Section 14</w:t>
      </w:r>
      <w:r w:rsidR="00F20369">
        <w:t>, which</w:t>
      </w:r>
      <w:r w:rsidRPr="00E13110">
        <w:t xml:space="preserve"> provide</w:t>
      </w:r>
      <w:r w:rsidR="00F20369">
        <w:t>s</w:t>
      </w:r>
      <w:r w:rsidRPr="00E13110">
        <w:t xml:space="preserve"> suggested responses </w:t>
      </w:r>
      <w:r w:rsidRPr="00CC2B89">
        <w:t>to common patient questions and scenarios for how to address patient refusals.</w:t>
      </w:r>
    </w:p>
    <w:p w14:paraId="72999BE0" w14:textId="1F8D84BF" w:rsidR="004510CC" w:rsidRPr="00CC2B89" w:rsidRDefault="003F4484" w:rsidP="009502B0">
      <w:pPr>
        <w:pStyle w:val="ParagraphtextCalibri"/>
        <w:numPr>
          <w:ilvl w:val="1"/>
          <w:numId w:val="7"/>
        </w:numPr>
      </w:pPr>
      <w:r w:rsidRPr="00CC2B89">
        <w:t>If p</w:t>
      </w:r>
      <w:r w:rsidR="004510CC" w:rsidRPr="00CC2B89">
        <w:t>atient initially declines</w:t>
      </w:r>
    </w:p>
    <w:p w14:paraId="09FDD98A" w14:textId="77777777" w:rsidR="004510CC" w:rsidRPr="00CC2B89" w:rsidRDefault="004510CC" w:rsidP="009502B0">
      <w:pPr>
        <w:pStyle w:val="ParagraphtextCalibri"/>
        <w:numPr>
          <w:ilvl w:val="0"/>
          <w:numId w:val="7"/>
        </w:numPr>
      </w:pPr>
      <w:r w:rsidRPr="00CC2B89">
        <w:t>Assess why: Is your patient tired? Uncomfortable due to poor bed positioning? In pain? These things need to be addressed before they will be likely to accept a bath.</w:t>
      </w:r>
    </w:p>
    <w:p w14:paraId="6A8F2BAB" w14:textId="1288E9CF" w:rsidR="004510CC" w:rsidRPr="00140D74" w:rsidRDefault="003F4484" w:rsidP="009502B0">
      <w:pPr>
        <w:pStyle w:val="ParagraphtextCalibri"/>
        <w:numPr>
          <w:ilvl w:val="0"/>
          <w:numId w:val="7"/>
        </w:numPr>
      </w:pPr>
      <w:r w:rsidRPr="00140D74">
        <w:t xml:space="preserve">If patient </w:t>
      </w:r>
      <w:r w:rsidR="004510CC" w:rsidRPr="00140D74">
        <w:t>declines after bedside nurse explains concept</w:t>
      </w:r>
    </w:p>
    <w:p w14:paraId="118B233A" w14:textId="0EEC5647" w:rsidR="004510CC" w:rsidRPr="00140D74" w:rsidRDefault="00F20369" w:rsidP="009502B0">
      <w:pPr>
        <w:pStyle w:val="ParagraphtextCalibri"/>
        <w:numPr>
          <w:ilvl w:val="1"/>
          <w:numId w:val="7"/>
        </w:numPr>
      </w:pPr>
      <w:r>
        <w:t>An</w:t>
      </w:r>
      <w:r w:rsidR="004510CC" w:rsidRPr="00140D74">
        <w:t xml:space="preserve"> escalation pathway</w:t>
      </w:r>
      <w:r>
        <w:t xml:space="preserve"> is recommended</w:t>
      </w:r>
      <w:r w:rsidR="004510CC" w:rsidRPr="00140D74">
        <w:t xml:space="preserve">, not because a patient refuses, but because some patients may respond to a different approach or style with better understanding. For example, if a patient refused a critical antihypertensive or diabetic medication, their healthcare providers should ensure that the person truly understood the implications of that refusal and make every attempt to help the patient take their medication. Similarly, the goal here is to ensure that the patient understands that they are refusing a protective product that has been proven to reduce their infection risk. Escalating simply means asking a more senior or experienced leader or peer to attempt to communicate key concepts to your patient. An escalation pathway may include asking an expert peer champion, a nurse manager or director, or </w:t>
      </w:r>
      <w:r w:rsidR="001113BE" w:rsidRPr="00140D74">
        <w:t>an</w:t>
      </w:r>
      <w:r w:rsidR="004510CC" w:rsidRPr="00140D74">
        <w:t xml:space="preserve">other member of </w:t>
      </w:r>
      <w:r w:rsidR="001113BE" w:rsidRPr="00140D74">
        <w:t xml:space="preserve">the </w:t>
      </w:r>
      <w:r w:rsidR="004510CC" w:rsidRPr="00140D74">
        <w:t xml:space="preserve">unit or hospital leadership to speak to the patient about their refusal. </w:t>
      </w:r>
    </w:p>
    <w:p w14:paraId="4AD87A7E" w14:textId="0EFECAA9" w:rsidR="0017460C" w:rsidRPr="008A1503" w:rsidRDefault="004510CC" w:rsidP="008A1503">
      <w:pPr>
        <w:pStyle w:val="ParagraphtextCalibri"/>
        <w:numPr>
          <w:ilvl w:val="1"/>
          <w:numId w:val="7"/>
        </w:numPr>
      </w:pPr>
      <w:r w:rsidRPr="00140D74">
        <w:t xml:space="preserve">In the ABATE Trial, escalation pathways were commonly used to help explain and reinforce the importance of the protection and safety provided by targeted decolonization. If the patient refused after the concepts and purposes were clearly conveyed through more than one attempt by the primary nurse and through escalation to at least one other person, the refusal was accepted as </w:t>
      </w:r>
      <w:r w:rsidR="00896E5B" w:rsidRPr="00140D74">
        <w:t>well-informed.</w:t>
      </w:r>
    </w:p>
    <w:p w14:paraId="42251EB3" w14:textId="33C5EB16" w:rsidR="005A37C6" w:rsidRPr="00140D74" w:rsidRDefault="005A37C6" w:rsidP="008A1503">
      <w:pPr>
        <w:pStyle w:val="Heading1"/>
      </w:pPr>
      <w:r w:rsidRPr="00140D74">
        <w:lastRenderedPageBreak/>
        <w:t>References</w:t>
      </w:r>
    </w:p>
    <w:p w14:paraId="251796EA" w14:textId="1122E6C8" w:rsidR="005A37C6" w:rsidRPr="00140D74" w:rsidRDefault="00572519" w:rsidP="009502B0">
      <w:pPr>
        <w:pStyle w:val="ParagraphtextCalibri"/>
        <w:numPr>
          <w:ilvl w:val="0"/>
          <w:numId w:val="8"/>
        </w:numPr>
      </w:pPr>
      <w:r w:rsidRPr="00140D74">
        <w:t>Huang SS, Septimus E, Kleinman K, et al. Chlorhexidine versus routine bathing to prevent multi drug-resistant organisms and all-cause bloodstream infection in general medical and surgical units: the ABATE Infection Cluster Randomized Trial. Lancet. 2019. Mar 23;393(10177):1205-15. PMID: 30850112.</w:t>
      </w:r>
    </w:p>
    <w:p w14:paraId="24B5F4D7" w14:textId="1B539152" w:rsidR="00572519" w:rsidRPr="00140D74" w:rsidRDefault="00572519" w:rsidP="009502B0">
      <w:pPr>
        <w:pStyle w:val="ParagraphtextCalibri"/>
        <w:numPr>
          <w:ilvl w:val="0"/>
          <w:numId w:val="8"/>
        </w:numPr>
      </w:pPr>
      <w:r w:rsidRPr="00140D74">
        <w:t xml:space="preserve">Huang SS, Singh R, McKinnell JA, et al. Decolonization to reduce post-discharge infection risk among MRSA carriers. N Engl J Med. 2019;380(7):638-50. </w:t>
      </w:r>
      <w:r w:rsidR="00DC53F7" w:rsidRPr="00140D74">
        <w:t>PMID: 30763195</w:t>
      </w:r>
      <w:r w:rsidR="00B4196F" w:rsidRPr="00140D74">
        <w:t>.</w:t>
      </w:r>
    </w:p>
    <w:p w14:paraId="398DC01E" w14:textId="5BA4735F" w:rsidR="00F35D5E" w:rsidRPr="00140D74" w:rsidRDefault="00572519" w:rsidP="00F20369">
      <w:pPr>
        <w:pStyle w:val="ParagraphtextCalibri"/>
        <w:numPr>
          <w:ilvl w:val="0"/>
          <w:numId w:val="8"/>
        </w:numPr>
      </w:pPr>
      <w:r w:rsidRPr="00140D74">
        <w:t>Mupirocin-Iodophor ICU Decolonization Swap Out Trial.</w:t>
      </w:r>
      <w:r w:rsidR="00F20369">
        <w:t xml:space="preserve"> </w:t>
      </w:r>
      <w:r w:rsidRPr="00140D74">
        <w:t>https://clinicaltrials.gov/ct2/show/NCT03140423. Accessed August 11, 2019.</w:t>
      </w:r>
    </w:p>
    <w:p w14:paraId="01020920" w14:textId="36AB7294" w:rsidR="00F35D5E" w:rsidRPr="00140D74" w:rsidRDefault="00A40014" w:rsidP="009502B0">
      <w:pPr>
        <w:pStyle w:val="ParagraphtextCalibri"/>
        <w:numPr>
          <w:ilvl w:val="0"/>
          <w:numId w:val="8"/>
        </w:numPr>
      </w:pPr>
      <w:bookmarkStart w:id="4" w:name="_Hlk80264383"/>
      <w:r w:rsidRPr="00140D74">
        <w:t>Huang SS. Chlorhexidine-based decolonization to reduce healthcare-associated infections and multidrug-resistant organisms (MDROs): who, what, where, when, and why? J Hosp Infect. 2019 Nov;103(3):235-243. PMID: 31494130.</w:t>
      </w:r>
      <w:bookmarkEnd w:id="4"/>
    </w:p>
    <w:p w14:paraId="6557F5DD" w14:textId="740D0888" w:rsidR="005A37C6" w:rsidRPr="00F35D5E" w:rsidRDefault="005A37C6" w:rsidP="00A40014">
      <w:pPr>
        <w:pStyle w:val="ListParagraph"/>
        <w:spacing w:line="276" w:lineRule="auto"/>
        <w:rPr>
          <w:highlight w:val="green"/>
        </w:rPr>
      </w:pPr>
    </w:p>
    <w:p w14:paraId="4571F19B" w14:textId="77777777" w:rsidR="00F20369" w:rsidRDefault="00F20369" w:rsidP="00043427">
      <w:pPr>
        <w:spacing w:before="8000" w:after="0" w:line="240" w:lineRule="auto"/>
        <w:jc w:val="right"/>
      </w:pPr>
      <w:r>
        <w:t>AHRQ Pub. No. 20(22)-0036</w:t>
      </w:r>
    </w:p>
    <w:p w14:paraId="7E2F7EB4" w14:textId="1F30AEB9" w:rsidR="005A37C6" w:rsidRPr="008A1503" w:rsidRDefault="00F20369" w:rsidP="008A1503">
      <w:pPr>
        <w:jc w:val="right"/>
      </w:pPr>
      <w:r>
        <w:t>March 2022</w:t>
      </w:r>
    </w:p>
    <w:sectPr w:rsidR="005A37C6" w:rsidRPr="008A1503" w:rsidSect="0060148B">
      <w:footerReference w:type="default" r:id="rId12"/>
      <w:headerReference w:type="first" r:id="rId13"/>
      <w:footerReference w:type="first" r:id="rId14"/>
      <w:footnotePr>
        <w:pos w:val="beneathText"/>
        <w:numFmt w:val="chicago"/>
        <w:numRestart w:val="eachPage"/>
      </w:footnotePr>
      <w:pgSz w:w="12240" w:h="15840"/>
      <w:pgMar w:top="1267" w:right="1440" w:bottom="187" w:left="1440" w:header="0" w:footer="1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F3E9A" w14:textId="77777777" w:rsidR="00952C37" w:rsidRDefault="00952C37" w:rsidP="0013359D">
      <w:pPr>
        <w:spacing w:after="0" w:line="240" w:lineRule="auto"/>
      </w:pPr>
      <w:r>
        <w:separator/>
      </w:r>
    </w:p>
  </w:endnote>
  <w:endnote w:type="continuationSeparator" w:id="0">
    <w:p w14:paraId="36E863B8" w14:textId="77777777" w:rsidR="00952C37" w:rsidRDefault="00952C37" w:rsidP="0013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281094"/>
      <w:docPartObj>
        <w:docPartGallery w:val="Page Numbers (Bottom of Page)"/>
        <w:docPartUnique/>
      </w:docPartObj>
    </w:sdtPr>
    <w:sdtEndPr>
      <w:rPr>
        <w:noProof/>
      </w:rPr>
    </w:sdtEndPr>
    <w:sdtContent>
      <w:p w14:paraId="7AB48F8E" w14:textId="45C502D7" w:rsidR="008635EE" w:rsidRPr="005F367A" w:rsidRDefault="005F367A" w:rsidP="005F367A">
        <w:pPr>
          <w:tabs>
            <w:tab w:val="left" w:pos="8010"/>
            <w:tab w:val="right" w:pos="10440"/>
          </w:tabs>
          <w:spacing w:after="0" w:line="168" w:lineRule="auto"/>
          <w:ind w:right="-1080"/>
          <w:rPr>
            <w:noProof/>
          </w:rPr>
        </w:pPr>
        <w:r w:rsidRPr="008842CF">
          <w:rPr>
            <w:noProof/>
          </w:rPr>
          <w:drawing>
            <wp:anchor distT="0" distB="0" distL="114300" distR="114300" simplePos="0" relativeHeight="251663360" behindDoc="1" locked="0" layoutInCell="1" allowOverlap="1" wp14:anchorId="01177247" wp14:editId="7B87CA08">
              <wp:simplePos x="0" y="0"/>
              <wp:positionH relativeFrom="page">
                <wp:posOffset>4540250</wp:posOffset>
              </wp:positionH>
              <wp:positionV relativeFrom="page">
                <wp:posOffset>9448800</wp:posOffset>
              </wp:positionV>
              <wp:extent cx="3441700" cy="817813"/>
              <wp:effectExtent l="0" t="0" r="6350" b="1905"/>
              <wp:wrapNone/>
              <wp:docPr id="33" name="Picture 3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pic:nvPicPr>
                    <pic:blipFill rotWithShape="1">
                      <a:blip r:embed="rId1" cstate="print">
                        <a:extLst>
                          <a:ext uri="{28A0092B-C50C-407E-A947-70E740481C1C}">
                            <a14:useLocalDpi xmlns:a14="http://schemas.microsoft.com/office/drawing/2010/main" val="0"/>
                          </a:ext>
                        </a:extLst>
                      </a:blip>
                      <a:srcRect l="44551" t="90027"/>
                      <a:stretch/>
                    </pic:blipFill>
                    <pic:spPr bwMode="auto">
                      <a:xfrm>
                        <a:off x="0" y="0"/>
                        <a:ext cx="3473378" cy="825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42CF">
          <w:t xml:space="preserve">Decolonization of </w:t>
        </w:r>
        <w:r>
          <w:t>N</w:t>
        </w:r>
        <w:r w:rsidRPr="008842CF">
          <w:t>on-ICU Patients With Devices</w:t>
        </w:r>
        <w:r>
          <w:tab/>
          <w:t xml:space="preserve"> Protocol:</w:t>
        </w:r>
        <w:r w:rsidR="00B2664E">
          <w:t xml:space="preserve"> </w:t>
        </w:r>
        <w:r>
          <w:t>Bed Bathing/</w:t>
        </w:r>
        <w:r>
          <w:tab/>
        </w:r>
        <w:r w:rsidRPr="008842CF">
          <w:fldChar w:fldCharType="begin"/>
        </w:r>
        <w:r w:rsidRPr="008842CF">
          <w:instrText xml:space="preserve"> PAGE   \* MERGEFORMAT </w:instrText>
        </w:r>
        <w:r w:rsidRPr="008842CF">
          <w:fldChar w:fldCharType="separate"/>
        </w:r>
        <w:r>
          <w:t>6</w:t>
        </w:r>
        <w:r w:rsidRPr="008842CF">
          <w:rPr>
            <w:noProof/>
          </w:rPr>
          <w:fldChar w:fldCharType="end"/>
        </w:r>
        <w:r>
          <w:rPr>
            <w:noProof/>
          </w:rPr>
          <w:br/>
        </w:r>
        <w:r>
          <w:tab/>
          <w:t xml:space="preserve"> Showering With CHG</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78D2E" w14:textId="4EFFAAC4" w:rsidR="005F367A" w:rsidRPr="005F367A" w:rsidRDefault="005F367A" w:rsidP="005F367A">
    <w:pPr>
      <w:pStyle w:val="Footer"/>
      <w:jc w:val="right"/>
    </w:pPr>
    <w:bookmarkStart w:id="5" w:name="_Hlk87972454"/>
    <w:bookmarkStart w:id="6" w:name="_Hlk87972455"/>
    <w:bookmarkStart w:id="7" w:name="_Hlk87972472"/>
    <w:bookmarkStart w:id="8" w:name="_Hlk87972473"/>
    <w:bookmarkStart w:id="9" w:name="_Hlk87972506"/>
    <w:bookmarkStart w:id="10" w:name="_Hlk87972507"/>
    <w:bookmarkStart w:id="11" w:name="_Hlk87981758"/>
    <w:bookmarkStart w:id="12" w:name="_Hlk87981759"/>
    <w:bookmarkStart w:id="13" w:name="_Hlk87981781"/>
    <w:bookmarkStart w:id="14" w:name="_Hlk87981782"/>
    <w:bookmarkStart w:id="15" w:name="_Hlk87981801"/>
    <w:bookmarkStart w:id="16" w:name="_Hlk87981802"/>
    <w:bookmarkStart w:id="17" w:name="_Hlk87982292"/>
    <w:bookmarkStart w:id="18" w:name="_Hlk87982293"/>
    <w:bookmarkStart w:id="19" w:name="_Hlk87982540"/>
    <w:bookmarkStart w:id="20" w:name="_Hlk87982541"/>
    <w:bookmarkStart w:id="21" w:name="_Hlk87982570"/>
    <w:bookmarkStart w:id="22" w:name="_Hlk87982571"/>
    <w:bookmarkStart w:id="23" w:name="_Hlk87982595"/>
    <w:bookmarkStart w:id="24" w:name="_Hlk87982596"/>
    <w:bookmarkStart w:id="25" w:name="_Hlk87982625"/>
    <w:bookmarkStart w:id="26" w:name="_Hlk87982626"/>
    <w:bookmarkStart w:id="27" w:name="_Hlk87982717"/>
    <w:bookmarkStart w:id="28" w:name="_Hlk87982718"/>
    <w:bookmarkStart w:id="29" w:name="_Hlk87982772"/>
    <w:bookmarkStart w:id="30" w:name="_Hlk87982773"/>
    <w:r>
      <w:rPr>
        <w:noProof/>
      </w:rPr>
      <w:drawing>
        <wp:anchor distT="0" distB="0" distL="114300" distR="114300" simplePos="0" relativeHeight="251665408" behindDoc="1" locked="0" layoutInCell="1" allowOverlap="1" wp14:anchorId="0AC3F2B3" wp14:editId="1A426C4F">
          <wp:simplePos x="0" y="0"/>
          <wp:positionH relativeFrom="page">
            <wp:align>left</wp:align>
          </wp:positionH>
          <wp:positionV relativeFrom="page">
            <wp:align>bottom</wp:align>
          </wp:positionV>
          <wp:extent cx="7863840" cy="969264"/>
          <wp:effectExtent l="0" t="0" r="3810" b="2540"/>
          <wp:wrapNone/>
          <wp:docPr id="35" name="Picture 3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rotWithShape="1">
                  <a:blip r:embed="rId1">
                    <a:extLst>
                      <a:ext uri="{28A0092B-C50C-407E-A947-70E740481C1C}">
                        <a14:useLocalDpi xmlns:a14="http://schemas.microsoft.com/office/drawing/2010/main" val="0"/>
                      </a:ext>
                    </a:extLst>
                  </a:blip>
                  <a:srcRect l="860" t="9598" r="3242" b="22239"/>
                  <a:stretch/>
                </pic:blipFill>
                <pic:spPr bwMode="auto">
                  <a:xfrm>
                    <a:off x="0" y="0"/>
                    <a:ext cx="7863840" cy="96926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98221" w14:textId="77777777" w:rsidR="00952C37" w:rsidRDefault="00952C37" w:rsidP="0013359D">
      <w:pPr>
        <w:spacing w:after="0" w:line="240" w:lineRule="auto"/>
      </w:pPr>
      <w:r>
        <w:separator/>
      </w:r>
    </w:p>
  </w:footnote>
  <w:footnote w:type="continuationSeparator" w:id="0">
    <w:p w14:paraId="3065BB8D" w14:textId="77777777" w:rsidR="00952C37" w:rsidRDefault="00952C37" w:rsidP="0013359D">
      <w:pPr>
        <w:spacing w:after="0" w:line="240" w:lineRule="auto"/>
      </w:pPr>
      <w:r>
        <w:continuationSeparator/>
      </w:r>
    </w:p>
  </w:footnote>
  <w:footnote w:id="1">
    <w:p w14:paraId="79E9CFF9" w14:textId="4885B01D" w:rsidR="00CC2B89" w:rsidRPr="00C71F3E" w:rsidRDefault="00CC2B89" w:rsidP="009C58C7">
      <w:pPr>
        <w:pStyle w:val="EndnoteText"/>
        <w:ind w:left="0"/>
      </w:pPr>
      <w:r w:rsidRPr="00C71F3E">
        <w:rPr>
          <w:rStyle w:val="FootnoteReference"/>
          <w:vertAlign w:val="baseline"/>
        </w:rPr>
        <w:footnoteRef/>
      </w:r>
      <w:r w:rsidRPr="00C71F3E">
        <w:t xml:space="preserve"> To support the inclusion of midlines, note that the ABATE Infection Trial showed the same 32 percent reduction in bloodstream infection for midlines as it did for central lines.</w:t>
      </w:r>
    </w:p>
  </w:footnote>
  <w:footnote w:id="2">
    <w:p w14:paraId="472EBC99" w14:textId="19CBD29F" w:rsidR="00572519" w:rsidRPr="00572519" w:rsidRDefault="00572519" w:rsidP="009C58C7">
      <w:pPr>
        <w:pStyle w:val="EndnoteText"/>
        <w:ind w:left="0"/>
      </w:pPr>
      <w:r w:rsidRPr="00C71F3E">
        <w:rPr>
          <w:rStyle w:val="FootnoteReference"/>
          <w:vertAlign w:val="baseline"/>
        </w:rPr>
        <w:footnoteRef/>
      </w:r>
      <w:r w:rsidRPr="00C71F3E">
        <w:t>CHG has been safely used on the face and hair in several large studies and clinical trials.</w:t>
      </w:r>
      <w:r w:rsidRPr="002D174B">
        <w:rPr>
          <w:vertAlign w:val="superscript"/>
        </w:rPr>
        <w:t>1-4</w:t>
      </w:r>
      <w:r w:rsidRPr="00C71F3E">
        <w:t>. Pay special attention to avoid the eyes and ear canals, as would be done when using all soaps. The risk associated with having CHG in the ear canal is that if a patient has a perforated ear drum, that would allow CHG to come in direct contact with deep nerves of the ear.  If CHG comes in contact with the eye itself, flush well with water or saline.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187DD" w14:textId="77777777" w:rsidR="005F367A" w:rsidRPr="003152BE" w:rsidRDefault="005F367A" w:rsidP="005F367A">
    <w:pPr>
      <w:pStyle w:val="Header1"/>
      <w:spacing w:before="160"/>
      <w:rPr>
        <w:i w:val="0"/>
        <w:iCs/>
        <w:color w:val="auto"/>
        <w:sz w:val="52"/>
        <w:szCs w:val="52"/>
      </w:rPr>
    </w:pPr>
    <w:r w:rsidRPr="003152BE">
      <w:rPr>
        <w:i w:val="0"/>
        <w:iCs/>
        <w:color w:val="auto"/>
        <w:sz w:val="52"/>
        <w:szCs w:val="52"/>
      </w:rPr>
      <w:t xml:space="preserve">Decolonization of </w:t>
    </w:r>
    <w:r w:rsidRPr="003152BE">
      <w:rPr>
        <w:i w:val="0"/>
        <w:iCs/>
        <w:color w:val="auto"/>
        <w:sz w:val="52"/>
        <w:szCs w:val="52"/>
      </w:rPr>
      <w:br/>
      <w:t>Non-ICU Patients With Devices</w:t>
    </w:r>
    <w:r w:rsidRPr="003152BE">
      <w:rPr>
        <w:i w:val="0"/>
        <w:iCs/>
        <w:noProof/>
        <w:color w:val="auto"/>
        <w:sz w:val="52"/>
        <w:szCs w:val="52"/>
      </w:rPr>
      <w:drawing>
        <wp:anchor distT="0" distB="0" distL="114300" distR="114300" simplePos="0" relativeHeight="251661312" behindDoc="1" locked="0" layoutInCell="1" allowOverlap="1" wp14:anchorId="5EE36070" wp14:editId="53F77F27">
          <wp:simplePos x="0" y="0"/>
          <wp:positionH relativeFrom="page">
            <wp:posOffset>0</wp:posOffset>
          </wp:positionH>
          <wp:positionV relativeFrom="paragraph">
            <wp:posOffset>3258</wp:posOffset>
          </wp:positionV>
          <wp:extent cx="7872984" cy="1636776"/>
          <wp:effectExtent l="0" t="0" r="0" b="190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2984" cy="1636776"/>
                  </a:xfrm>
                  <a:prstGeom prst="rect">
                    <a:avLst/>
                  </a:prstGeom>
                  <a:noFill/>
                </pic:spPr>
              </pic:pic>
            </a:graphicData>
          </a:graphic>
          <wp14:sizeRelH relativeFrom="page">
            <wp14:pctWidth>0</wp14:pctWidth>
          </wp14:sizeRelH>
          <wp14:sizeRelV relativeFrom="page">
            <wp14:pctHeight>0</wp14:pctHeight>
          </wp14:sizeRelV>
        </wp:anchor>
      </w:drawing>
    </w:r>
  </w:p>
  <w:p w14:paraId="2CDF7A5C" w14:textId="77777777" w:rsidR="005F367A" w:rsidRPr="005F367A" w:rsidRDefault="005F367A" w:rsidP="005F3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B62"/>
    <w:multiLevelType w:val="hybridMultilevel"/>
    <w:tmpl w:val="A7C6CEA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6972DA"/>
    <w:multiLevelType w:val="hybridMultilevel"/>
    <w:tmpl w:val="B58A0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F70C8"/>
    <w:multiLevelType w:val="hybridMultilevel"/>
    <w:tmpl w:val="73A29B6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BB3C78"/>
    <w:multiLevelType w:val="hybridMultilevel"/>
    <w:tmpl w:val="C79EB2E4"/>
    <w:lvl w:ilvl="0" w:tplc="6ACC82F2">
      <w:start w:val="1"/>
      <w:numFmt w:val="bullet"/>
      <w:pStyle w:val="Level3Bulletlis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17820"/>
    <w:multiLevelType w:val="hybridMultilevel"/>
    <w:tmpl w:val="0D303A10"/>
    <w:lvl w:ilvl="0" w:tplc="0B18DC64">
      <w:start w:val="1"/>
      <w:numFmt w:val="bullet"/>
      <w:pStyle w:val="ListParagraph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A7C2A"/>
    <w:multiLevelType w:val="hybridMultilevel"/>
    <w:tmpl w:val="F1FE3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B85F72"/>
    <w:multiLevelType w:val="hybridMultilevel"/>
    <w:tmpl w:val="04128DAE"/>
    <w:lvl w:ilvl="0" w:tplc="0B5C30B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Arial" w:hint="default"/>
      </w:rPr>
    </w:lvl>
    <w:lvl w:ilvl="2" w:tplc="C24A250A">
      <w:start w:val="1"/>
      <w:numFmt w:val="bullet"/>
      <w:pStyle w:val="Level4bulletlis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8413C6"/>
    <w:multiLevelType w:val="hybridMultilevel"/>
    <w:tmpl w:val="8E40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6"/>
  </w:num>
  <w:num w:numId="5">
    <w:abstractNumId w:val="3"/>
  </w:num>
  <w:num w:numId="6">
    <w:abstractNumId w:val="4"/>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pos w:val="beneathText"/>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15"/>
    <w:rsid w:val="00006FD6"/>
    <w:rsid w:val="000203BD"/>
    <w:rsid w:val="00023F50"/>
    <w:rsid w:val="0002456B"/>
    <w:rsid w:val="00043427"/>
    <w:rsid w:val="000446C7"/>
    <w:rsid w:val="00046CEB"/>
    <w:rsid w:val="00054619"/>
    <w:rsid w:val="00061A03"/>
    <w:rsid w:val="00065B56"/>
    <w:rsid w:val="000759A1"/>
    <w:rsid w:val="00085A35"/>
    <w:rsid w:val="00090AA7"/>
    <w:rsid w:val="000A31D3"/>
    <w:rsid w:val="000A540E"/>
    <w:rsid w:val="000A59A4"/>
    <w:rsid w:val="000B31D2"/>
    <w:rsid w:val="000C7237"/>
    <w:rsid w:val="000D4AF8"/>
    <w:rsid w:val="000D5920"/>
    <w:rsid w:val="000D5E75"/>
    <w:rsid w:val="000D668B"/>
    <w:rsid w:val="000E458D"/>
    <w:rsid w:val="000E5406"/>
    <w:rsid w:val="000F5445"/>
    <w:rsid w:val="000F78EF"/>
    <w:rsid w:val="000F7EFC"/>
    <w:rsid w:val="00102DBA"/>
    <w:rsid w:val="00103B28"/>
    <w:rsid w:val="0010450D"/>
    <w:rsid w:val="00104EEE"/>
    <w:rsid w:val="00106973"/>
    <w:rsid w:val="0011083C"/>
    <w:rsid w:val="00110D01"/>
    <w:rsid w:val="001113BE"/>
    <w:rsid w:val="0011199E"/>
    <w:rsid w:val="00111F40"/>
    <w:rsid w:val="001234C5"/>
    <w:rsid w:val="00132F70"/>
    <w:rsid w:val="0013339F"/>
    <w:rsid w:val="0013359D"/>
    <w:rsid w:val="001404C6"/>
    <w:rsid w:val="00140D74"/>
    <w:rsid w:val="00142C1C"/>
    <w:rsid w:val="001461AB"/>
    <w:rsid w:val="00153C17"/>
    <w:rsid w:val="00156473"/>
    <w:rsid w:val="0017460C"/>
    <w:rsid w:val="001826A8"/>
    <w:rsid w:val="001829BE"/>
    <w:rsid w:val="001B684D"/>
    <w:rsid w:val="001C6FBD"/>
    <w:rsid w:val="001D0C2F"/>
    <w:rsid w:val="001D2707"/>
    <w:rsid w:val="001E0CA1"/>
    <w:rsid w:val="001E0F3F"/>
    <w:rsid w:val="001E36A6"/>
    <w:rsid w:val="001E6D33"/>
    <w:rsid w:val="001F15AC"/>
    <w:rsid w:val="001F4F1F"/>
    <w:rsid w:val="001F7921"/>
    <w:rsid w:val="0020597F"/>
    <w:rsid w:val="00213686"/>
    <w:rsid w:val="0023441F"/>
    <w:rsid w:val="00237A67"/>
    <w:rsid w:val="002414B9"/>
    <w:rsid w:val="00252697"/>
    <w:rsid w:val="002602E8"/>
    <w:rsid w:val="00265C0E"/>
    <w:rsid w:val="002673C5"/>
    <w:rsid w:val="00296303"/>
    <w:rsid w:val="002B4CFD"/>
    <w:rsid w:val="002C4E63"/>
    <w:rsid w:val="002D174B"/>
    <w:rsid w:val="002D309E"/>
    <w:rsid w:val="002D7069"/>
    <w:rsid w:val="002E52D5"/>
    <w:rsid w:val="002F2AD9"/>
    <w:rsid w:val="003024C4"/>
    <w:rsid w:val="0030576D"/>
    <w:rsid w:val="00305801"/>
    <w:rsid w:val="00310250"/>
    <w:rsid w:val="003130AA"/>
    <w:rsid w:val="003159C5"/>
    <w:rsid w:val="0031788D"/>
    <w:rsid w:val="003243A7"/>
    <w:rsid w:val="003304B7"/>
    <w:rsid w:val="003331C9"/>
    <w:rsid w:val="00335077"/>
    <w:rsid w:val="00335B61"/>
    <w:rsid w:val="00355B8D"/>
    <w:rsid w:val="003705E1"/>
    <w:rsid w:val="0038333F"/>
    <w:rsid w:val="003929B1"/>
    <w:rsid w:val="00395309"/>
    <w:rsid w:val="003A39B0"/>
    <w:rsid w:val="003B2425"/>
    <w:rsid w:val="003C6C9A"/>
    <w:rsid w:val="003D31BE"/>
    <w:rsid w:val="003D65D3"/>
    <w:rsid w:val="003E153D"/>
    <w:rsid w:val="003F4484"/>
    <w:rsid w:val="00401061"/>
    <w:rsid w:val="00403CCC"/>
    <w:rsid w:val="0041521D"/>
    <w:rsid w:val="00417525"/>
    <w:rsid w:val="00421D93"/>
    <w:rsid w:val="004234A9"/>
    <w:rsid w:val="004247C4"/>
    <w:rsid w:val="00424C84"/>
    <w:rsid w:val="004510CC"/>
    <w:rsid w:val="004516ED"/>
    <w:rsid w:val="00460E41"/>
    <w:rsid w:val="00461363"/>
    <w:rsid w:val="00466396"/>
    <w:rsid w:val="00476F6D"/>
    <w:rsid w:val="004770C6"/>
    <w:rsid w:val="00477E7C"/>
    <w:rsid w:val="004A0CA9"/>
    <w:rsid w:val="004A217E"/>
    <w:rsid w:val="004A43B9"/>
    <w:rsid w:val="004B1777"/>
    <w:rsid w:val="004C12F8"/>
    <w:rsid w:val="004D3DB1"/>
    <w:rsid w:val="004E4252"/>
    <w:rsid w:val="004E4E09"/>
    <w:rsid w:val="00501215"/>
    <w:rsid w:val="005103C7"/>
    <w:rsid w:val="005146D4"/>
    <w:rsid w:val="00515190"/>
    <w:rsid w:val="0052740E"/>
    <w:rsid w:val="00541094"/>
    <w:rsid w:val="00553BC6"/>
    <w:rsid w:val="005606A5"/>
    <w:rsid w:val="005660D5"/>
    <w:rsid w:val="00566F6A"/>
    <w:rsid w:val="00572519"/>
    <w:rsid w:val="00573EC8"/>
    <w:rsid w:val="005746E2"/>
    <w:rsid w:val="00584C9B"/>
    <w:rsid w:val="0058574A"/>
    <w:rsid w:val="005903DA"/>
    <w:rsid w:val="00593751"/>
    <w:rsid w:val="005A0ED2"/>
    <w:rsid w:val="005A2A23"/>
    <w:rsid w:val="005A37C6"/>
    <w:rsid w:val="005D4AA1"/>
    <w:rsid w:val="005E3A2A"/>
    <w:rsid w:val="005E3F0F"/>
    <w:rsid w:val="005E5D10"/>
    <w:rsid w:val="005F346F"/>
    <w:rsid w:val="005F367A"/>
    <w:rsid w:val="005F58B1"/>
    <w:rsid w:val="0060148B"/>
    <w:rsid w:val="00613274"/>
    <w:rsid w:val="006166B5"/>
    <w:rsid w:val="00620ABD"/>
    <w:rsid w:val="00622E76"/>
    <w:rsid w:val="00635253"/>
    <w:rsid w:val="00642C7C"/>
    <w:rsid w:val="0065471F"/>
    <w:rsid w:val="00660F58"/>
    <w:rsid w:val="00664E75"/>
    <w:rsid w:val="00682E50"/>
    <w:rsid w:val="006A38DD"/>
    <w:rsid w:val="006A5376"/>
    <w:rsid w:val="006A6837"/>
    <w:rsid w:val="006C1D18"/>
    <w:rsid w:val="006C242E"/>
    <w:rsid w:val="006C4969"/>
    <w:rsid w:val="006C6F95"/>
    <w:rsid w:val="006C7670"/>
    <w:rsid w:val="006D6736"/>
    <w:rsid w:val="006F3E79"/>
    <w:rsid w:val="006F55E0"/>
    <w:rsid w:val="00700CF8"/>
    <w:rsid w:val="00702E9E"/>
    <w:rsid w:val="00706B9F"/>
    <w:rsid w:val="00714915"/>
    <w:rsid w:val="007226DE"/>
    <w:rsid w:val="0073354D"/>
    <w:rsid w:val="00736F3D"/>
    <w:rsid w:val="00740A64"/>
    <w:rsid w:val="007434F9"/>
    <w:rsid w:val="00751C09"/>
    <w:rsid w:val="00755BCC"/>
    <w:rsid w:val="007721E9"/>
    <w:rsid w:val="007729A5"/>
    <w:rsid w:val="00777828"/>
    <w:rsid w:val="00784B08"/>
    <w:rsid w:val="00791A0D"/>
    <w:rsid w:val="00791A9F"/>
    <w:rsid w:val="007947F7"/>
    <w:rsid w:val="00797D06"/>
    <w:rsid w:val="007A27B2"/>
    <w:rsid w:val="007A3C5D"/>
    <w:rsid w:val="007C19D5"/>
    <w:rsid w:val="007C67F6"/>
    <w:rsid w:val="007C6DD7"/>
    <w:rsid w:val="007D06D9"/>
    <w:rsid w:val="007D2DC8"/>
    <w:rsid w:val="007E0032"/>
    <w:rsid w:val="007E2AC7"/>
    <w:rsid w:val="007E3CAC"/>
    <w:rsid w:val="007E4DF7"/>
    <w:rsid w:val="00806473"/>
    <w:rsid w:val="008109E0"/>
    <w:rsid w:val="00833636"/>
    <w:rsid w:val="008351CF"/>
    <w:rsid w:val="00837B49"/>
    <w:rsid w:val="008444BE"/>
    <w:rsid w:val="0084534B"/>
    <w:rsid w:val="00847033"/>
    <w:rsid w:val="0085651F"/>
    <w:rsid w:val="00856F46"/>
    <w:rsid w:val="00862228"/>
    <w:rsid w:val="008635EE"/>
    <w:rsid w:val="00873ECE"/>
    <w:rsid w:val="00876CC8"/>
    <w:rsid w:val="00880435"/>
    <w:rsid w:val="008833C4"/>
    <w:rsid w:val="00885FFB"/>
    <w:rsid w:val="00896E5B"/>
    <w:rsid w:val="008A1503"/>
    <w:rsid w:val="008A779E"/>
    <w:rsid w:val="008B1AF6"/>
    <w:rsid w:val="008B3EFD"/>
    <w:rsid w:val="008B5E7F"/>
    <w:rsid w:val="008C4DAB"/>
    <w:rsid w:val="008C63E7"/>
    <w:rsid w:val="008C7E84"/>
    <w:rsid w:val="008D5810"/>
    <w:rsid w:val="008E14ED"/>
    <w:rsid w:val="008E7FEE"/>
    <w:rsid w:val="008F1FE7"/>
    <w:rsid w:val="008F2659"/>
    <w:rsid w:val="00915201"/>
    <w:rsid w:val="009165B3"/>
    <w:rsid w:val="00920413"/>
    <w:rsid w:val="009245BC"/>
    <w:rsid w:val="009269B0"/>
    <w:rsid w:val="00931B45"/>
    <w:rsid w:val="00933A67"/>
    <w:rsid w:val="00941F48"/>
    <w:rsid w:val="00942F72"/>
    <w:rsid w:val="00943CF3"/>
    <w:rsid w:val="009502B0"/>
    <w:rsid w:val="00952C37"/>
    <w:rsid w:val="0096362D"/>
    <w:rsid w:val="00977736"/>
    <w:rsid w:val="009831ED"/>
    <w:rsid w:val="00986F4F"/>
    <w:rsid w:val="009A0B15"/>
    <w:rsid w:val="009B1ABE"/>
    <w:rsid w:val="009C3453"/>
    <w:rsid w:val="009C58C7"/>
    <w:rsid w:val="009D415A"/>
    <w:rsid w:val="009D74A3"/>
    <w:rsid w:val="009E1DFF"/>
    <w:rsid w:val="009E57C9"/>
    <w:rsid w:val="009E6F47"/>
    <w:rsid w:val="009F0D5A"/>
    <w:rsid w:val="009F43CF"/>
    <w:rsid w:val="00A01E02"/>
    <w:rsid w:val="00A03654"/>
    <w:rsid w:val="00A06CC5"/>
    <w:rsid w:val="00A103F2"/>
    <w:rsid w:val="00A213B5"/>
    <w:rsid w:val="00A251C2"/>
    <w:rsid w:val="00A40014"/>
    <w:rsid w:val="00A41D97"/>
    <w:rsid w:val="00A47FE4"/>
    <w:rsid w:val="00A516C3"/>
    <w:rsid w:val="00A5372A"/>
    <w:rsid w:val="00A555E6"/>
    <w:rsid w:val="00A608F8"/>
    <w:rsid w:val="00A62C5F"/>
    <w:rsid w:val="00A7104A"/>
    <w:rsid w:val="00A71F43"/>
    <w:rsid w:val="00A75A78"/>
    <w:rsid w:val="00A75B60"/>
    <w:rsid w:val="00A8070C"/>
    <w:rsid w:val="00A842FC"/>
    <w:rsid w:val="00A869B1"/>
    <w:rsid w:val="00A94FD0"/>
    <w:rsid w:val="00AB181D"/>
    <w:rsid w:val="00AB2063"/>
    <w:rsid w:val="00AB2CF0"/>
    <w:rsid w:val="00AB3CC8"/>
    <w:rsid w:val="00AB7286"/>
    <w:rsid w:val="00AC0A1D"/>
    <w:rsid w:val="00AE044F"/>
    <w:rsid w:val="00AE4541"/>
    <w:rsid w:val="00AE64FA"/>
    <w:rsid w:val="00AF3F80"/>
    <w:rsid w:val="00B04661"/>
    <w:rsid w:val="00B1033B"/>
    <w:rsid w:val="00B11F1C"/>
    <w:rsid w:val="00B212B0"/>
    <w:rsid w:val="00B2664E"/>
    <w:rsid w:val="00B31733"/>
    <w:rsid w:val="00B33604"/>
    <w:rsid w:val="00B37399"/>
    <w:rsid w:val="00B40B0A"/>
    <w:rsid w:val="00B4196F"/>
    <w:rsid w:val="00B42485"/>
    <w:rsid w:val="00B46B2C"/>
    <w:rsid w:val="00B510ED"/>
    <w:rsid w:val="00B545CD"/>
    <w:rsid w:val="00B72AA1"/>
    <w:rsid w:val="00B72CBE"/>
    <w:rsid w:val="00B81D51"/>
    <w:rsid w:val="00B860EF"/>
    <w:rsid w:val="00B87B81"/>
    <w:rsid w:val="00B95550"/>
    <w:rsid w:val="00BA72A9"/>
    <w:rsid w:val="00BB1D90"/>
    <w:rsid w:val="00BE2890"/>
    <w:rsid w:val="00BF1996"/>
    <w:rsid w:val="00BF2A9E"/>
    <w:rsid w:val="00C00272"/>
    <w:rsid w:val="00C00725"/>
    <w:rsid w:val="00C00809"/>
    <w:rsid w:val="00C0115B"/>
    <w:rsid w:val="00C102EE"/>
    <w:rsid w:val="00C10977"/>
    <w:rsid w:val="00C15FB0"/>
    <w:rsid w:val="00C24579"/>
    <w:rsid w:val="00C30619"/>
    <w:rsid w:val="00C3644F"/>
    <w:rsid w:val="00C41DC9"/>
    <w:rsid w:val="00C45962"/>
    <w:rsid w:val="00C479E8"/>
    <w:rsid w:val="00C55C24"/>
    <w:rsid w:val="00C60D36"/>
    <w:rsid w:val="00C63E42"/>
    <w:rsid w:val="00C6762C"/>
    <w:rsid w:val="00C70BCB"/>
    <w:rsid w:val="00C71F3E"/>
    <w:rsid w:val="00C73165"/>
    <w:rsid w:val="00C74973"/>
    <w:rsid w:val="00C769E5"/>
    <w:rsid w:val="00C8222A"/>
    <w:rsid w:val="00C843F5"/>
    <w:rsid w:val="00C86A8F"/>
    <w:rsid w:val="00C87A04"/>
    <w:rsid w:val="00C91275"/>
    <w:rsid w:val="00CA2B51"/>
    <w:rsid w:val="00CA35DD"/>
    <w:rsid w:val="00CA751E"/>
    <w:rsid w:val="00CC152E"/>
    <w:rsid w:val="00CC2B0B"/>
    <w:rsid w:val="00CC2B89"/>
    <w:rsid w:val="00CC4A1F"/>
    <w:rsid w:val="00CD5C00"/>
    <w:rsid w:val="00CE2096"/>
    <w:rsid w:val="00CE2A60"/>
    <w:rsid w:val="00CF53B1"/>
    <w:rsid w:val="00CF76BA"/>
    <w:rsid w:val="00D05F26"/>
    <w:rsid w:val="00D06360"/>
    <w:rsid w:val="00D108A8"/>
    <w:rsid w:val="00D23CD6"/>
    <w:rsid w:val="00D30D61"/>
    <w:rsid w:val="00D344C8"/>
    <w:rsid w:val="00D42898"/>
    <w:rsid w:val="00D43577"/>
    <w:rsid w:val="00D54263"/>
    <w:rsid w:val="00D574DE"/>
    <w:rsid w:val="00D65FA0"/>
    <w:rsid w:val="00D74487"/>
    <w:rsid w:val="00D74C45"/>
    <w:rsid w:val="00D84C1B"/>
    <w:rsid w:val="00D93F64"/>
    <w:rsid w:val="00D9758A"/>
    <w:rsid w:val="00D97626"/>
    <w:rsid w:val="00DA4B64"/>
    <w:rsid w:val="00DB25ED"/>
    <w:rsid w:val="00DC53F7"/>
    <w:rsid w:val="00DC59C5"/>
    <w:rsid w:val="00DC60B2"/>
    <w:rsid w:val="00DC7540"/>
    <w:rsid w:val="00DD4278"/>
    <w:rsid w:val="00DD6270"/>
    <w:rsid w:val="00DD7480"/>
    <w:rsid w:val="00DE6103"/>
    <w:rsid w:val="00DF7DEC"/>
    <w:rsid w:val="00E0316A"/>
    <w:rsid w:val="00E13110"/>
    <w:rsid w:val="00E200F4"/>
    <w:rsid w:val="00E21724"/>
    <w:rsid w:val="00E34E6B"/>
    <w:rsid w:val="00E36031"/>
    <w:rsid w:val="00E55F18"/>
    <w:rsid w:val="00E6055B"/>
    <w:rsid w:val="00E62ED7"/>
    <w:rsid w:val="00E669DA"/>
    <w:rsid w:val="00E73764"/>
    <w:rsid w:val="00E96AA4"/>
    <w:rsid w:val="00EA1303"/>
    <w:rsid w:val="00EA2E38"/>
    <w:rsid w:val="00EB65A3"/>
    <w:rsid w:val="00EC2605"/>
    <w:rsid w:val="00EC4D2F"/>
    <w:rsid w:val="00ED2E0A"/>
    <w:rsid w:val="00ED369D"/>
    <w:rsid w:val="00EE01EF"/>
    <w:rsid w:val="00EE1F8F"/>
    <w:rsid w:val="00EE7D3A"/>
    <w:rsid w:val="00EF4948"/>
    <w:rsid w:val="00F0449D"/>
    <w:rsid w:val="00F05BC9"/>
    <w:rsid w:val="00F1352F"/>
    <w:rsid w:val="00F20369"/>
    <w:rsid w:val="00F279B5"/>
    <w:rsid w:val="00F35729"/>
    <w:rsid w:val="00F35D5E"/>
    <w:rsid w:val="00F35F0F"/>
    <w:rsid w:val="00F374CC"/>
    <w:rsid w:val="00F4192E"/>
    <w:rsid w:val="00F430E7"/>
    <w:rsid w:val="00F47756"/>
    <w:rsid w:val="00F61637"/>
    <w:rsid w:val="00F6294B"/>
    <w:rsid w:val="00F6698E"/>
    <w:rsid w:val="00F6779A"/>
    <w:rsid w:val="00F67AE6"/>
    <w:rsid w:val="00F76187"/>
    <w:rsid w:val="00F96348"/>
    <w:rsid w:val="00FA2047"/>
    <w:rsid w:val="00FB1517"/>
    <w:rsid w:val="00FC28C8"/>
    <w:rsid w:val="00FC2DDF"/>
    <w:rsid w:val="00FC5C8F"/>
    <w:rsid w:val="00FC6EFB"/>
    <w:rsid w:val="00FE2B74"/>
    <w:rsid w:val="00FE7E0B"/>
    <w:rsid w:val="00FF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0A987"/>
  <w15:chartTrackingRefBased/>
  <w15:docId w15:val="{14F64380-B34B-44EC-9FA6-842B7675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91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461AB"/>
    <w:pPr>
      <w:tabs>
        <w:tab w:val="left" w:pos="8460"/>
        <w:tab w:val="left" w:pos="9090"/>
      </w:tabs>
      <w:spacing w:before="480" w:after="0" w:line="240" w:lineRule="auto"/>
      <w:outlineLvl w:val="0"/>
    </w:pPr>
    <w:rPr>
      <w:rFonts w:asciiTheme="minorHAnsi" w:eastAsiaTheme="minorHAnsi" w:hAnsiTheme="minorHAnsi" w:cstheme="minorBidi"/>
      <w:b/>
      <w:bCs/>
      <w:color w:val="0070C0"/>
      <w:sz w:val="28"/>
      <w:szCs w:val="28"/>
    </w:rPr>
  </w:style>
  <w:style w:type="paragraph" w:styleId="Heading5">
    <w:name w:val="heading 5"/>
    <w:basedOn w:val="Normal"/>
    <w:next w:val="Normal"/>
    <w:link w:val="Heading5Char"/>
    <w:uiPriority w:val="9"/>
    <w:unhideWhenUsed/>
    <w:qFormat/>
    <w:rsid w:val="00714915"/>
    <w:pPr>
      <w:keepNext/>
      <w:keepLines/>
      <w:spacing w:before="200" w:after="0"/>
      <w:outlineLvl w:val="4"/>
    </w:pPr>
    <w:rPr>
      <w:rFonts w:ascii="Cambria" w:eastAsia="Times New Roman"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14915"/>
    <w:rPr>
      <w:rFonts w:ascii="Cambria" w:eastAsia="Times New Roman" w:hAnsi="Cambria" w:cs="Times New Roman"/>
      <w:color w:val="243F60"/>
      <w:sz w:val="20"/>
      <w:szCs w:val="20"/>
      <w:lang w:val="x-none" w:eastAsia="x-none"/>
    </w:rPr>
  </w:style>
  <w:style w:type="character" w:styleId="Hyperlink">
    <w:name w:val="Hyperlink"/>
    <w:uiPriority w:val="99"/>
    <w:unhideWhenUsed/>
    <w:rsid w:val="00714915"/>
    <w:rPr>
      <w:color w:val="0000FF"/>
      <w:u w:val="single"/>
    </w:rPr>
  </w:style>
  <w:style w:type="character" w:styleId="CommentReference">
    <w:name w:val="annotation reference"/>
    <w:uiPriority w:val="99"/>
    <w:semiHidden/>
    <w:unhideWhenUsed/>
    <w:rsid w:val="00714915"/>
    <w:rPr>
      <w:sz w:val="16"/>
      <w:szCs w:val="16"/>
    </w:rPr>
  </w:style>
  <w:style w:type="paragraph" w:styleId="CommentText">
    <w:name w:val="annotation text"/>
    <w:basedOn w:val="Normal"/>
    <w:link w:val="CommentTextChar"/>
    <w:uiPriority w:val="99"/>
    <w:semiHidden/>
    <w:unhideWhenUsed/>
    <w:rsid w:val="00714915"/>
    <w:rPr>
      <w:sz w:val="20"/>
      <w:szCs w:val="20"/>
    </w:rPr>
  </w:style>
  <w:style w:type="character" w:customStyle="1" w:styleId="CommentTextChar">
    <w:name w:val="Comment Text Char"/>
    <w:basedOn w:val="DefaultParagraphFont"/>
    <w:link w:val="CommentText"/>
    <w:uiPriority w:val="99"/>
    <w:semiHidden/>
    <w:rsid w:val="0071491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14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915"/>
    <w:rPr>
      <w:rFonts w:ascii="Segoe UI" w:eastAsia="Calibri" w:hAnsi="Segoe UI" w:cs="Segoe UI"/>
      <w:sz w:val="18"/>
      <w:szCs w:val="18"/>
    </w:rPr>
  </w:style>
  <w:style w:type="paragraph" w:styleId="ListParagraph">
    <w:name w:val="List Paragraph"/>
    <w:basedOn w:val="Normal"/>
    <w:uiPriority w:val="34"/>
    <w:qFormat/>
    <w:rsid w:val="00755BCC"/>
    <w:pPr>
      <w:spacing w:after="0" w:line="240" w:lineRule="auto"/>
      <w:ind w:left="720"/>
      <w:contextualSpacing/>
    </w:pPr>
    <w:rPr>
      <w:rFonts w:ascii="Times New Roman" w:eastAsia="Times New Roman" w:hAnsi="Times New Roman"/>
      <w:sz w:val="24"/>
      <w:szCs w:val="24"/>
    </w:rPr>
  </w:style>
  <w:style w:type="character" w:customStyle="1" w:styleId="page-description">
    <w:name w:val="page-description"/>
    <w:basedOn w:val="DefaultParagraphFont"/>
    <w:rsid w:val="00755BCC"/>
  </w:style>
  <w:style w:type="paragraph" w:styleId="EndnoteText">
    <w:name w:val="endnote text"/>
    <w:basedOn w:val="ListParagraph"/>
    <w:link w:val="EndnoteTextChar"/>
    <w:unhideWhenUsed/>
    <w:rsid w:val="00140D74"/>
    <w:pPr>
      <w:spacing w:line="276" w:lineRule="auto"/>
      <w:jc w:val="both"/>
    </w:pPr>
    <w:rPr>
      <w:rFonts w:asciiTheme="majorHAnsi" w:hAnsiTheme="majorHAnsi" w:cstheme="majorHAnsi"/>
      <w:sz w:val="20"/>
      <w:szCs w:val="20"/>
    </w:rPr>
  </w:style>
  <w:style w:type="character" w:customStyle="1" w:styleId="EndnoteTextChar">
    <w:name w:val="Endnote Text Char"/>
    <w:basedOn w:val="DefaultParagraphFont"/>
    <w:link w:val="EndnoteText"/>
    <w:rsid w:val="00140D74"/>
    <w:rPr>
      <w:rFonts w:asciiTheme="majorHAnsi" w:eastAsia="Times New Roman" w:hAnsiTheme="majorHAnsi" w:cstheme="majorHAnsi"/>
      <w:sz w:val="20"/>
      <w:szCs w:val="20"/>
    </w:rPr>
  </w:style>
  <w:style w:type="character" w:styleId="EndnoteReference">
    <w:name w:val="endnote reference"/>
    <w:basedOn w:val="DefaultParagraphFont"/>
    <w:rsid w:val="0013359D"/>
    <w:rPr>
      <w:rFonts w:cs="Times New Roman"/>
      <w:vertAlign w:val="superscript"/>
    </w:rPr>
  </w:style>
  <w:style w:type="paragraph" w:styleId="Title">
    <w:name w:val="Title"/>
    <w:basedOn w:val="Normal"/>
    <w:link w:val="TitleChar"/>
    <w:qFormat/>
    <w:rsid w:val="00C91275"/>
    <w:pPr>
      <w:spacing w:after="0" w:line="240" w:lineRule="auto"/>
      <w:jc w:val="center"/>
    </w:pPr>
    <w:rPr>
      <w:rFonts w:ascii="Times New Roman" w:eastAsia="Times New Roman" w:hAnsi="Times New Roman"/>
      <w:b/>
      <w:bCs/>
      <w:i/>
      <w:iCs/>
      <w:sz w:val="24"/>
      <w:szCs w:val="24"/>
      <w:lang w:val="x-none" w:eastAsia="x-none"/>
    </w:rPr>
  </w:style>
  <w:style w:type="character" w:customStyle="1" w:styleId="TitleChar">
    <w:name w:val="Title Char"/>
    <w:basedOn w:val="DefaultParagraphFont"/>
    <w:link w:val="Title"/>
    <w:rsid w:val="00C91275"/>
    <w:rPr>
      <w:rFonts w:ascii="Times New Roman" w:eastAsia="Times New Roman" w:hAnsi="Times New Roman" w:cs="Times New Roman"/>
      <w:b/>
      <w:bCs/>
      <w:i/>
      <w:iCs/>
      <w:sz w:val="24"/>
      <w:szCs w:val="24"/>
      <w:lang w:val="x-none" w:eastAsia="x-none"/>
    </w:rPr>
  </w:style>
  <w:style w:type="paragraph" w:styleId="CommentSubject">
    <w:name w:val="annotation subject"/>
    <w:basedOn w:val="CommentText"/>
    <w:next w:val="CommentText"/>
    <w:link w:val="CommentSubjectChar"/>
    <w:uiPriority w:val="99"/>
    <w:semiHidden/>
    <w:unhideWhenUsed/>
    <w:rsid w:val="00F1352F"/>
    <w:pPr>
      <w:spacing w:line="240" w:lineRule="auto"/>
    </w:pPr>
    <w:rPr>
      <w:b/>
      <w:bCs/>
    </w:rPr>
  </w:style>
  <w:style w:type="character" w:customStyle="1" w:styleId="CommentSubjectChar">
    <w:name w:val="Comment Subject Char"/>
    <w:basedOn w:val="CommentTextChar"/>
    <w:link w:val="CommentSubject"/>
    <w:uiPriority w:val="99"/>
    <w:semiHidden/>
    <w:rsid w:val="00F1352F"/>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5274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40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2740E"/>
    <w:rPr>
      <w:vertAlign w:val="superscript"/>
    </w:rPr>
  </w:style>
  <w:style w:type="paragraph" w:styleId="Header">
    <w:name w:val="header"/>
    <w:basedOn w:val="Normal"/>
    <w:link w:val="HeaderChar"/>
    <w:uiPriority w:val="99"/>
    <w:unhideWhenUsed/>
    <w:rsid w:val="00863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5EE"/>
    <w:rPr>
      <w:rFonts w:ascii="Calibri" w:eastAsia="Calibri" w:hAnsi="Calibri" w:cs="Times New Roman"/>
    </w:rPr>
  </w:style>
  <w:style w:type="paragraph" w:styleId="Footer">
    <w:name w:val="footer"/>
    <w:basedOn w:val="Normal"/>
    <w:link w:val="FooterChar"/>
    <w:uiPriority w:val="99"/>
    <w:unhideWhenUsed/>
    <w:rsid w:val="00863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5EE"/>
    <w:rPr>
      <w:rFonts w:ascii="Calibri" w:eastAsia="Calibri" w:hAnsi="Calibri" w:cs="Times New Roman"/>
    </w:rPr>
  </w:style>
  <w:style w:type="character" w:customStyle="1" w:styleId="UnresolvedMention1">
    <w:name w:val="Unresolved Mention1"/>
    <w:basedOn w:val="DefaultParagraphFont"/>
    <w:uiPriority w:val="99"/>
    <w:semiHidden/>
    <w:unhideWhenUsed/>
    <w:rsid w:val="001113BE"/>
    <w:rPr>
      <w:color w:val="605E5C"/>
      <w:shd w:val="clear" w:color="auto" w:fill="E1DFDD"/>
    </w:rPr>
  </w:style>
  <w:style w:type="paragraph" w:customStyle="1" w:styleId="Paragraph1">
    <w:name w:val="Paragraph 1"/>
    <w:basedOn w:val="Normal"/>
    <w:link w:val="Paragraph1Char"/>
    <w:qFormat/>
    <w:rsid w:val="00E13110"/>
    <w:pPr>
      <w:spacing w:after="0"/>
      <w:jc w:val="both"/>
    </w:pPr>
    <w:rPr>
      <w:rFonts w:asciiTheme="minorHAnsi" w:hAnsiTheme="minorHAnsi"/>
      <w:sz w:val="24"/>
      <w:szCs w:val="24"/>
    </w:rPr>
  </w:style>
  <w:style w:type="paragraph" w:customStyle="1" w:styleId="Header2">
    <w:name w:val="Header 2"/>
    <w:basedOn w:val="Normal"/>
    <w:link w:val="Header2Char"/>
    <w:qFormat/>
    <w:rsid w:val="00E13110"/>
    <w:pPr>
      <w:shd w:val="clear" w:color="auto" w:fill="DEEAF6" w:themeFill="accent1" w:themeFillTint="33"/>
      <w:spacing w:after="0" w:line="312" w:lineRule="auto"/>
    </w:pPr>
    <w:rPr>
      <w:rFonts w:asciiTheme="minorHAnsi" w:hAnsiTheme="minorHAnsi"/>
      <w:b/>
      <w:sz w:val="28"/>
      <w:szCs w:val="28"/>
    </w:rPr>
  </w:style>
  <w:style w:type="character" w:customStyle="1" w:styleId="Paragraph1Char">
    <w:name w:val="Paragraph 1 Char"/>
    <w:basedOn w:val="DefaultParagraphFont"/>
    <w:link w:val="Paragraph1"/>
    <w:rsid w:val="00E13110"/>
    <w:rPr>
      <w:rFonts w:eastAsia="Calibri" w:cs="Times New Roman"/>
      <w:sz w:val="24"/>
      <w:szCs w:val="24"/>
    </w:rPr>
  </w:style>
  <w:style w:type="character" w:customStyle="1" w:styleId="Header2Char">
    <w:name w:val="Header 2 Char"/>
    <w:basedOn w:val="DefaultParagraphFont"/>
    <w:link w:val="Header2"/>
    <w:rsid w:val="00E13110"/>
    <w:rPr>
      <w:rFonts w:eastAsia="Calibri" w:cs="Times New Roman"/>
      <w:b/>
      <w:sz w:val="28"/>
      <w:szCs w:val="28"/>
      <w:shd w:val="clear" w:color="auto" w:fill="DEEAF6" w:themeFill="accent1" w:themeFillTint="33"/>
    </w:rPr>
  </w:style>
  <w:style w:type="paragraph" w:styleId="Revision">
    <w:name w:val="Revision"/>
    <w:hidden/>
    <w:uiPriority w:val="99"/>
    <w:semiHidden/>
    <w:rsid w:val="00CF53B1"/>
    <w:pPr>
      <w:spacing w:after="0" w:line="240" w:lineRule="auto"/>
    </w:pPr>
    <w:rPr>
      <w:rFonts w:ascii="Calibri" w:eastAsia="Calibri" w:hAnsi="Calibri" w:cs="Times New Roman"/>
    </w:rPr>
  </w:style>
  <w:style w:type="paragraph" w:customStyle="1" w:styleId="Header1">
    <w:name w:val="Header 1"/>
    <w:basedOn w:val="Header2"/>
    <w:link w:val="Header1Char"/>
    <w:qFormat/>
    <w:rsid w:val="001461AB"/>
    <w:pPr>
      <w:shd w:val="clear" w:color="auto" w:fill="auto"/>
      <w:spacing w:line="240" w:lineRule="auto"/>
      <w:jc w:val="center"/>
    </w:pPr>
    <w:rPr>
      <w:i/>
      <w:color w:val="0070C0"/>
      <w:sz w:val="44"/>
      <w:szCs w:val="44"/>
    </w:rPr>
  </w:style>
  <w:style w:type="character" w:customStyle="1" w:styleId="Header1Char">
    <w:name w:val="Header 1 Char"/>
    <w:basedOn w:val="DefaultParagraphFont"/>
    <w:link w:val="Header1"/>
    <w:rsid w:val="001461AB"/>
    <w:rPr>
      <w:rFonts w:eastAsia="Calibri" w:cs="Times New Roman"/>
      <w:b/>
      <w:i/>
      <w:color w:val="0070C0"/>
      <w:sz w:val="44"/>
      <w:szCs w:val="44"/>
    </w:rPr>
  </w:style>
  <w:style w:type="paragraph" w:customStyle="1" w:styleId="ParagraphtextCalibri">
    <w:name w:val="Paragraph text Calibri"/>
    <w:qFormat/>
    <w:rsid w:val="003130AA"/>
    <w:pPr>
      <w:spacing w:line="240" w:lineRule="auto"/>
    </w:pPr>
    <w:rPr>
      <w:rFonts w:ascii="Calibri" w:eastAsia="Calibri" w:hAnsi="Calibri" w:cs="Times New Roman"/>
      <w:sz w:val="24"/>
    </w:rPr>
  </w:style>
  <w:style w:type="character" w:customStyle="1" w:styleId="Heading1Char">
    <w:name w:val="Heading 1 Char"/>
    <w:basedOn w:val="DefaultParagraphFont"/>
    <w:link w:val="Heading1"/>
    <w:uiPriority w:val="9"/>
    <w:rsid w:val="001461AB"/>
    <w:rPr>
      <w:b/>
      <w:bCs/>
      <w:color w:val="0070C0"/>
      <w:sz w:val="28"/>
      <w:szCs w:val="28"/>
    </w:rPr>
  </w:style>
  <w:style w:type="paragraph" w:customStyle="1" w:styleId="ListParagraph1">
    <w:name w:val="List Paragraph1"/>
    <w:aliases w:val="Bullet list paragraph"/>
    <w:basedOn w:val="Normal"/>
    <w:link w:val="ListparagraphChar"/>
    <w:qFormat/>
    <w:rsid w:val="00140D74"/>
    <w:pPr>
      <w:numPr>
        <w:numId w:val="6"/>
      </w:numPr>
      <w:spacing w:after="0"/>
    </w:pPr>
    <w:rPr>
      <w:sz w:val="24"/>
      <w:szCs w:val="24"/>
    </w:rPr>
  </w:style>
  <w:style w:type="character" w:customStyle="1" w:styleId="ListparagraphChar">
    <w:name w:val="List paragraph Char"/>
    <w:aliases w:val="Bullet list paragraph Char"/>
    <w:basedOn w:val="DefaultParagraphFont"/>
    <w:link w:val="ListParagraph1"/>
    <w:rsid w:val="00140D74"/>
    <w:rPr>
      <w:rFonts w:ascii="Calibri" w:eastAsia="Calibri" w:hAnsi="Calibri" w:cs="Times New Roman"/>
      <w:sz w:val="24"/>
      <w:szCs w:val="24"/>
    </w:rPr>
  </w:style>
  <w:style w:type="paragraph" w:styleId="Subtitle">
    <w:name w:val="Subtitle"/>
    <w:aliases w:val="Level 2 bullet list"/>
    <w:basedOn w:val="ParagraphtextCalibri"/>
    <w:next w:val="Normal"/>
    <w:link w:val="SubtitleChar"/>
    <w:uiPriority w:val="11"/>
    <w:qFormat/>
    <w:rsid w:val="003130AA"/>
    <w:rPr>
      <w:rFonts w:cstheme="minorHAnsi"/>
    </w:rPr>
  </w:style>
  <w:style w:type="character" w:customStyle="1" w:styleId="SubtitleChar">
    <w:name w:val="Subtitle Char"/>
    <w:aliases w:val="Level 2 bullet list Char"/>
    <w:basedOn w:val="DefaultParagraphFont"/>
    <w:link w:val="Subtitle"/>
    <w:uiPriority w:val="11"/>
    <w:rsid w:val="003130AA"/>
    <w:rPr>
      <w:rFonts w:ascii="Calibri" w:eastAsia="Calibri" w:hAnsi="Calibri" w:cstheme="minorHAnsi"/>
      <w:sz w:val="24"/>
    </w:rPr>
  </w:style>
  <w:style w:type="paragraph" w:customStyle="1" w:styleId="Level3Bulletlist">
    <w:name w:val="Level 3 Bullet list"/>
    <w:basedOn w:val="Subtitle"/>
    <w:qFormat/>
    <w:rsid w:val="00140D74"/>
    <w:pPr>
      <w:numPr>
        <w:numId w:val="5"/>
      </w:numPr>
      <w:ind w:left="1440"/>
    </w:pPr>
  </w:style>
  <w:style w:type="paragraph" w:customStyle="1" w:styleId="TableNote">
    <w:name w:val="Table Note"/>
    <w:basedOn w:val="ParagraphtextCalibri"/>
    <w:qFormat/>
    <w:rsid w:val="003130AA"/>
    <w:pPr>
      <w:spacing w:after="0" w:line="252" w:lineRule="auto"/>
      <w:ind w:left="-720"/>
    </w:pPr>
    <w:rPr>
      <w:rFonts w:asciiTheme="minorHAnsi" w:hAnsiTheme="minorHAnsi" w:cstheme="minorHAnsi"/>
      <w:sz w:val="20"/>
      <w:szCs w:val="20"/>
    </w:rPr>
  </w:style>
  <w:style w:type="paragraph" w:customStyle="1" w:styleId="Level4bulletlist">
    <w:name w:val="Level 4 bullet list"/>
    <w:basedOn w:val="ListParagraph"/>
    <w:qFormat/>
    <w:rsid w:val="00140D74"/>
    <w:pPr>
      <w:numPr>
        <w:ilvl w:val="2"/>
        <w:numId w:val="4"/>
      </w:numPr>
      <w:spacing w:line="276" w:lineRule="auto"/>
      <w:jc w:val="both"/>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08694">
      <w:bodyDiv w:val="1"/>
      <w:marLeft w:val="0"/>
      <w:marRight w:val="0"/>
      <w:marTop w:val="0"/>
      <w:marBottom w:val="0"/>
      <w:divBdr>
        <w:top w:val="none" w:sz="0" w:space="0" w:color="auto"/>
        <w:left w:val="none" w:sz="0" w:space="0" w:color="auto"/>
        <w:bottom w:val="none" w:sz="0" w:space="0" w:color="auto"/>
        <w:right w:val="none" w:sz="0" w:space="0" w:color="auto"/>
      </w:divBdr>
    </w:div>
    <w:div w:id="374550778">
      <w:bodyDiv w:val="1"/>
      <w:marLeft w:val="0"/>
      <w:marRight w:val="0"/>
      <w:marTop w:val="0"/>
      <w:marBottom w:val="0"/>
      <w:divBdr>
        <w:top w:val="none" w:sz="0" w:space="0" w:color="auto"/>
        <w:left w:val="none" w:sz="0" w:space="0" w:color="auto"/>
        <w:bottom w:val="none" w:sz="0" w:space="0" w:color="auto"/>
        <w:right w:val="none" w:sz="0" w:space="0" w:color="auto"/>
      </w:divBdr>
    </w:div>
    <w:div w:id="129336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88C51A80A60A4DB202B8C3155C914A" ma:contentTypeVersion="13" ma:contentTypeDescription="Create a new document." ma:contentTypeScope="" ma:versionID="ed7f3a98e6a7cb100b0d5ba2ef6bf63c">
  <xsd:schema xmlns:xsd="http://www.w3.org/2001/XMLSchema" xmlns:xs="http://www.w3.org/2001/XMLSchema" xmlns:p="http://schemas.microsoft.com/office/2006/metadata/properties" xmlns:ns3="aa0046f4-f2d7-4500-9fa7-b9ece034ccd6" xmlns:ns4="7f93e015-59c0-4fdd-91ec-e19c3ca23e66" targetNamespace="http://schemas.microsoft.com/office/2006/metadata/properties" ma:root="true" ma:fieldsID="b37f3e650e48caa068455c209d1e283e" ns3:_="" ns4:_="">
    <xsd:import namespace="aa0046f4-f2d7-4500-9fa7-b9ece034ccd6"/>
    <xsd:import namespace="7f93e015-59c0-4fdd-91ec-e19c3ca23e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046f4-f2d7-4500-9fa7-b9ece034cc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93e015-59c0-4fdd-91ec-e19c3ca23e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F8BB3-5B7B-44EE-8EB4-1AB36217B651}">
  <ds:schemaRefs>
    <ds:schemaRef ds:uri="http://schemas.openxmlformats.org/officeDocument/2006/bibliography"/>
  </ds:schemaRefs>
</ds:datastoreItem>
</file>

<file path=customXml/itemProps2.xml><?xml version="1.0" encoding="utf-8"?>
<ds:datastoreItem xmlns:ds="http://schemas.openxmlformats.org/officeDocument/2006/customXml" ds:itemID="{A883BF1F-CAF1-425D-B8CD-A8E9A5D4D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046f4-f2d7-4500-9fa7-b9ece034ccd6"/>
    <ds:schemaRef ds:uri="7f93e015-59c0-4fdd-91ec-e19c3ca23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8F7DEE-D828-4022-B0C1-E239CF5F71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AB235D-9D49-4700-A3D0-865F19E11F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1639</Words>
  <Characters>10326</Characters>
  <Application>Microsoft Office Word</Application>
  <DocSecurity>0</DocSecurity>
  <Lines>264</Lines>
  <Paragraphs>92</Paragraphs>
  <ScaleCrop>false</ScaleCrop>
  <HeadingPairs>
    <vt:vector size="2" baseType="variant">
      <vt:variant>
        <vt:lpstr>Title</vt:lpstr>
      </vt:variant>
      <vt:variant>
        <vt:i4>1</vt:i4>
      </vt:variant>
    </vt:vector>
  </HeadingPairs>
  <TitlesOfParts>
    <vt:vector size="1" baseType="lpstr">
      <vt:lpstr/>
    </vt:vector>
  </TitlesOfParts>
  <Company>UC Irvine Health</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Nursing Protocol: Basin Bed Bathing With 2% Liquid CHG and Showering With 4% CHG Liquid Soap</dc:title>
  <dc:subject>Decolonization of Non-ICU Patients</dc:subject>
  <dc:creator>"Agency for Healthcare Research and Quality (AHRQ)"</dc:creator>
  <cp:keywords>HAIs</cp:keywords>
  <dc:description/>
  <cp:lastModifiedBy>Heidenrich, Christine (AHRQ/OC) (CTR)</cp:lastModifiedBy>
  <cp:revision>3</cp:revision>
  <dcterms:created xsi:type="dcterms:W3CDTF">2022-01-18T22:58:00Z</dcterms:created>
  <dcterms:modified xsi:type="dcterms:W3CDTF">2022-01-18T22:59:00Z</dcterms:modified>
  <cp:category>healthcare associated infections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0x0101000088C51A80A60A4DB202B8C3155C914A</vt:lpwstr>
  </property>
</Properties>
</file>