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13B4E" w14:textId="50920A16" w:rsidR="00420A9E" w:rsidRPr="00492BDD" w:rsidRDefault="00B13B15" w:rsidP="00B13B15">
      <w:pPr>
        <w:pStyle w:val="Header1"/>
        <w:spacing w:before="840"/>
      </w:pPr>
      <w:r>
        <w:t xml:space="preserve">Section 9-4 – </w:t>
      </w:r>
      <w:r w:rsidR="00C523CD" w:rsidRPr="00492BDD">
        <w:t xml:space="preserve">Standardized </w:t>
      </w:r>
      <w:r w:rsidR="00420A9E" w:rsidRPr="00492BDD">
        <w:t>Nursing Protocol:</w:t>
      </w:r>
    </w:p>
    <w:p w14:paraId="15CCEBFE" w14:textId="1B8F255F" w:rsidR="00420A9E" w:rsidRPr="00492BDD" w:rsidRDefault="0003353E" w:rsidP="00846E22">
      <w:pPr>
        <w:pStyle w:val="Header1"/>
        <w:spacing w:after="240"/>
      </w:pPr>
      <w:r w:rsidRPr="00492BDD">
        <w:t xml:space="preserve">Use of </w:t>
      </w:r>
      <w:r w:rsidR="00420A9E" w:rsidRPr="00492BDD">
        <w:t>Nasal Iodophor (10% Povidone-Iodine)</w:t>
      </w:r>
    </w:p>
    <w:p w14:paraId="3D9D9E6D" w14:textId="5D865E93" w:rsidR="00326BB5" w:rsidRPr="00951F5D" w:rsidRDefault="00326BB5" w:rsidP="00951F5D">
      <w:pPr>
        <w:pStyle w:val="ParagraphtextCalibri"/>
      </w:pPr>
      <w:r w:rsidRPr="00951F5D">
        <w:t>The following is a standing order protocol for implementing nasal decolonization in adult non-</w:t>
      </w:r>
      <w:r w:rsidR="0076048F">
        <w:t>intensive care unit (</w:t>
      </w:r>
      <w:r w:rsidRPr="00951F5D">
        <w:t>ICU</w:t>
      </w:r>
      <w:r w:rsidR="0076048F">
        <w:t>)</w:t>
      </w:r>
      <w:r w:rsidRPr="00951F5D">
        <w:t xml:space="preserve"> patients who are methicillin-resistant </w:t>
      </w:r>
      <w:r w:rsidRPr="00951F5D">
        <w:rPr>
          <w:i/>
          <w:iCs/>
        </w:rPr>
        <w:t>Staphylococcus aureus</w:t>
      </w:r>
      <w:r w:rsidRPr="00951F5D">
        <w:t xml:space="preserve"> (MRSA) carriers and have medical devices (particularly central lines, midline catheters, and lumbar drains). The ABATE (</w:t>
      </w:r>
      <w:r w:rsidRPr="00492BDD">
        <w:rPr>
          <w:b/>
          <w:bCs/>
          <w:u w:val="single"/>
        </w:rPr>
        <w:t>A</w:t>
      </w:r>
      <w:r w:rsidRPr="00951F5D">
        <w:t xml:space="preserve">ctive </w:t>
      </w:r>
      <w:r w:rsidRPr="00492BDD">
        <w:rPr>
          <w:b/>
          <w:bCs/>
          <w:u w:val="single"/>
        </w:rPr>
        <w:t>Bat</w:t>
      </w:r>
      <w:r w:rsidRPr="00951F5D">
        <w:t xml:space="preserve">hing to </w:t>
      </w:r>
      <w:r w:rsidRPr="00492BDD">
        <w:rPr>
          <w:b/>
          <w:bCs/>
          <w:u w:val="single"/>
        </w:rPr>
        <w:t>E</w:t>
      </w:r>
      <w:r w:rsidRPr="00951F5D">
        <w:t>liminate) Infection Trial</w:t>
      </w:r>
      <w:r w:rsidRPr="00492BDD">
        <w:rPr>
          <w:vertAlign w:val="superscript"/>
        </w:rPr>
        <w:t>1</w:t>
      </w:r>
      <w:r w:rsidRPr="00951F5D">
        <w:t xml:space="preserve">, which included nasal decolonization of MRSA carriers, found that decolonization of adult non-ICU patients with the medical devices noted above resulted in a 32 percent reduction in all-cause bloodstream infections, and a 37 percent reduction in positive </w:t>
      </w:r>
      <w:r w:rsidR="00CC7627">
        <w:rPr>
          <w:rFonts w:asciiTheme="minorHAnsi" w:eastAsia="Times New Roman" w:hAnsiTheme="minorHAnsi" w:cs="Calibri"/>
          <w:szCs w:val="24"/>
        </w:rPr>
        <w:t xml:space="preserve">cultures for </w:t>
      </w:r>
      <w:r w:rsidRPr="00951F5D">
        <w:t xml:space="preserve">MRSA and VRE cultures. </w:t>
      </w:r>
    </w:p>
    <w:p w14:paraId="5D567AD6" w14:textId="77777777" w:rsidR="00284C5B" w:rsidRPr="00951F5D" w:rsidRDefault="00284C5B" w:rsidP="00951F5D">
      <w:pPr>
        <w:pStyle w:val="Heading1"/>
      </w:pPr>
      <w:r>
        <w:t>Protocol Overview</w:t>
      </w:r>
    </w:p>
    <w:p w14:paraId="319AEA4A" w14:textId="4CD15E18" w:rsidR="0004218B" w:rsidRPr="00951F5D" w:rsidRDefault="00A11210" w:rsidP="00951F5D">
      <w:pPr>
        <w:pStyle w:val="ListParagraph1"/>
        <w:numPr>
          <w:ilvl w:val="3"/>
          <w:numId w:val="1"/>
        </w:numPr>
        <w:ind w:left="720"/>
      </w:pPr>
      <w:r w:rsidRPr="00951F5D">
        <w:t xml:space="preserve">Five </w:t>
      </w:r>
      <w:r w:rsidR="0004218B" w:rsidRPr="00951F5D">
        <w:t xml:space="preserve">days of twice-daily nasal decolonization for non-ICU adult patients with medical devices </w:t>
      </w:r>
      <w:r w:rsidR="00D22208" w:rsidRPr="00951F5D">
        <w:t xml:space="preserve">of interest </w:t>
      </w:r>
      <w:r w:rsidR="0004218B" w:rsidRPr="00951F5D">
        <w:t>who are known to be MRSA carriers by history, screening test, or clinical culture</w:t>
      </w:r>
      <w:r w:rsidR="00341169" w:rsidRPr="00951F5D">
        <w:t xml:space="preserve">, or </w:t>
      </w:r>
      <w:r w:rsidR="007E5FBE" w:rsidRPr="00951F5D">
        <w:t xml:space="preserve">as </w:t>
      </w:r>
      <w:r w:rsidR="00341169" w:rsidRPr="00951F5D">
        <w:t xml:space="preserve">identified </w:t>
      </w:r>
      <w:r w:rsidR="007E5FBE" w:rsidRPr="00951F5D">
        <w:t>by your</w:t>
      </w:r>
      <w:r w:rsidR="00341169" w:rsidRPr="00951F5D">
        <w:t xml:space="preserve"> hospital</w:t>
      </w:r>
      <w:r w:rsidR="009847C1" w:rsidRPr="00951F5D">
        <w:t>’</w:t>
      </w:r>
      <w:r w:rsidR="00341169" w:rsidRPr="00951F5D">
        <w:t xml:space="preserve">s </w:t>
      </w:r>
      <w:r w:rsidR="007E5FBE" w:rsidRPr="00951F5D">
        <w:t xml:space="preserve">usual </w:t>
      </w:r>
      <w:r w:rsidR="00341169" w:rsidRPr="00951F5D">
        <w:t>MRSA screening/testing processes</w:t>
      </w:r>
      <w:r w:rsidR="007E5FBE" w:rsidRPr="00951F5D">
        <w:t xml:space="preserve"> (if any)</w:t>
      </w:r>
      <w:r w:rsidR="009847C1" w:rsidRPr="00951F5D">
        <w:t>.</w:t>
      </w:r>
    </w:p>
    <w:p w14:paraId="242C7E78" w14:textId="5B3CB34C" w:rsidR="00553FC6" w:rsidRPr="00951F5D" w:rsidRDefault="00553FC6" w:rsidP="00951F5D">
      <w:pPr>
        <w:pStyle w:val="ListParagraph1"/>
        <w:numPr>
          <w:ilvl w:val="3"/>
          <w:numId w:val="1"/>
        </w:numPr>
        <w:ind w:left="720"/>
      </w:pPr>
      <w:r w:rsidRPr="00951F5D">
        <w:t xml:space="preserve">Nasal iodophor is an over-the-counter product that does not require a prescription and can be </w:t>
      </w:r>
      <w:r w:rsidR="003856E8" w:rsidRPr="00951F5D">
        <w:t xml:space="preserve">used for nasal decolonization </w:t>
      </w:r>
      <w:r w:rsidRPr="00951F5D">
        <w:t>under a standardized nursing protocol</w:t>
      </w:r>
      <w:r w:rsidR="003F50A4" w:rsidRPr="00951F5D">
        <w:t>.</w:t>
      </w:r>
    </w:p>
    <w:p w14:paraId="7D471A2C" w14:textId="06EC6208" w:rsidR="00284C5B" w:rsidRPr="00951F5D" w:rsidRDefault="0087688B" w:rsidP="00951F5D">
      <w:pPr>
        <w:pStyle w:val="Heading1"/>
      </w:pPr>
      <w:r>
        <w:t xml:space="preserve">Identifying </w:t>
      </w:r>
      <w:r w:rsidR="002A735F">
        <w:t>Patients</w:t>
      </w:r>
      <w:r>
        <w:t xml:space="preserve"> for </w:t>
      </w:r>
      <w:r w:rsidR="00585104">
        <w:t xml:space="preserve">Nasal </w:t>
      </w:r>
      <w:r>
        <w:t>Decolonization</w:t>
      </w:r>
    </w:p>
    <w:p w14:paraId="1428A1C3" w14:textId="0AA73E3C" w:rsidR="00085419" w:rsidRPr="005B06BC" w:rsidRDefault="00085419" w:rsidP="00951F5D">
      <w:pPr>
        <w:pStyle w:val="ListParagraph1"/>
        <w:numPr>
          <w:ilvl w:val="3"/>
          <w:numId w:val="1"/>
        </w:numPr>
        <w:ind w:left="720"/>
      </w:pPr>
      <w:r w:rsidRPr="005B06BC">
        <w:t>Target Patient Population</w:t>
      </w:r>
    </w:p>
    <w:p w14:paraId="7D308C79" w14:textId="2FC58F7A" w:rsidR="00676293" w:rsidRPr="00951F5D" w:rsidRDefault="00085419" w:rsidP="00951F5D">
      <w:pPr>
        <w:pStyle w:val="Subtitle"/>
        <w:numPr>
          <w:ilvl w:val="0"/>
          <w:numId w:val="22"/>
        </w:numPr>
      </w:pPr>
      <w:r w:rsidRPr="00951F5D">
        <w:rPr>
          <w:i/>
          <w:iCs/>
          <w:u w:val="single"/>
        </w:rPr>
        <w:t>Include</w:t>
      </w:r>
      <w:r w:rsidRPr="005B06BC">
        <w:t>:</w:t>
      </w:r>
      <w:r w:rsidRPr="00951F5D">
        <w:t xml:space="preserve"> Adult non-ICU patients with medical devices </w:t>
      </w:r>
      <w:r w:rsidR="00E51CC3" w:rsidRPr="00951F5D">
        <w:t xml:space="preserve">of interest </w:t>
      </w:r>
      <w:r w:rsidRPr="00951F5D">
        <w:t>who are known to be MRSA</w:t>
      </w:r>
      <w:r w:rsidR="00326BB5" w:rsidRPr="00951F5D">
        <w:t xml:space="preserve"> carriers</w:t>
      </w:r>
      <w:r w:rsidRPr="00951F5D">
        <w:t xml:space="preserve"> by history, screening test</w:t>
      </w:r>
      <w:r w:rsidR="009847C1" w:rsidRPr="00951F5D">
        <w:t xml:space="preserve"> (if performed)</w:t>
      </w:r>
      <w:r w:rsidRPr="00951F5D">
        <w:t>, or clinical culture</w:t>
      </w:r>
      <w:r w:rsidR="003F50A4" w:rsidRPr="00951F5D">
        <w:t>.</w:t>
      </w:r>
      <w:r w:rsidRPr="00951F5D">
        <w:t xml:space="preserve"> </w:t>
      </w:r>
    </w:p>
    <w:p w14:paraId="65E433BF" w14:textId="0781F07A" w:rsidR="00EC457A" w:rsidRPr="00951F5D" w:rsidRDefault="00085419" w:rsidP="00951F5D">
      <w:pPr>
        <w:pStyle w:val="Subtitle"/>
        <w:numPr>
          <w:ilvl w:val="0"/>
          <w:numId w:val="22"/>
        </w:numPr>
      </w:pPr>
      <w:r w:rsidRPr="00951F5D">
        <w:rPr>
          <w:i/>
          <w:iCs/>
          <w:u w:val="single"/>
        </w:rPr>
        <w:t>Exclude</w:t>
      </w:r>
      <w:r w:rsidRPr="005B06BC">
        <w:t>:</w:t>
      </w:r>
      <w:r w:rsidRPr="00951F5D">
        <w:t xml:space="preserve"> Pa</w:t>
      </w:r>
      <w:r w:rsidR="00325F1F" w:rsidRPr="00951F5D">
        <w:t>tients with known allerg</w:t>
      </w:r>
      <w:r w:rsidR="003856E8" w:rsidRPr="00951F5D">
        <w:t>ies</w:t>
      </w:r>
      <w:r w:rsidR="00325F1F" w:rsidRPr="00951F5D">
        <w:t xml:space="preserve"> to </w:t>
      </w:r>
      <w:r w:rsidR="00EC551E" w:rsidRPr="00951F5D">
        <w:t>iodophor or iodine</w:t>
      </w:r>
      <w:r w:rsidR="00A44E88" w:rsidRPr="00951F5D">
        <w:t>,</w:t>
      </w:r>
      <w:r w:rsidR="00676293" w:rsidRPr="00951F5D">
        <w:t xml:space="preserve"> </w:t>
      </w:r>
      <w:r w:rsidR="00C53A43" w:rsidRPr="00951F5D">
        <w:t xml:space="preserve">and </w:t>
      </w:r>
      <w:r w:rsidR="00676293" w:rsidRPr="00951F5D">
        <w:t xml:space="preserve">patients with nasal packing </w:t>
      </w:r>
      <w:r w:rsidR="0084232C" w:rsidRPr="00951F5D">
        <w:t xml:space="preserve">or anatomical </w:t>
      </w:r>
      <w:r w:rsidR="00C53A43" w:rsidRPr="00951F5D">
        <w:t xml:space="preserve">conditions </w:t>
      </w:r>
      <w:r w:rsidR="0084232C" w:rsidRPr="00951F5D">
        <w:t xml:space="preserve">precluding </w:t>
      </w:r>
      <w:r w:rsidR="00B245AC" w:rsidRPr="00951F5D">
        <w:t xml:space="preserve">the </w:t>
      </w:r>
      <w:r w:rsidR="0084232C" w:rsidRPr="00951F5D">
        <w:t>use of</w:t>
      </w:r>
      <w:r w:rsidR="00676293" w:rsidRPr="00951F5D">
        <w:t xml:space="preserve"> </w:t>
      </w:r>
      <w:r w:rsidR="007A6FF4" w:rsidRPr="00951F5D">
        <w:t>iodophor</w:t>
      </w:r>
      <w:r w:rsidR="003F50A4" w:rsidRPr="00951F5D">
        <w:t>.</w:t>
      </w:r>
    </w:p>
    <w:p w14:paraId="1EF33A69" w14:textId="17A6F083" w:rsidR="009847C1" w:rsidRPr="00951F5D" w:rsidRDefault="009847C1" w:rsidP="00951F5D">
      <w:pPr>
        <w:pStyle w:val="Subtitle"/>
        <w:numPr>
          <w:ilvl w:val="0"/>
          <w:numId w:val="22"/>
        </w:numPr>
      </w:pPr>
      <w:r w:rsidRPr="00951F5D">
        <w:t xml:space="preserve">Remember, your hospital </w:t>
      </w:r>
      <w:r w:rsidR="00CC7627">
        <w:rPr>
          <w:rFonts w:asciiTheme="minorHAnsi" w:hAnsiTheme="minorHAnsi"/>
          <w:iCs/>
        </w:rPr>
        <w:t>should not</w:t>
      </w:r>
      <w:r w:rsidR="00CC7627" w:rsidRPr="00326BB5">
        <w:rPr>
          <w:rFonts w:asciiTheme="minorHAnsi" w:hAnsiTheme="minorHAnsi"/>
          <w:iCs/>
        </w:rPr>
        <w:t xml:space="preserve"> </w:t>
      </w:r>
      <w:r w:rsidRPr="00951F5D">
        <w:t xml:space="preserve">change </w:t>
      </w:r>
      <w:r w:rsidR="00CC7627">
        <w:t xml:space="preserve">its </w:t>
      </w:r>
      <w:r w:rsidRPr="00951F5D">
        <w:t xml:space="preserve">testing/screening processes for MRSA. Use your current processes. </w:t>
      </w:r>
    </w:p>
    <w:p w14:paraId="065D6AFD" w14:textId="405149E3" w:rsidR="00C5282E" w:rsidRPr="00951F5D" w:rsidRDefault="0067374E" w:rsidP="00951F5D">
      <w:pPr>
        <w:pStyle w:val="ListParagraph1"/>
        <w:numPr>
          <w:ilvl w:val="3"/>
          <w:numId w:val="1"/>
        </w:numPr>
        <w:ind w:left="720"/>
      </w:pPr>
      <w:r w:rsidRPr="00951F5D">
        <w:t>If a patient with a device is readmitted, restart the protocol</w:t>
      </w:r>
      <w:r w:rsidR="003F50A4" w:rsidRPr="00951F5D">
        <w:t>.</w:t>
      </w:r>
    </w:p>
    <w:p w14:paraId="098C7298" w14:textId="77777777" w:rsidR="009847C1" w:rsidRPr="00A4575E" w:rsidRDefault="009847C1" w:rsidP="005B06BC">
      <w:pPr>
        <w:pStyle w:val="ParagraphtextCalibri"/>
        <w:rPr>
          <w:rFonts w:asciiTheme="minorHAnsi" w:hAnsiTheme="minorHAnsi"/>
        </w:rPr>
      </w:pPr>
    </w:p>
    <w:p w14:paraId="7ACDD969" w14:textId="77777777" w:rsidR="00951F5D" w:rsidRDefault="00951F5D">
      <w:pPr>
        <w:spacing w:after="160" w:line="259" w:lineRule="auto"/>
        <w:rPr>
          <w:rFonts w:asciiTheme="minorHAnsi" w:eastAsiaTheme="minorHAnsi" w:hAnsiTheme="minorHAnsi" w:cstheme="minorBidi"/>
          <w:b/>
          <w:bCs/>
          <w:color w:val="0070C0"/>
          <w:sz w:val="28"/>
          <w:szCs w:val="28"/>
        </w:rPr>
      </w:pPr>
      <w:r>
        <w:br w:type="page"/>
      </w:r>
    </w:p>
    <w:p w14:paraId="772D0498" w14:textId="2B87261C" w:rsidR="0009377F" w:rsidRPr="00951F5D" w:rsidRDefault="007D483E" w:rsidP="00951F5D">
      <w:pPr>
        <w:pStyle w:val="Heading1"/>
      </w:pPr>
      <w:r>
        <w:lastRenderedPageBreak/>
        <w:t xml:space="preserve">Protocol for </w:t>
      </w:r>
      <w:r w:rsidR="008729A6">
        <w:t>Nasal Iodophor</w:t>
      </w:r>
      <w:r w:rsidR="00AA7CB4">
        <w:t xml:space="preserve"> </w:t>
      </w:r>
      <w:r w:rsidR="0096375A">
        <w:t>Application</w:t>
      </w:r>
    </w:p>
    <w:p w14:paraId="4F2E608A" w14:textId="7BE61FAA" w:rsidR="004C5D1F" w:rsidRPr="00951F5D" w:rsidRDefault="0009377F" w:rsidP="00492BDD">
      <w:pPr>
        <w:pStyle w:val="ListParagraph1"/>
        <w:numPr>
          <w:ilvl w:val="0"/>
          <w:numId w:val="38"/>
        </w:numPr>
        <w:spacing w:after="120"/>
        <w:rPr>
          <w:noProof/>
        </w:rPr>
      </w:pPr>
      <w:r w:rsidRPr="00951F5D">
        <w:rPr>
          <w:noProof/>
        </w:rPr>
        <w:t>Place patient’s bed at 30 degrees, if tolerated</w:t>
      </w:r>
      <w:r w:rsidR="000977C2" w:rsidRPr="00951F5D">
        <w:rPr>
          <w:noProof/>
        </w:rPr>
        <w:t>.</w:t>
      </w:r>
    </w:p>
    <w:p w14:paraId="58E0834D" w14:textId="53ECC5CF" w:rsidR="006D05C6" w:rsidRPr="00951F5D" w:rsidRDefault="004C5D1F" w:rsidP="00492BDD">
      <w:pPr>
        <w:pStyle w:val="ListParagraph1"/>
        <w:numPr>
          <w:ilvl w:val="0"/>
          <w:numId w:val="38"/>
        </w:numPr>
        <w:spacing w:after="120"/>
        <w:rPr>
          <w:noProof/>
        </w:rPr>
      </w:pPr>
      <w:r w:rsidRPr="00951F5D">
        <w:rPr>
          <w:noProof/>
        </w:rPr>
        <w:t>Insert an iodophor swab into one nostril and rotate for 30 seconds covering all surfaces. Apply firmly in a circular manner to entire surface of inner nos</w:t>
      </w:r>
      <w:r w:rsidR="002E6F9D" w:rsidRPr="00951F5D">
        <w:rPr>
          <w:noProof/>
        </w:rPr>
        <w:t>tril</w:t>
      </w:r>
      <w:r w:rsidRPr="00951F5D">
        <w:rPr>
          <w:noProof/>
        </w:rPr>
        <w:t>. Firm contact is needed and</w:t>
      </w:r>
      <w:r w:rsidR="003856E8" w:rsidRPr="00951F5D">
        <w:rPr>
          <w:noProof/>
        </w:rPr>
        <w:t xml:space="preserve"> </w:t>
      </w:r>
      <w:r w:rsidRPr="00951F5D">
        <w:rPr>
          <w:noProof/>
        </w:rPr>
        <w:t>bulge should be seen as swab is applied to nares. Discard swab.</w:t>
      </w:r>
    </w:p>
    <w:p w14:paraId="06AB10C6" w14:textId="2CCBA626" w:rsidR="006D05C6" w:rsidRPr="00951F5D" w:rsidRDefault="004C5D1F" w:rsidP="00492BDD">
      <w:pPr>
        <w:pStyle w:val="ListParagraph1"/>
        <w:numPr>
          <w:ilvl w:val="0"/>
          <w:numId w:val="38"/>
        </w:numPr>
        <w:spacing w:after="120"/>
        <w:rPr>
          <w:noProof/>
        </w:rPr>
      </w:pPr>
      <w:r w:rsidRPr="00951F5D">
        <w:rPr>
          <w:noProof/>
        </w:rPr>
        <w:t xml:space="preserve">Using the second swab, repeat step </w:t>
      </w:r>
      <w:r w:rsidR="002E6F9D" w:rsidRPr="00951F5D">
        <w:rPr>
          <w:noProof/>
        </w:rPr>
        <w:t>2</w:t>
      </w:r>
      <w:r w:rsidRPr="00951F5D">
        <w:rPr>
          <w:noProof/>
        </w:rPr>
        <w:t xml:space="preserve"> in the other nostril.</w:t>
      </w:r>
    </w:p>
    <w:p w14:paraId="51F54171" w14:textId="2E1DF886" w:rsidR="006D05C6" w:rsidRPr="00951F5D" w:rsidRDefault="004C5D1F" w:rsidP="00492BDD">
      <w:pPr>
        <w:pStyle w:val="ListParagraph1"/>
        <w:numPr>
          <w:ilvl w:val="0"/>
          <w:numId w:val="38"/>
        </w:numPr>
        <w:spacing w:after="120"/>
        <w:rPr>
          <w:noProof/>
        </w:rPr>
      </w:pPr>
      <w:r w:rsidRPr="00951F5D">
        <w:rPr>
          <w:noProof/>
        </w:rPr>
        <w:t xml:space="preserve">Do not </w:t>
      </w:r>
      <w:r w:rsidR="00921EC8" w:rsidRPr="00951F5D">
        <w:rPr>
          <w:noProof/>
        </w:rPr>
        <w:t xml:space="preserve">have the patient </w:t>
      </w:r>
      <w:r w:rsidRPr="00951F5D">
        <w:rPr>
          <w:noProof/>
        </w:rPr>
        <w:t xml:space="preserve">blow </w:t>
      </w:r>
      <w:r w:rsidR="00921EC8" w:rsidRPr="00951F5D">
        <w:rPr>
          <w:noProof/>
        </w:rPr>
        <w:t xml:space="preserve">his or her </w:t>
      </w:r>
      <w:r w:rsidRPr="00951F5D">
        <w:rPr>
          <w:noProof/>
        </w:rPr>
        <w:t>nose. If solution drips, dab with tissue.</w:t>
      </w:r>
      <w:r w:rsidR="002E6F9D" w:rsidRPr="00951F5D">
        <w:rPr>
          <w:noProof/>
        </w:rPr>
        <w:t xml:space="preserve"> Discard tissue.</w:t>
      </w:r>
    </w:p>
    <w:p w14:paraId="253864C1" w14:textId="5F3423CF" w:rsidR="009A03E9" w:rsidRPr="00951F5D" w:rsidRDefault="009A03E9" w:rsidP="00492BDD">
      <w:pPr>
        <w:pStyle w:val="ListParagraph1"/>
        <w:numPr>
          <w:ilvl w:val="0"/>
          <w:numId w:val="38"/>
        </w:numPr>
        <w:spacing w:after="120"/>
        <w:rPr>
          <w:noProof/>
        </w:rPr>
      </w:pPr>
      <w:r w:rsidRPr="00951F5D">
        <w:rPr>
          <w:noProof/>
        </w:rPr>
        <w:t>Do this twice a day for 5 days while in hospital</w:t>
      </w:r>
      <w:r w:rsidR="000977C2" w:rsidRPr="00951F5D">
        <w:rPr>
          <w:noProof/>
        </w:rPr>
        <w:t>.</w:t>
      </w:r>
    </w:p>
    <w:p w14:paraId="66281BC7" w14:textId="6E4EA326" w:rsidR="009A03E9" w:rsidRPr="00951F5D" w:rsidRDefault="009A03E9" w:rsidP="00492BDD">
      <w:pPr>
        <w:pStyle w:val="ListParagraph1"/>
        <w:numPr>
          <w:ilvl w:val="0"/>
          <w:numId w:val="38"/>
        </w:numPr>
        <w:spacing w:after="120"/>
        <w:rPr>
          <w:noProof/>
        </w:rPr>
      </w:pPr>
      <w:r w:rsidRPr="00951F5D">
        <w:rPr>
          <w:noProof/>
        </w:rPr>
        <w:t>Stop protocol on hospital discharge</w:t>
      </w:r>
      <w:r w:rsidR="000977C2" w:rsidRPr="00951F5D">
        <w:rPr>
          <w:noProof/>
        </w:rPr>
        <w:t>.</w:t>
      </w:r>
    </w:p>
    <w:p w14:paraId="285D5BA0" w14:textId="59D5D8AC" w:rsidR="00316A88" w:rsidRPr="00951F5D" w:rsidRDefault="00316A88" w:rsidP="00492BDD">
      <w:pPr>
        <w:pStyle w:val="ListParagraph1"/>
        <w:numPr>
          <w:ilvl w:val="0"/>
          <w:numId w:val="38"/>
        </w:numPr>
        <w:rPr>
          <w:noProof/>
        </w:rPr>
      </w:pPr>
      <w:r w:rsidRPr="00951F5D">
        <w:rPr>
          <w:noProof/>
        </w:rPr>
        <w:t>If patient is readmitted and still meets inclusion criteria for the protocol, restart the protocol</w:t>
      </w:r>
      <w:r w:rsidR="000977C2" w:rsidRPr="00951F5D">
        <w:rPr>
          <w:noProof/>
        </w:rPr>
        <w:t>.</w:t>
      </w:r>
    </w:p>
    <w:p w14:paraId="0497976D" w14:textId="77777777" w:rsidR="007D483E" w:rsidRPr="00951F5D" w:rsidRDefault="007D483E" w:rsidP="00951F5D">
      <w:pPr>
        <w:pStyle w:val="Heading1"/>
      </w:pPr>
      <w:r w:rsidRPr="00854B2A">
        <w:t>Special Circumstances</w:t>
      </w:r>
    </w:p>
    <w:p w14:paraId="4698E1AD" w14:textId="27A55196" w:rsidR="007D483E" w:rsidRPr="00951F5D" w:rsidRDefault="007D483E" w:rsidP="00951F5D">
      <w:pPr>
        <w:pStyle w:val="ListParagraph1"/>
        <w:numPr>
          <w:ilvl w:val="0"/>
          <w:numId w:val="31"/>
        </w:numPr>
      </w:pPr>
      <w:r w:rsidRPr="00951F5D">
        <w:t>If nasal devices are in place (e.g.</w:t>
      </w:r>
      <w:r w:rsidR="0096375A" w:rsidRPr="00951F5D">
        <w:t>,</w:t>
      </w:r>
      <w:r w:rsidRPr="00951F5D">
        <w:t xml:space="preserve"> nasal intubation, </w:t>
      </w:r>
      <w:r w:rsidR="00CC7627">
        <w:rPr>
          <w:rFonts w:asciiTheme="minorHAnsi" w:hAnsiTheme="minorHAnsi"/>
        </w:rPr>
        <w:t>nasogastric [</w:t>
      </w:r>
      <w:r w:rsidRPr="00951F5D">
        <w:t>NG</w:t>
      </w:r>
      <w:r w:rsidR="00CC7627">
        <w:t>]</w:t>
      </w:r>
      <w:r w:rsidRPr="00951F5D">
        <w:t xml:space="preserve"> tubes), apply </w:t>
      </w:r>
      <w:r w:rsidR="00727D79" w:rsidRPr="00951F5D">
        <w:t xml:space="preserve">iodophor </w:t>
      </w:r>
      <w:r w:rsidRPr="00951F5D">
        <w:t>around tubing, if possible.</w:t>
      </w:r>
    </w:p>
    <w:p w14:paraId="721682B6" w14:textId="795E0AE8" w:rsidR="007D483E" w:rsidRPr="00951F5D" w:rsidRDefault="007D483E" w:rsidP="00F84E5F">
      <w:pPr>
        <w:pStyle w:val="ListParagraph1"/>
        <w:numPr>
          <w:ilvl w:val="0"/>
          <w:numId w:val="31"/>
        </w:numPr>
        <w:spacing w:after="120"/>
      </w:pPr>
      <w:r w:rsidRPr="00951F5D">
        <w:t>If nasal packing is in place (e.g.</w:t>
      </w:r>
      <w:r w:rsidR="00C53A43" w:rsidRPr="00951F5D">
        <w:t>,</w:t>
      </w:r>
      <w:r w:rsidRPr="00951F5D">
        <w:t xml:space="preserve"> </w:t>
      </w:r>
      <w:r w:rsidR="00C53A43" w:rsidRPr="00951F5D">
        <w:t xml:space="preserve">for </w:t>
      </w:r>
      <w:r w:rsidRPr="00951F5D">
        <w:t>recent surgery/trauma), do not apply to that nostril.</w:t>
      </w:r>
    </w:p>
    <w:p w14:paraId="357FC425" w14:textId="48A113C7" w:rsidR="000A364A" w:rsidRDefault="007D483E" w:rsidP="00951F5D">
      <w:pPr>
        <w:pStyle w:val="ParagraphtextCalibri"/>
      </w:pPr>
      <w:r w:rsidRPr="00951F5D">
        <w:t xml:space="preserve">Missed doses: If one dose is missed, </w:t>
      </w:r>
      <w:r w:rsidR="00055BB1" w:rsidRPr="00951F5D">
        <w:t xml:space="preserve">nurse should </w:t>
      </w:r>
      <w:r w:rsidRPr="00951F5D">
        <w:t>res</w:t>
      </w:r>
      <w:r w:rsidR="006B03D1" w:rsidRPr="00951F5D">
        <w:t>ume</w:t>
      </w:r>
      <w:r w:rsidRPr="00951F5D">
        <w:t xml:space="preserve"> </w:t>
      </w:r>
      <w:r w:rsidR="00DE797A" w:rsidRPr="00951F5D">
        <w:t xml:space="preserve">iodophor </w:t>
      </w:r>
      <w:r w:rsidR="0096375A" w:rsidRPr="00951F5D">
        <w:t xml:space="preserve">application </w:t>
      </w:r>
      <w:r w:rsidRPr="00951F5D">
        <w:t xml:space="preserve">as soon as possible </w:t>
      </w:r>
      <w:r w:rsidR="006B03D1" w:rsidRPr="00951F5D">
        <w:t>on the original</w:t>
      </w:r>
      <w:r w:rsidRPr="00951F5D">
        <w:t xml:space="preserve"> schedule. Do not double up doses. If more than </w:t>
      </w:r>
      <w:r w:rsidR="005C5C61" w:rsidRPr="00951F5D">
        <w:t>two doses</w:t>
      </w:r>
      <w:r w:rsidR="002A4D4D" w:rsidRPr="00951F5D">
        <w:t>’</w:t>
      </w:r>
      <w:r w:rsidRPr="00951F5D">
        <w:t xml:space="preserve"> worth of </w:t>
      </w:r>
      <w:r w:rsidR="00DE797A" w:rsidRPr="00951F5D">
        <w:t>iodophor</w:t>
      </w:r>
      <w:r w:rsidR="001F3849" w:rsidRPr="00951F5D">
        <w:t xml:space="preserve"> </w:t>
      </w:r>
      <w:r w:rsidR="0096375A" w:rsidRPr="00951F5D">
        <w:t xml:space="preserve">are </w:t>
      </w:r>
      <w:r w:rsidRPr="00951F5D">
        <w:t xml:space="preserve">missed, the </w:t>
      </w:r>
      <w:r w:rsidR="006B03D1" w:rsidRPr="00951F5D">
        <w:t>protocol should be</w:t>
      </w:r>
      <w:r w:rsidRPr="00951F5D">
        <w:t xml:space="preserve"> restart</w:t>
      </w:r>
      <w:r w:rsidR="006B03D1" w:rsidRPr="00951F5D">
        <w:t xml:space="preserve">ed and a new count for </w:t>
      </w:r>
      <w:r w:rsidRPr="00951F5D">
        <w:t xml:space="preserve">5 days of </w:t>
      </w:r>
      <w:r w:rsidR="0096375A" w:rsidRPr="00951F5D">
        <w:t xml:space="preserve">nasal decolonization </w:t>
      </w:r>
      <w:r w:rsidR="006B03D1" w:rsidRPr="00951F5D">
        <w:t>should begin</w:t>
      </w:r>
      <w:r w:rsidRPr="00951F5D">
        <w:t xml:space="preserve">. </w:t>
      </w:r>
      <w:r w:rsidR="00B56EEC" w:rsidRPr="00951F5D">
        <w:t xml:space="preserve"> </w:t>
      </w:r>
    </w:p>
    <w:p w14:paraId="33CAFB52" w14:textId="6AFAB84C" w:rsidR="000A364A" w:rsidRPr="00951F5D" w:rsidRDefault="000A364A" w:rsidP="00951F5D">
      <w:pPr>
        <w:pStyle w:val="Heading1"/>
      </w:pPr>
      <w:r>
        <w:t>Escalation</w:t>
      </w:r>
      <w:r w:rsidR="000B4A3A">
        <w:t xml:space="preserve"> Efforts</w:t>
      </w:r>
      <w:r>
        <w:t xml:space="preserve"> for Patient Refusals</w:t>
      </w:r>
    </w:p>
    <w:p w14:paraId="4091D14B" w14:textId="2509F3C5" w:rsidR="007E5FBE" w:rsidRPr="00951F5D" w:rsidRDefault="007E5FBE" w:rsidP="00951F5D">
      <w:pPr>
        <w:pStyle w:val="ParagraphtextCalibri"/>
      </w:pPr>
      <w:r w:rsidRPr="00951F5D">
        <w:t xml:space="preserve">As is the case with other medical care, patients can refuse any portion of decolonization, either the </w:t>
      </w:r>
      <w:r w:rsidR="00CC7627">
        <w:rPr>
          <w:color w:val="000000" w:themeColor="text1"/>
          <w:szCs w:val="24"/>
        </w:rPr>
        <w:t>chlorhexidine</w:t>
      </w:r>
      <w:r w:rsidR="001A1381">
        <w:rPr>
          <w:color w:val="000000" w:themeColor="text1"/>
          <w:szCs w:val="24"/>
        </w:rPr>
        <w:t xml:space="preserve"> gluconate</w:t>
      </w:r>
      <w:r w:rsidR="00CC7627">
        <w:rPr>
          <w:color w:val="000000" w:themeColor="text1"/>
          <w:szCs w:val="24"/>
        </w:rPr>
        <w:t xml:space="preserve"> (</w:t>
      </w:r>
      <w:r w:rsidRPr="00951F5D">
        <w:t>CHG</w:t>
      </w:r>
      <w:r w:rsidR="00CC7627">
        <w:t>)</w:t>
      </w:r>
      <w:r w:rsidRPr="00951F5D">
        <w:t xml:space="preserve"> bath or the nasal product. </w:t>
      </w:r>
      <w:proofErr w:type="gramStart"/>
      <w:r w:rsidRPr="00951F5D">
        <w:t>In order to</w:t>
      </w:r>
      <w:proofErr w:type="gramEnd"/>
      <w:r w:rsidRPr="00951F5D">
        <w:t xml:space="preserve"> make sure your patient is maximally informed before a refusal is accepted, perform the following:</w:t>
      </w:r>
    </w:p>
    <w:p w14:paraId="35171000" w14:textId="55EA61D4" w:rsidR="007E5FBE" w:rsidRPr="00951F5D" w:rsidRDefault="007E5FBE" w:rsidP="00492BDD">
      <w:pPr>
        <w:pStyle w:val="ListParagraph1"/>
        <w:numPr>
          <w:ilvl w:val="0"/>
          <w:numId w:val="39"/>
        </w:numPr>
        <w:rPr>
          <w:noProof/>
        </w:rPr>
      </w:pPr>
      <w:r w:rsidRPr="00951F5D">
        <w:rPr>
          <w:noProof/>
        </w:rPr>
        <w:t xml:space="preserve">Review </w:t>
      </w:r>
      <w:r w:rsidR="00190DDD">
        <w:rPr>
          <w:noProof/>
        </w:rPr>
        <w:t xml:space="preserve">tools in </w:t>
      </w:r>
      <w:r w:rsidRPr="00951F5D">
        <w:rPr>
          <w:noProof/>
        </w:rPr>
        <w:t>Section 14</w:t>
      </w:r>
      <w:r w:rsidR="00190DDD">
        <w:rPr>
          <w:noProof/>
        </w:rPr>
        <w:t xml:space="preserve">, which </w:t>
      </w:r>
      <w:r w:rsidRPr="00951F5D">
        <w:rPr>
          <w:noProof/>
        </w:rPr>
        <w:t>provide suggested responses to common patient questions and scenarios for how to address patient refusals.</w:t>
      </w:r>
    </w:p>
    <w:p w14:paraId="50CD9D1A" w14:textId="77777777" w:rsidR="007E5FBE" w:rsidRPr="00951F5D" w:rsidRDefault="007E5FBE" w:rsidP="00492BDD">
      <w:pPr>
        <w:pStyle w:val="ListParagraph1"/>
        <w:numPr>
          <w:ilvl w:val="0"/>
          <w:numId w:val="39"/>
        </w:numPr>
        <w:rPr>
          <w:noProof/>
        </w:rPr>
      </w:pPr>
      <w:r w:rsidRPr="00951F5D">
        <w:rPr>
          <w:noProof/>
        </w:rPr>
        <w:t>Patient initially declines</w:t>
      </w:r>
    </w:p>
    <w:p w14:paraId="7B10C4C2" w14:textId="74078F4C" w:rsidR="007E5FBE" w:rsidRPr="00951F5D" w:rsidRDefault="007E5FBE" w:rsidP="00492BDD">
      <w:pPr>
        <w:pStyle w:val="ListParagraph1"/>
        <w:numPr>
          <w:ilvl w:val="1"/>
          <w:numId w:val="39"/>
        </w:numPr>
        <w:rPr>
          <w:noProof/>
        </w:rPr>
      </w:pPr>
      <w:r w:rsidRPr="00951F5D">
        <w:rPr>
          <w:noProof/>
        </w:rPr>
        <w:t>Assess why: Is your patient tired? Uncomfortable due to poor bed positioning? In pain? These things need to be addressed before they will be likely to accept the nasal product.</w:t>
      </w:r>
    </w:p>
    <w:p w14:paraId="4D595045" w14:textId="77777777" w:rsidR="007E5FBE" w:rsidRPr="00951F5D" w:rsidRDefault="007E5FBE" w:rsidP="00492BDD">
      <w:pPr>
        <w:pStyle w:val="ListParagraph1"/>
        <w:numPr>
          <w:ilvl w:val="0"/>
          <w:numId w:val="39"/>
        </w:numPr>
        <w:rPr>
          <w:noProof/>
        </w:rPr>
      </w:pPr>
      <w:r w:rsidRPr="00951F5D">
        <w:rPr>
          <w:noProof/>
        </w:rPr>
        <w:t>Patient declines after bedside nurse explains concept</w:t>
      </w:r>
    </w:p>
    <w:p w14:paraId="76694267" w14:textId="77777777" w:rsidR="007E5FBE" w:rsidRPr="00951F5D" w:rsidRDefault="007E5FBE" w:rsidP="00492BDD">
      <w:pPr>
        <w:pStyle w:val="ListParagraph1"/>
        <w:numPr>
          <w:ilvl w:val="1"/>
          <w:numId w:val="39"/>
        </w:numPr>
        <w:rPr>
          <w:noProof/>
        </w:rPr>
      </w:pPr>
      <w:r w:rsidRPr="00951F5D">
        <w:rPr>
          <w:noProof/>
        </w:rPr>
        <w:t xml:space="preserve">We recommend an escalation pathway, not because a patient refuses, but because some patients may respond to a different approach or style with better understanding. For example, if a patient refused a critical anti-hypertensive or </w:t>
      </w:r>
      <w:r w:rsidRPr="00951F5D">
        <w:rPr>
          <w:noProof/>
        </w:rPr>
        <w:lastRenderedPageBreak/>
        <w:t xml:space="preserve">diabetic medication, their healthcare providers should ensure that the person truly understood the implications of that refusal and make every attempt to help the patient take their medication. Similarly, the goal here is to ensure that the patient understands that they are refusing a protective product that has been proven to reduce their infection risk. Escalating simply means asking a more senior or experienced leader or peer to attempt to communicate key concepts to your patient. An escalation pathway may include asking an expert peer champion, a nurse manager or director, or other member of unit or hospital leadership to speak to the patient about their refusal. </w:t>
      </w:r>
    </w:p>
    <w:p w14:paraId="3D02BFBD" w14:textId="61D867AB" w:rsidR="000B4A3A" w:rsidRPr="00951F5D" w:rsidRDefault="000B4A3A" w:rsidP="00492BDD">
      <w:pPr>
        <w:pStyle w:val="ListParagraph1"/>
        <w:numPr>
          <w:ilvl w:val="1"/>
          <w:numId w:val="39"/>
        </w:numPr>
        <w:rPr>
          <w:noProof/>
        </w:rPr>
      </w:pPr>
      <w:r w:rsidRPr="00951F5D">
        <w:rPr>
          <w:noProof/>
        </w:rPr>
        <w:t>In the ABATE Trial, escalation pathways were commonly used, to help explain and reinforce the importance of the protection and safety provided by targeted decolonization. If the patient refused after the concepts and purposes were clearly conveyed through more than one attempt by the primary nurse and through escalation to at least one other person, the refusal was accepted as well understood.</w:t>
      </w:r>
    </w:p>
    <w:p w14:paraId="7520B941" w14:textId="2FBE1C2D" w:rsidR="00F7470F" w:rsidRPr="00951F5D" w:rsidRDefault="00F7470F" w:rsidP="006470B4">
      <w:pPr>
        <w:pStyle w:val="Heading1"/>
      </w:pPr>
      <w:r w:rsidRPr="00951F5D">
        <w:t>References</w:t>
      </w:r>
    </w:p>
    <w:p w14:paraId="5D8CA1EE" w14:textId="37494624" w:rsidR="0009377F" w:rsidRDefault="002A759E" w:rsidP="00492BDD">
      <w:pPr>
        <w:pStyle w:val="References"/>
      </w:pPr>
      <w:r w:rsidRPr="005B06BC">
        <w:t xml:space="preserve">Huang SS, </w:t>
      </w:r>
      <w:proofErr w:type="spellStart"/>
      <w:r w:rsidRPr="00951F5D">
        <w:t>Septimus</w:t>
      </w:r>
      <w:proofErr w:type="spellEnd"/>
      <w:r w:rsidRPr="00951F5D">
        <w:t xml:space="preserve"> E, Kleinman K, </w:t>
      </w:r>
      <w:r w:rsidRPr="005B06BC">
        <w:t xml:space="preserve">et al. </w:t>
      </w:r>
      <w:r w:rsidRPr="00951F5D">
        <w:t xml:space="preserve">Chlorhexidine versus routine bathing to prevent multi drug-resistant organisms and all-cause bloodstream infection in general medical and surgical units: the ABATE Infection Cluster Randomized Trial. </w:t>
      </w:r>
      <w:r w:rsidRPr="005B06BC">
        <w:t>Lancet. 2019</w:t>
      </w:r>
      <w:r w:rsidRPr="00951F5D">
        <w:t>. Mar 23;</w:t>
      </w:r>
      <w:r w:rsidRPr="005B06BC">
        <w:t>393(10177):1205-</w:t>
      </w:r>
      <w:r w:rsidRPr="00951F5D">
        <w:t>15. PMID: 30850112</w:t>
      </w:r>
      <w:r w:rsidRPr="005B06BC">
        <w:t>.</w:t>
      </w:r>
    </w:p>
    <w:p w14:paraId="1114AFB1" w14:textId="51B0AE26" w:rsidR="009F734C" w:rsidRDefault="009F734C" w:rsidP="00846E22">
      <w:pPr>
        <w:spacing w:before="5520" w:after="0"/>
        <w:jc w:val="right"/>
      </w:pPr>
      <w:r>
        <w:t>AHRQ Pub. No. 20(22)-0036</w:t>
      </w:r>
    </w:p>
    <w:p w14:paraId="0215C77E" w14:textId="40C8D462" w:rsidR="009F734C" w:rsidRPr="005B06BC" w:rsidRDefault="009F734C" w:rsidP="009F734C">
      <w:pPr>
        <w:spacing w:after="0"/>
        <w:jc w:val="right"/>
      </w:pPr>
      <w:r>
        <w:t>March 2022</w:t>
      </w:r>
    </w:p>
    <w:sectPr w:rsidR="009F734C" w:rsidRPr="005B06BC" w:rsidSect="007E7D03">
      <w:footerReference w:type="default" r:id="rId11"/>
      <w:headerReference w:type="first" r:id="rId12"/>
      <w:footerReference w:type="first" r:id="rId13"/>
      <w:pgSz w:w="12240" w:h="15840"/>
      <w:pgMar w:top="1440" w:right="1440" w:bottom="108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F95CF5" w14:textId="77777777" w:rsidR="00277E3E" w:rsidRDefault="00277E3E" w:rsidP="0013359D">
      <w:pPr>
        <w:spacing w:after="0" w:line="240" w:lineRule="auto"/>
      </w:pPr>
      <w:r>
        <w:separator/>
      </w:r>
    </w:p>
  </w:endnote>
  <w:endnote w:type="continuationSeparator" w:id="0">
    <w:p w14:paraId="4AF26636" w14:textId="77777777" w:rsidR="00277E3E" w:rsidRDefault="00277E3E" w:rsidP="0013359D">
      <w:pPr>
        <w:spacing w:after="0" w:line="240" w:lineRule="auto"/>
      </w:pPr>
      <w:r>
        <w:continuationSeparator/>
      </w:r>
    </w:p>
  </w:endnote>
  <w:endnote w:type="continuationNotice" w:id="1">
    <w:p w14:paraId="763C905F" w14:textId="77777777" w:rsidR="00277E3E" w:rsidRDefault="00277E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3281094"/>
      <w:docPartObj>
        <w:docPartGallery w:val="Page Numbers (Bottom of Page)"/>
        <w:docPartUnique/>
      </w:docPartObj>
    </w:sdtPr>
    <w:sdtEndPr>
      <w:rPr>
        <w:noProof/>
      </w:rPr>
    </w:sdtEndPr>
    <w:sdtContent>
      <w:p w14:paraId="720901DB" w14:textId="2A9512B8" w:rsidR="00897358" w:rsidRDefault="00897358" w:rsidP="00897358">
        <w:pPr>
          <w:tabs>
            <w:tab w:val="left" w:pos="8010"/>
            <w:tab w:val="right" w:pos="10440"/>
          </w:tabs>
          <w:spacing w:after="0" w:line="240" w:lineRule="auto"/>
          <w:ind w:right="-1080"/>
          <w:rPr>
            <w:noProof/>
          </w:rPr>
        </w:pPr>
        <w:r w:rsidRPr="008842CF">
          <w:rPr>
            <w:noProof/>
          </w:rPr>
          <w:drawing>
            <wp:anchor distT="0" distB="0" distL="114300" distR="114300" simplePos="0" relativeHeight="251665408" behindDoc="1" locked="0" layoutInCell="1" allowOverlap="1" wp14:anchorId="3530C5C3" wp14:editId="3A13C205">
              <wp:simplePos x="0" y="0"/>
              <wp:positionH relativeFrom="page">
                <wp:posOffset>4688205</wp:posOffset>
              </wp:positionH>
              <wp:positionV relativeFrom="page">
                <wp:posOffset>9485630</wp:posOffset>
              </wp:positionV>
              <wp:extent cx="3291840" cy="768096"/>
              <wp:effectExtent l="0" t="0" r="3810" b="0"/>
              <wp:wrapNone/>
              <wp:docPr id="4" name="Picture 4"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10;&#10;Description automatically generated with low confidence"/>
                      <pic:cNvPicPr/>
                    </pic:nvPicPr>
                    <pic:blipFill rotWithShape="1">
                      <a:blip r:embed="rId1" cstate="print">
                        <a:extLst>
                          <a:ext uri="{28A0092B-C50C-407E-A947-70E740481C1C}">
                            <a14:useLocalDpi xmlns:a14="http://schemas.microsoft.com/office/drawing/2010/main" val="0"/>
                          </a:ext>
                        </a:extLst>
                      </a:blip>
                      <a:srcRect l="44551" t="90027"/>
                      <a:stretch/>
                    </pic:blipFill>
                    <pic:spPr bwMode="auto">
                      <a:xfrm>
                        <a:off x="0" y="0"/>
                        <a:ext cx="3291840" cy="7680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842CF">
          <w:t xml:space="preserve">Decolonization of </w:t>
        </w:r>
        <w:r>
          <w:t>N</w:t>
        </w:r>
        <w:r w:rsidRPr="008842CF">
          <w:t xml:space="preserve">on-ICU Patients </w:t>
        </w:r>
        <w:proofErr w:type="gramStart"/>
        <w:r w:rsidRPr="008842CF">
          <w:t>With</w:t>
        </w:r>
        <w:proofErr w:type="gramEnd"/>
        <w:r w:rsidRPr="008842CF">
          <w:t xml:space="preserve"> Devices</w:t>
        </w:r>
        <w:r>
          <w:tab/>
        </w:r>
        <w:r w:rsidR="00846E22">
          <w:t xml:space="preserve">    </w:t>
        </w:r>
        <w:r>
          <w:t>Protocol: Iodophor</w:t>
        </w:r>
        <w:r w:rsidRPr="008842CF">
          <w:tab/>
        </w:r>
        <w:r w:rsidRPr="008842CF">
          <w:fldChar w:fldCharType="begin"/>
        </w:r>
        <w:r w:rsidRPr="008842CF">
          <w:instrText xml:space="preserve"> PAGE   \* MERGEFORMAT </w:instrText>
        </w:r>
        <w:r w:rsidRPr="008842CF">
          <w:fldChar w:fldCharType="separate"/>
        </w:r>
        <w:r>
          <w:t>2</w:t>
        </w:r>
        <w:r w:rsidRPr="008842CF">
          <w:rPr>
            <w:noProof/>
          </w:rPr>
          <w:fldChar w:fldCharType="end"/>
        </w:r>
      </w:p>
    </w:sdtContent>
  </w:sdt>
  <w:p w14:paraId="0E9D4F95" w14:textId="77777777" w:rsidR="00985815" w:rsidRPr="00897358" w:rsidRDefault="00985815" w:rsidP="008973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2E65A" w14:textId="5ECF8F4B" w:rsidR="001602A3" w:rsidRPr="001602A3" w:rsidRDefault="001602A3" w:rsidP="001602A3">
    <w:pPr>
      <w:pStyle w:val="Footer"/>
      <w:jc w:val="right"/>
    </w:pPr>
    <w:r>
      <w:rPr>
        <w:noProof/>
      </w:rPr>
      <w:drawing>
        <wp:anchor distT="0" distB="0" distL="114300" distR="114300" simplePos="0" relativeHeight="251663360" behindDoc="1" locked="0" layoutInCell="1" allowOverlap="1" wp14:anchorId="0E67C466" wp14:editId="3DE641D7">
          <wp:simplePos x="0" y="0"/>
          <wp:positionH relativeFrom="page">
            <wp:align>left</wp:align>
          </wp:positionH>
          <wp:positionV relativeFrom="page">
            <wp:align>bottom</wp:align>
          </wp:positionV>
          <wp:extent cx="7863840" cy="969264"/>
          <wp:effectExtent l="0" t="0" r="3810" b="2540"/>
          <wp:wrapNone/>
          <wp:docPr id="7" name="Picture 7"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pic:nvPicPr>
                <pic:blipFill rotWithShape="1">
                  <a:blip r:embed="rId1">
                    <a:extLst>
                      <a:ext uri="{28A0092B-C50C-407E-A947-70E740481C1C}">
                        <a14:useLocalDpi xmlns:a14="http://schemas.microsoft.com/office/drawing/2010/main" val="0"/>
                      </a:ext>
                    </a:extLst>
                  </a:blip>
                  <a:srcRect l="860" t="9598" r="3242" b="22239"/>
                  <a:stretch/>
                </pic:blipFill>
                <pic:spPr bwMode="auto">
                  <a:xfrm>
                    <a:off x="0" y="0"/>
                    <a:ext cx="7863840" cy="969264"/>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0FDCD" w14:textId="77777777" w:rsidR="00277E3E" w:rsidRDefault="00277E3E" w:rsidP="0013359D">
      <w:pPr>
        <w:spacing w:after="0" w:line="240" w:lineRule="auto"/>
      </w:pPr>
      <w:r>
        <w:separator/>
      </w:r>
    </w:p>
  </w:footnote>
  <w:footnote w:type="continuationSeparator" w:id="0">
    <w:p w14:paraId="6A118318" w14:textId="77777777" w:rsidR="00277E3E" w:rsidRDefault="00277E3E" w:rsidP="0013359D">
      <w:pPr>
        <w:spacing w:after="0" w:line="240" w:lineRule="auto"/>
      </w:pPr>
      <w:r>
        <w:continuationSeparator/>
      </w:r>
    </w:p>
  </w:footnote>
  <w:footnote w:type="continuationNotice" w:id="1">
    <w:p w14:paraId="55CBCA1C" w14:textId="77777777" w:rsidR="00277E3E" w:rsidRDefault="00277E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C8007" w14:textId="01BD7675" w:rsidR="001602A3" w:rsidRPr="001602A3" w:rsidRDefault="001602A3" w:rsidP="001602A3">
    <w:pPr>
      <w:pStyle w:val="Header1"/>
      <w:spacing w:before="160"/>
      <w:rPr>
        <w:i w:val="0"/>
        <w:iCs/>
        <w:color w:val="auto"/>
        <w:sz w:val="52"/>
        <w:szCs w:val="52"/>
      </w:rPr>
    </w:pPr>
    <w:r w:rsidRPr="003152BE">
      <w:rPr>
        <w:i w:val="0"/>
        <w:iCs/>
        <w:color w:val="auto"/>
        <w:sz w:val="52"/>
        <w:szCs w:val="52"/>
      </w:rPr>
      <w:t xml:space="preserve">Decolonization of </w:t>
    </w:r>
    <w:r w:rsidRPr="003152BE">
      <w:rPr>
        <w:i w:val="0"/>
        <w:iCs/>
        <w:color w:val="auto"/>
        <w:sz w:val="52"/>
        <w:szCs w:val="52"/>
      </w:rPr>
      <w:br/>
      <w:t xml:space="preserve">Non-ICU Patients </w:t>
    </w:r>
    <w:proofErr w:type="gramStart"/>
    <w:r w:rsidRPr="003152BE">
      <w:rPr>
        <w:i w:val="0"/>
        <w:iCs/>
        <w:color w:val="auto"/>
        <w:sz w:val="52"/>
        <w:szCs w:val="52"/>
      </w:rPr>
      <w:t>With</w:t>
    </w:r>
    <w:proofErr w:type="gramEnd"/>
    <w:r w:rsidRPr="003152BE">
      <w:rPr>
        <w:i w:val="0"/>
        <w:iCs/>
        <w:color w:val="auto"/>
        <w:sz w:val="52"/>
        <w:szCs w:val="52"/>
      </w:rPr>
      <w:t xml:space="preserve"> Devices</w:t>
    </w:r>
    <w:r w:rsidRPr="003152BE">
      <w:rPr>
        <w:i w:val="0"/>
        <w:iCs/>
        <w:noProof/>
        <w:color w:val="auto"/>
        <w:sz w:val="52"/>
        <w:szCs w:val="52"/>
      </w:rPr>
      <w:drawing>
        <wp:anchor distT="0" distB="0" distL="114300" distR="114300" simplePos="0" relativeHeight="251661312" behindDoc="1" locked="0" layoutInCell="1" allowOverlap="1" wp14:anchorId="20D04189" wp14:editId="706EF384">
          <wp:simplePos x="0" y="0"/>
          <wp:positionH relativeFrom="page">
            <wp:posOffset>0</wp:posOffset>
          </wp:positionH>
          <wp:positionV relativeFrom="paragraph">
            <wp:posOffset>3258</wp:posOffset>
          </wp:positionV>
          <wp:extent cx="7872984" cy="1636776"/>
          <wp:effectExtent l="0" t="0" r="0" b="1905"/>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ackground patter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2984" cy="1636776"/>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E110C"/>
    <w:multiLevelType w:val="hybridMultilevel"/>
    <w:tmpl w:val="A58C5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E2D5C"/>
    <w:multiLevelType w:val="hybridMultilevel"/>
    <w:tmpl w:val="4B186AA2"/>
    <w:lvl w:ilvl="0" w:tplc="EF1469CC">
      <w:start w:val="1"/>
      <w:numFmt w:val="decimal"/>
      <w:lvlText w:val="%1."/>
      <w:lvlJc w:val="left"/>
      <w:pPr>
        <w:ind w:left="1128" w:hanging="360"/>
      </w:pPr>
      <w:rPr>
        <w:rFonts w:hint="default"/>
      </w:rPr>
    </w:lvl>
    <w:lvl w:ilvl="1" w:tplc="04090019">
      <w:start w:val="1"/>
      <w:numFmt w:val="lowerLetter"/>
      <w:lvlText w:val="%2."/>
      <w:lvlJc w:val="left"/>
      <w:pPr>
        <w:ind w:left="1848" w:hanging="360"/>
      </w:pPr>
    </w:lvl>
    <w:lvl w:ilvl="2" w:tplc="1A766A58">
      <w:numFmt w:val="bullet"/>
      <w:lvlText w:val="•"/>
      <w:lvlJc w:val="left"/>
      <w:pPr>
        <w:ind w:left="3108" w:hanging="720"/>
      </w:pPr>
      <w:rPr>
        <w:rFonts w:ascii="Calibri" w:eastAsia="Calibri" w:hAnsi="Calibri" w:cs="Calibri" w:hint="default"/>
      </w:rPr>
    </w:lvl>
    <w:lvl w:ilvl="3" w:tplc="57DE48A2">
      <w:start w:val="1"/>
      <w:numFmt w:val="upperLetter"/>
      <w:lvlText w:val="%4."/>
      <w:lvlJc w:val="left"/>
      <w:pPr>
        <w:ind w:left="3648" w:hanging="720"/>
      </w:pPr>
      <w:rPr>
        <w:rFonts w:hint="default"/>
      </w:r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2" w15:restartNumberingAfterBreak="0">
    <w:nsid w:val="14680BBD"/>
    <w:multiLevelType w:val="hybridMultilevel"/>
    <w:tmpl w:val="4BD0032A"/>
    <w:lvl w:ilvl="0" w:tplc="04090003">
      <w:start w:val="1"/>
      <w:numFmt w:val="bullet"/>
      <w:lvlText w:val="o"/>
      <w:lvlJc w:val="left"/>
      <w:pPr>
        <w:ind w:left="1440" w:hanging="360"/>
      </w:pPr>
      <w:rPr>
        <w:rFonts w:ascii="Courier New" w:hAnsi="Courier New" w:cs="Courier New"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F17A6E"/>
    <w:multiLevelType w:val="hybridMultilevel"/>
    <w:tmpl w:val="4D2E49B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A6972DA"/>
    <w:multiLevelType w:val="hybridMultilevel"/>
    <w:tmpl w:val="0B5629DE"/>
    <w:lvl w:ilvl="0" w:tplc="6E7AB778">
      <w:start w:val="1"/>
      <w:numFmt w:val="decimal"/>
      <w:pStyle w:val="Reference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32214D"/>
    <w:multiLevelType w:val="hybridMultilevel"/>
    <w:tmpl w:val="5866DD30"/>
    <w:lvl w:ilvl="0" w:tplc="04090005">
      <w:start w:val="1"/>
      <w:numFmt w:val="bullet"/>
      <w:lvlText w:val=""/>
      <w:lvlJc w:val="left"/>
      <w:pPr>
        <w:ind w:left="1800" w:hanging="360"/>
      </w:pPr>
      <w:rPr>
        <w:rFonts w:ascii="Wingdings" w:hAnsi="Wingdings" w:hint="default"/>
      </w:rPr>
    </w:lvl>
    <w:lvl w:ilvl="1" w:tplc="0409000B">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5B377F7"/>
    <w:multiLevelType w:val="hybridMultilevel"/>
    <w:tmpl w:val="286C0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7E6CCE"/>
    <w:multiLevelType w:val="hybridMultilevel"/>
    <w:tmpl w:val="E66E9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C8284D"/>
    <w:multiLevelType w:val="hybridMultilevel"/>
    <w:tmpl w:val="79926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4162F1"/>
    <w:multiLevelType w:val="hybridMultilevel"/>
    <w:tmpl w:val="943C4DCC"/>
    <w:lvl w:ilvl="0" w:tplc="0B5C30B8">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E067A3"/>
    <w:multiLevelType w:val="hybridMultilevel"/>
    <w:tmpl w:val="30F231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1755C6"/>
    <w:multiLevelType w:val="hybridMultilevel"/>
    <w:tmpl w:val="4B186AA2"/>
    <w:lvl w:ilvl="0" w:tplc="EF1469CC">
      <w:start w:val="1"/>
      <w:numFmt w:val="decimal"/>
      <w:lvlText w:val="%1."/>
      <w:lvlJc w:val="left"/>
      <w:pPr>
        <w:ind w:left="1128" w:hanging="360"/>
      </w:pPr>
      <w:rPr>
        <w:rFonts w:hint="default"/>
      </w:rPr>
    </w:lvl>
    <w:lvl w:ilvl="1" w:tplc="04090019">
      <w:start w:val="1"/>
      <w:numFmt w:val="lowerLetter"/>
      <w:lvlText w:val="%2."/>
      <w:lvlJc w:val="left"/>
      <w:pPr>
        <w:ind w:left="1848" w:hanging="360"/>
      </w:pPr>
    </w:lvl>
    <w:lvl w:ilvl="2" w:tplc="1A766A58">
      <w:numFmt w:val="bullet"/>
      <w:lvlText w:val="•"/>
      <w:lvlJc w:val="left"/>
      <w:pPr>
        <w:ind w:left="3108" w:hanging="720"/>
      </w:pPr>
      <w:rPr>
        <w:rFonts w:ascii="Calibri" w:eastAsia="Calibri" w:hAnsi="Calibri" w:cs="Calibri" w:hint="default"/>
      </w:rPr>
    </w:lvl>
    <w:lvl w:ilvl="3" w:tplc="57DE48A2">
      <w:start w:val="1"/>
      <w:numFmt w:val="upperLetter"/>
      <w:lvlText w:val="%4."/>
      <w:lvlJc w:val="left"/>
      <w:pPr>
        <w:ind w:left="3648" w:hanging="720"/>
      </w:pPr>
      <w:rPr>
        <w:rFonts w:hint="default"/>
      </w:r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12" w15:restartNumberingAfterBreak="0">
    <w:nsid w:val="308C30AF"/>
    <w:multiLevelType w:val="hybridMultilevel"/>
    <w:tmpl w:val="4B186AA2"/>
    <w:lvl w:ilvl="0" w:tplc="EF1469CC">
      <w:start w:val="1"/>
      <w:numFmt w:val="decimal"/>
      <w:lvlText w:val="%1."/>
      <w:lvlJc w:val="left"/>
      <w:pPr>
        <w:ind w:left="1128" w:hanging="360"/>
      </w:pPr>
      <w:rPr>
        <w:rFonts w:hint="default"/>
      </w:rPr>
    </w:lvl>
    <w:lvl w:ilvl="1" w:tplc="04090019">
      <w:start w:val="1"/>
      <w:numFmt w:val="lowerLetter"/>
      <w:lvlText w:val="%2."/>
      <w:lvlJc w:val="left"/>
      <w:pPr>
        <w:ind w:left="1848" w:hanging="360"/>
      </w:pPr>
    </w:lvl>
    <w:lvl w:ilvl="2" w:tplc="1A766A58">
      <w:numFmt w:val="bullet"/>
      <w:lvlText w:val="•"/>
      <w:lvlJc w:val="left"/>
      <w:pPr>
        <w:ind w:left="3108" w:hanging="720"/>
      </w:pPr>
      <w:rPr>
        <w:rFonts w:ascii="Calibri" w:eastAsia="Calibri" w:hAnsi="Calibri" w:cs="Calibri" w:hint="default"/>
      </w:rPr>
    </w:lvl>
    <w:lvl w:ilvl="3" w:tplc="57DE48A2">
      <w:start w:val="1"/>
      <w:numFmt w:val="upperLetter"/>
      <w:lvlText w:val="%4."/>
      <w:lvlJc w:val="left"/>
      <w:pPr>
        <w:ind w:left="3648" w:hanging="720"/>
      </w:pPr>
      <w:rPr>
        <w:rFonts w:hint="default"/>
      </w:r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13" w15:restartNumberingAfterBreak="0">
    <w:nsid w:val="321F0DC6"/>
    <w:multiLevelType w:val="hybridMultilevel"/>
    <w:tmpl w:val="67663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F23627"/>
    <w:multiLevelType w:val="hybridMultilevel"/>
    <w:tmpl w:val="67663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DA18DD"/>
    <w:multiLevelType w:val="hybridMultilevel"/>
    <w:tmpl w:val="11E87164"/>
    <w:lvl w:ilvl="0" w:tplc="5DCCBB4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0D3481"/>
    <w:multiLevelType w:val="hybridMultilevel"/>
    <w:tmpl w:val="99C24696"/>
    <w:lvl w:ilvl="0" w:tplc="E0525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9328BA"/>
    <w:multiLevelType w:val="hybridMultilevel"/>
    <w:tmpl w:val="4EF809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A1F70C8"/>
    <w:multiLevelType w:val="hybridMultilevel"/>
    <w:tmpl w:val="839A3D5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B586BE6"/>
    <w:multiLevelType w:val="hybridMultilevel"/>
    <w:tmpl w:val="203E6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F851B4"/>
    <w:multiLevelType w:val="hybridMultilevel"/>
    <w:tmpl w:val="7E8058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DD72C3A"/>
    <w:multiLevelType w:val="hybridMultilevel"/>
    <w:tmpl w:val="DFA8B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FB508C"/>
    <w:multiLevelType w:val="hybridMultilevel"/>
    <w:tmpl w:val="0688F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B0680A"/>
    <w:multiLevelType w:val="hybridMultilevel"/>
    <w:tmpl w:val="4E98830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2E3F71"/>
    <w:multiLevelType w:val="hybridMultilevel"/>
    <w:tmpl w:val="6550133C"/>
    <w:lvl w:ilvl="0" w:tplc="04090003">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A6832D7"/>
    <w:multiLevelType w:val="hybridMultilevel"/>
    <w:tmpl w:val="62FCEF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D66B81"/>
    <w:multiLevelType w:val="hybridMultilevel"/>
    <w:tmpl w:val="08D427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35717A"/>
    <w:multiLevelType w:val="hybridMultilevel"/>
    <w:tmpl w:val="2E4C976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891D87"/>
    <w:multiLevelType w:val="multilevel"/>
    <w:tmpl w:val="E2AA5310"/>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cs="Courier New" w:hint="default"/>
      </w:rPr>
    </w:lvl>
    <w:lvl w:ilvl="3">
      <w:start w:val="1"/>
      <w:numFmt w:val="bullet"/>
      <w:lvlText w:val=""/>
      <w:lvlJc w:val="left"/>
      <w:pPr>
        <w:ind w:left="2880" w:hanging="360"/>
      </w:pPr>
      <w:rPr>
        <w:rFonts w:ascii="Wingdings 2" w:hAnsi="Wingdings 2"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9" w15:restartNumberingAfterBreak="0">
    <w:nsid w:val="537E5BF1"/>
    <w:multiLevelType w:val="hybridMultilevel"/>
    <w:tmpl w:val="6C7AEB0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Aria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30292E"/>
    <w:multiLevelType w:val="hybridMultilevel"/>
    <w:tmpl w:val="0030B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CF0434"/>
    <w:multiLevelType w:val="hybridMultilevel"/>
    <w:tmpl w:val="B6AC5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092430"/>
    <w:multiLevelType w:val="hybridMultilevel"/>
    <w:tmpl w:val="F774CFEC"/>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1A766A58">
      <w:numFmt w:val="bullet"/>
      <w:lvlText w:val="•"/>
      <w:lvlJc w:val="left"/>
      <w:pPr>
        <w:ind w:left="2700" w:hanging="720"/>
      </w:pPr>
      <w:rPr>
        <w:rFonts w:ascii="Calibri" w:eastAsia="Calibri" w:hAnsi="Calibri" w:cs="Calibri" w:hint="default"/>
      </w:rPr>
    </w:lvl>
    <w:lvl w:ilvl="3" w:tplc="57DE48A2">
      <w:start w:val="1"/>
      <w:numFmt w:val="upperLetter"/>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317ED5"/>
    <w:multiLevelType w:val="hybridMultilevel"/>
    <w:tmpl w:val="045C9370"/>
    <w:lvl w:ilvl="0" w:tplc="C7DAA658">
      <w:start w:val="1"/>
      <w:numFmt w:val="decimal"/>
      <w:lvlText w:val="%1."/>
      <w:lvlJc w:val="left"/>
      <w:pPr>
        <w:ind w:left="720" w:hanging="360"/>
      </w:pPr>
      <w:rPr>
        <w:rFonts w:ascii="Calibri" w:eastAsiaTheme="minorHAnsi" w:hAnsi="Calibri" w:cs="Calibr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C50111"/>
    <w:multiLevelType w:val="hybridMultilevel"/>
    <w:tmpl w:val="262A8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DA0E96"/>
    <w:multiLevelType w:val="hybridMultilevel"/>
    <w:tmpl w:val="727C8E7C"/>
    <w:lvl w:ilvl="0" w:tplc="5DCCBB4E">
      <w:start w:val="1"/>
      <w:numFmt w:val="decimal"/>
      <w:lvlText w:val="%1)"/>
      <w:lvlJc w:val="left"/>
      <w:pPr>
        <w:ind w:left="1080" w:hanging="360"/>
      </w:pPr>
      <w:rPr>
        <w:rFonts w:hint="default"/>
      </w:rPr>
    </w:lvl>
    <w:lvl w:ilvl="1" w:tplc="0409000F">
      <w:start w:val="1"/>
      <w:numFmt w:val="decimal"/>
      <w:lvlText w:val="%2."/>
      <w:lvlJc w:val="left"/>
      <w:pPr>
        <w:ind w:left="1800" w:hanging="360"/>
      </w:pPr>
    </w:lvl>
    <w:lvl w:ilvl="2" w:tplc="04090019">
      <w:start w:val="1"/>
      <w:numFmt w:val="lowerLetter"/>
      <w:lvlText w:val="%3."/>
      <w:lvlJc w:val="left"/>
      <w:pPr>
        <w:ind w:left="270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AAA285C"/>
    <w:multiLevelType w:val="hybridMultilevel"/>
    <w:tmpl w:val="B148C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A365B1"/>
    <w:multiLevelType w:val="hybridMultilevel"/>
    <w:tmpl w:val="22941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3">
      <w:start w:val="1"/>
      <w:numFmt w:val="bullet"/>
      <w:lvlText w:val="o"/>
      <w:lvlJc w:val="left"/>
      <w:pPr>
        <w:ind w:left="2160" w:hanging="180"/>
      </w:pPr>
      <w:rPr>
        <w:rFonts w:ascii="Courier New" w:hAnsi="Courier New" w:cs="Aria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DC073C"/>
    <w:multiLevelType w:val="hybridMultilevel"/>
    <w:tmpl w:val="8256C30C"/>
    <w:lvl w:ilvl="0" w:tplc="04090001">
      <w:start w:val="1"/>
      <w:numFmt w:val="bullet"/>
      <w:lvlText w:val=""/>
      <w:lvlJc w:val="left"/>
      <w:pPr>
        <w:ind w:left="720" w:hanging="360"/>
      </w:pPr>
      <w:rPr>
        <w:rFonts w:ascii="Symbol" w:hAnsi="Symbol" w:hint="default"/>
      </w:rPr>
    </w:lvl>
    <w:lvl w:ilvl="1" w:tplc="04090003">
      <w:start w:val="1"/>
      <w:numFmt w:val="bullet"/>
      <w:pStyle w:val="Subtitle"/>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8"/>
  </w:num>
  <w:num w:numId="3">
    <w:abstractNumId w:val="21"/>
  </w:num>
  <w:num w:numId="4">
    <w:abstractNumId w:val="20"/>
  </w:num>
  <w:num w:numId="5">
    <w:abstractNumId w:val="22"/>
  </w:num>
  <w:num w:numId="6">
    <w:abstractNumId w:val="6"/>
  </w:num>
  <w:num w:numId="7">
    <w:abstractNumId w:val="7"/>
  </w:num>
  <w:num w:numId="8">
    <w:abstractNumId w:val="36"/>
  </w:num>
  <w:num w:numId="9">
    <w:abstractNumId w:val="0"/>
  </w:num>
  <w:num w:numId="10">
    <w:abstractNumId w:val="2"/>
  </w:num>
  <w:num w:numId="11">
    <w:abstractNumId w:val="17"/>
  </w:num>
  <w:num w:numId="12">
    <w:abstractNumId w:val="19"/>
  </w:num>
  <w:num w:numId="13">
    <w:abstractNumId w:val="23"/>
  </w:num>
  <w:num w:numId="14">
    <w:abstractNumId w:val="31"/>
  </w:num>
  <w:num w:numId="15">
    <w:abstractNumId w:val="3"/>
  </w:num>
  <w:num w:numId="16">
    <w:abstractNumId w:val="16"/>
  </w:num>
  <w:num w:numId="17">
    <w:abstractNumId w:val="30"/>
  </w:num>
  <w:num w:numId="18">
    <w:abstractNumId w:val="34"/>
  </w:num>
  <w:num w:numId="19">
    <w:abstractNumId w:val="11"/>
  </w:num>
  <w:num w:numId="20">
    <w:abstractNumId w:val="10"/>
  </w:num>
  <w:num w:numId="21">
    <w:abstractNumId w:val="5"/>
  </w:num>
  <w:num w:numId="22">
    <w:abstractNumId w:val="18"/>
  </w:num>
  <w:num w:numId="23">
    <w:abstractNumId w:val="24"/>
  </w:num>
  <w:num w:numId="24">
    <w:abstractNumId w:val="26"/>
  </w:num>
  <w:num w:numId="25">
    <w:abstractNumId w:val="13"/>
  </w:num>
  <w:num w:numId="26">
    <w:abstractNumId w:val="14"/>
  </w:num>
  <w:num w:numId="27">
    <w:abstractNumId w:val="9"/>
  </w:num>
  <w:num w:numId="28">
    <w:abstractNumId w:val="27"/>
  </w:num>
  <w:num w:numId="29">
    <w:abstractNumId w:val="29"/>
  </w:num>
  <w:num w:numId="30">
    <w:abstractNumId w:val="37"/>
  </w:num>
  <w:num w:numId="31">
    <w:abstractNumId w:val="32"/>
  </w:num>
  <w:num w:numId="32">
    <w:abstractNumId w:val="12"/>
  </w:num>
  <w:num w:numId="33">
    <w:abstractNumId w:val="33"/>
  </w:num>
  <w:num w:numId="34">
    <w:abstractNumId w:val="15"/>
  </w:num>
  <w:num w:numId="35">
    <w:abstractNumId w:val="4"/>
  </w:num>
  <w:num w:numId="36">
    <w:abstractNumId w:val="1"/>
  </w:num>
  <w:num w:numId="37">
    <w:abstractNumId w:val="35"/>
  </w:num>
  <w:num w:numId="38">
    <w:abstractNumId w:val="8"/>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915"/>
    <w:rsid w:val="00007D71"/>
    <w:rsid w:val="00017F81"/>
    <w:rsid w:val="000316B4"/>
    <w:rsid w:val="0003353E"/>
    <w:rsid w:val="000352D0"/>
    <w:rsid w:val="0004218B"/>
    <w:rsid w:val="00055BB1"/>
    <w:rsid w:val="00055ED8"/>
    <w:rsid w:val="00061240"/>
    <w:rsid w:val="00074112"/>
    <w:rsid w:val="00085419"/>
    <w:rsid w:val="00087F8A"/>
    <w:rsid w:val="0009377F"/>
    <w:rsid w:val="000977C2"/>
    <w:rsid w:val="000A134E"/>
    <w:rsid w:val="000A364A"/>
    <w:rsid w:val="000B4A3A"/>
    <w:rsid w:val="000C0AAE"/>
    <w:rsid w:val="000F57F0"/>
    <w:rsid w:val="00100279"/>
    <w:rsid w:val="00105BD3"/>
    <w:rsid w:val="00130F8B"/>
    <w:rsid w:val="0013359D"/>
    <w:rsid w:val="00134CE8"/>
    <w:rsid w:val="00136837"/>
    <w:rsid w:val="00140457"/>
    <w:rsid w:val="00142C1C"/>
    <w:rsid w:val="001602A3"/>
    <w:rsid w:val="00161628"/>
    <w:rsid w:val="00175FD6"/>
    <w:rsid w:val="001850DA"/>
    <w:rsid w:val="00190DDD"/>
    <w:rsid w:val="001A1381"/>
    <w:rsid w:val="001F3849"/>
    <w:rsid w:val="00265C0E"/>
    <w:rsid w:val="0027570B"/>
    <w:rsid w:val="00277E3E"/>
    <w:rsid w:val="00284C5B"/>
    <w:rsid w:val="00285A06"/>
    <w:rsid w:val="002A4D4D"/>
    <w:rsid w:val="002A735F"/>
    <w:rsid w:val="002A759E"/>
    <w:rsid w:val="002D5DF7"/>
    <w:rsid w:val="002D7266"/>
    <w:rsid w:val="002E38A8"/>
    <w:rsid w:val="002E6F9D"/>
    <w:rsid w:val="00316A88"/>
    <w:rsid w:val="00325F1F"/>
    <w:rsid w:val="00326BB5"/>
    <w:rsid w:val="00331A99"/>
    <w:rsid w:val="00341169"/>
    <w:rsid w:val="00362DE7"/>
    <w:rsid w:val="0038168B"/>
    <w:rsid w:val="00383E2A"/>
    <w:rsid w:val="003856E8"/>
    <w:rsid w:val="003A082D"/>
    <w:rsid w:val="003A746A"/>
    <w:rsid w:val="003B2171"/>
    <w:rsid w:val="003B41F7"/>
    <w:rsid w:val="003E2DD2"/>
    <w:rsid w:val="003F416C"/>
    <w:rsid w:val="003F50A4"/>
    <w:rsid w:val="00403DDE"/>
    <w:rsid w:val="00405D55"/>
    <w:rsid w:val="00412B36"/>
    <w:rsid w:val="0041386D"/>
    <w:rsid w:val="00420A9E"/>
    <w:rsid w:val="004317F3"/>
    <w:rsid w:val="004434CE"/>
    <w:rsid w:val="00443B19"/>
    <w:rsid w:val="00451A8A"/>
    <w:rsid w:val="00461791"/>
    <w:rsid w:val="00464353"/>
    <w:rsid w:val="00492BDD"/>
    <w:rsid w:val="00497C13"/>
    <w:rsid w:val="004A4EF9"/>
    <w:rsid w:val="004B2B9C"/>
    <w:rsid w:val="004C0918"/>
    <w:rsid w:val="004C5D1F"/>
    <w:rsid w:val="004D18C0"/>
    <w:rsid w:val="004D1A2E"/>
    <w:rsid w:val="004F41B7"/>
    <w:rsid w:val="00503CBB"/>
    <w:rsid w:val="00513CB6"/>
    <w:rsid w:val="00525EA6"/>
    <w:rsid w:val="00534EF8"/>
    <w:rsid w:val="00543685"/>
    <w:rsid w:val="00553FC6"/>
    <w:rsid w:val="00576FE4"/>
    <w:rsid w:val="00585104"/>
    <w:rsid w:val="00594D87"/>
    <w:rsid w:val="00596AC2"/>
    <w:rsid w:val="005B06BC"/>
    <w:rsid w:val="005C58E7"/>
    <w:rsid w:val="005C5C61"/>
    <w:rsid w:val="005C7A42"/>
    <w:rsid w:val="0062086A"/>
    <w:rsid w:val="00636408"/>
    <w:rsid w:val="006470B4"/>
    <w:rsid w:val="00650D1B"/>
    <w:rsid w:val="0065426A"/>
    <w:rsid w:val="00671C73"/>
    <w:rsid w:val="0067374E"/>
    <w:rsid w:val="00676293"/>
    <w:rsid w:val="006A3CBB"/>
    <w:rsid w:val="006B03D1"/>
    <w:rsid w:val="006C0E34"/>
    <w:rsid w:val="006C242E"/>
    <w:rsid w:val="006C79CD"/>
    <w:rsid w:val="006D05C6"/>
    <w:rsid w:val="006D60C3"/>
    <w:rsid w:val="006F3E79"/>
    <w:rsid w:val="00704510"/>
    <w:rsid w:val="00706AE0"/>
    <w:rsid w:val="00714915"/>
    <w:rsid w:val="00727D79"/>
    <w:rsid w:val="00745F99"/>
    <w:rsid w:val="00752B64"/>
    <w:rsid w:val="00755BCC"/>
    <w:rsid w:val="0076048F"/>
    <w:rsid w:val="00770587"/>
    <w:rsid w:val="00780EAE"/>
    <w:rsid w:val="007A3ADE"/>
    <w:rsid w:val="007A6FF4"/>
    <w:rsid w:val="007A7CD3"/>
    <w:rsid w:val="007B6CFF"/>
    <w:rsid w:val="007D483E"/>
    <w:rsid w:val="007E5FBE"/>
    <w:rsid w:val="007E7D03"/>
    <w:rsid w:val="007F24E1"/>
    <w:rsid w:val="007F26DA"/>
    <w:rsid w:val="00826883"/>
    <w:rsid w:val="0084232C"/>
    <w:rsid w:val="00846E22"/>
    <w:rsid w:val="00864E39"/>
    <w:rsid w:val="008729A6"/>
    <w:rsid w:val="0087688B"/>
    <w:rsid w:val="008951AA"/>
    <w:rsid w:val="00897358"/>
    <w:rsid w:val="008B067F"/>
    <w:rsid w:val="008B1490"/>
    <w:rsid w:val="008B4FA5"/>
    <w:rsid w:val="008C04EC"/>
    <w:rsid w:val="009121D2"/>
    <w:rsid w:val="009123EC"/>
    <w:rsid w:val="00921EC8"/>
    <w:rsid w:val="00945995"/>
    <w:rsid w:val="00947E6E"/>
    <w:rsid w:val="00951F5D"/>
    <w:rsid w:val="0096375A"/>
    <w:rsid w:val="009657E0"/>
    <w:rsid w:val="0097486D"/>
    <w:rsid w:val="009779AE"/>
    <w:rsid w:val="009847C1"/>
    <w:rsid w:val="00985815"/>
    <w:rsid w:val="009923B1"/>
    <w:rsid w:val="009A03E9"/>
    <w:rsid w:val="009D10E3"/>
    <w:rsid w:val="009D5292"/>
    <w:rsid w:val="009D7B35"/>
    <w:rsid w:val="009F0D5A"/>
    <w:rsid w:val="009F734C"/>
    <w:rsid w:val="00A025E0"/>
    <w:rsid w:val="00A11210"/>
    <w:rsid w:val="00A20CFB"/>
    <w:rsid w:val="00A2677A"/>
    <w:rsid w:val="00A44E88"/>
    <w:rsid w:val="00A4575E"/>
    <w:rsid w:val="00A67720"/>
    <w:rsid w:val="00A80BA2"/>
    <w:rsid w:val="00A95C1E"/>
    <w:rsid w:val="00AA060E"/>
    <w:rsid w:val="00AA7CB4"/>
    <w:rsid w:val="00AB181D"/>
    <w:rsid w:val="00B13B15"/>
    <w:rsid w:val="00B15E66"/>
    <w:rsid w:val="00B245AC"/>
    <w:rsid w:val="00B246DA"/>
    <w:rsid w:val="00B25A3A"/>
    <w:rsid w:val="00B31733"/>
    <w:rsid w:val="00B34AC7"/>
    <w:rsid w:val="00B402BF"/>
    <w:rsid w:val="00B548F9"/>
    <w:rsid w:val="00B56EEC"/>
    <w:rsid w:val="00B76772"/>
    <w:rsid w:val="00B81D51"/>
    <w:rsid w:val="00BB2F89"/>
    <w:rsid w:val="00C41DC9"/>
    <w:rsid w:val="00C523CD"/>
    <w:rsid w:val="00C5282E"/>
    <w:rsid w:val="00C53A43"/>
    <w:rsid w:val="00C85A85"/>
    <w:rsid w:val="00C90357"/>
    <w:rsid w:val="00C91275"/>
    <w:rsid w:val="00C94FC9"/>
    <w:rsid w:val="00C95D2E"/>
    <w:rsid w:val="00CB0CD3"/>
    <w:rsid w:val="00CC7627"/>
    <w:rsid w:val="00D1406B"/>
    <w:rsid w:val="00D22208"/>
    <w:rsid w:val="00D277D1"/>
    <w:rsid w:val="00D31842"/>
    <w:rsid w:val="00D47030"/>
    <w:rsid w:val="00D54263"/>
    <w:rsid w:val="00D55CBF"/>
    <w:rsid w:val="00D60C7D"/>
    <w:rsid w:val="00D65FA0"/>
    <w:rsid w:val="00DC685F"/>
    <w:rsid w:val="00DE797A"/>
    <w:rsid w:val="00E038DC"/>
    <w:rsid w:val="00E053C9"/>
    <w:rsid w:val="00E27DBC"/>
    <w:rsid w:val="00E41519"/>
    <w:rsid w:val="00E51655"/>
    <w:rsid w:val="00E51CC3"/>
    <w:rsid w:val="00E56FED"/>
    <w:rsid w:val="00E67F2F"/>
    <w:rsid w:val="00E96346"/>
    <w:rsid w:val="00EA462A"/>
    <w:rsid w:val="00EB29EB"/>
    <w:rsid w:val="00EC457A"/>
    <w:rsid w:val="00EC551E"/>
    <w:rsid w:val="00EE3F3F"/>
    <w:rsid w:val="00EF2DD1"/>
    <w:rsid w:val="00F302EF"/>
    <w:rsid w:val="00F4312D"/>
    <w:rsid w:val="00F43558"/>
    <w:rsid w:val="00F50DD8"/>
    <w:rsid w:val="00F60EB7"/>
    <w:rsid w:val="00F65577"/>
    <w:rsid w:val="00F730D9"/>
    <w:rsid w:val="00F7470F"/>
    <w:rsid w:val="00F84E5F"/>
    <w:rsid w:val="00F87D6D"/>
    <w:rsid w:val="00FC4F82"/>
    <w:rsid w:val="00FC6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0A987"/>
  <w15:chartTrackingRefBased/>
  <w15:docId w15:val="{14F64380-B34B-44EC-9FA6-842B76755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915"/>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492BDD"/>
    <w:pPr>
      <w:tabs>
        <w:tab w:val="left" w:pos="8460"/>
        <w:tab w:val="left" w:pos="9090"/>
      </w:tabs>
      <w:spacing w:before="480" w:after="0" w:line="240" w:lineRule="auto"/>
      <w:outlineLvl w:val="0"/>
    </w:pPr>
    <w:rPr>
      <w:rFonts w:asciiTheme="minorHAnsi" w:eastAsiaTheme="minorHAnsi" w:hAnsiTheme="minorHAnsi" w:cstheme="minorBidi"/>
      <w:b/>
      <w:bCs/>
      <w:color w:val="0070C0"/>
      <w:sz w:val="28"/>
      <w:szCs w:val="28"/>
    </w:rPr>
  </w:style>
  <w:style w:type="paragraph" w:styleId="Heading2">
    <w:name w:val="heading 2"/>
    <w:basedOn w:val="ParagraphtextCalibri"/>
    <w:next w:val="Normal"/>
    <w:link w:val="Heading2Char"/>
    <w:uiPriority w:val="9"/>
    <w:unhideWhenUsed/>
    <w:qFormat/>
    <w:rsid w:val="00492BDD"/>
    <w:pPr>
      <w:outlineLvl w:val="1"/>
    </w:pPr>
    <w:rPr>
      <w:b/>
      <w:bCs/>
    </w:rPr>
  </w:style>
  <w:style w:type="paragraph" w:styleId="Heading5">
    <w:name w:val="heading 5"/>
    <w:basedOn w:val="Normal"/>
    <w:next w:val="Normal"/>
    <w:link w:val="Heading5Char"/>
    <w:uiPriority w:val="9"/>
    <w:unhideWhenUsed/>
    <w:qFormat/>
    <w:rsid w:val="00714915"/>
    <w:pPr>
      <w:keepNext/>
      <w:keepLines/>
      <w:spacing w:before="200" w:after="0"/>
      <w:outlineLvl w:val="4"/>
    </w:pPr>
    <w:rPr>
      <w:rFonts w:ascii="Cambria" w:eastAsia="Times New Roman"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14915"/>
    <w:rPr>
      <w:rFonts w:ascii="Cambria" w:eastAsia="Times New Roman" w:hAnsi="Cambria" w:cs="Times New Roman"/>
      <w:color w:val="243F60"/>
      <w:sz w:val="20"/>
      <w:szCs w:val="20"/>
      <w:lang w:val="x-none" w:eastAsia="x-none"/>
    </w:rPr>
  </w:style>
  <w:style w:type="character" w:styleId="Hyperlink">
    <w:name w:val="Hyperlink"/>
    <w:uiPriority w:val="99"/>
    <w:unhideWhenUsed/>
    <w:rsid w:val="00714915"/>
    <w:rPr>
      <w:color w:val="0000FF"/>
      <w:u w:val="single"/>
    </w:rPr>
  </w:style>
  <w:style w:type="character" w:styleId="CommentReference">
    <w:name w:val="annotation reference"/>
    <w:uiPriority w:val="99"/>
    <w:semiHidden/>
    <w:unhideWhenUsed/>
    <w:rsid w:val="00714915"/>
    <w:rPr>
      <w:sz w:val="16"/>
      <w:szCs w:val="16"/>
    </w:rPr>
  </w:style>
  <w:style w:type="paragraph" w:styleId="CommentText">
    <w:name w:val="annotation text"/>
    <w:basedOn w:val="Normal"/>
    <w:link w:val="CommentTextChar"/>
    <w:uiPriority w:val="99"/>
    <w:semiHidden/>
    <w:unhideWhenUsed/>
    <w:rsid w:val="00714915"/>
    <w:rPr>
      <w:sz w:val="20"/>
      <w:szCs w:val="20"/>
    </w:rPr>
  </w:style>
  <w:style w:type="character" w:customStyle="1" w:styleId="CommentTextChar">
    <w:name w:val="Comment Text Char"/>
    <w:basedOn w:val="DefaultParagraphFont"/>
    <w:link w:val="CommentText"/>
    <w:uiPriority w:val="99"/>
    <w:semiHidden/>
    <w:rsid w:val="00714915"/>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7149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915"/>
    <w:rPr>
      <w:rFonts w:ascii="Segoe UI" w:eastAsia="Calibri" w:hAnsi="Segoe UI" w:cs="Segoe UI"/>
      <w:sz w:val="18"/>
      <w:szCs w:val="18"/>
    </w:rPr>
  </w:style>
  <w:style w:type="paragraph" w:styleId="ListParagraph">
    <w:name w:val="List Paragraph"/>
    <w:basedOn w:val="Normal"/>
    <w:uiPriority w:val="34"/>
    <w:qFormat/>
    <w:rsid w:val="00755BCC"/>
    <w:pPr>
      <w:spacing w:after="0" w:line="240" w:lineRule="auto"/>
      <w:ind w:left="720"/>
      <w:contextualSpacing/>
    </w:pPr>
    <w:rPr>
      <w:rFonts w:ascii="Times New Roman" w:eastAsia="Times New Roman" w:hAnsi="Times New Roman"/>
      <w:sz w:val="24"/>
      <w:szCs w:val="24"/>
    </w:rPr>
  </w:style>
  <w:style w:type="character" w:customStyle="1" w:styleId="page-description">
    <w:name w:val="page-description"/>
    <w:basedOn w:val="DefaultParagraphFont"/>
    <w:rsid w:val="00755BCC"/>
  </w:style>
  <w:style w:type="paragraph" w:styleId="EndnoteText">
    <w:name w:val="endnote text"/>
    <w:basedOn w:val="Normal"/>
    <w:link w:val="EndnoteTextChar"/>
    <w:unhideWhenUsed/>
    <w:rsid w:val="0013359D"/>
    <w:pPr>
      <w:spacing w:after="0" w:line="240" w:lineRule="auto"/>
    </w:pPr>
    <w:rPr>
      <w:rFonts w:ascii="Times New Roman" w:hAnsi="Times New Roman"/>
      <w:sz w:val="20"/>
      <w:szCs w:val="20"/>
      <w:lang w:val="x-none" w:eastAsia="x-none"/>
    </w:rPr>
  </w:style>
  <w:style w:type="character" w:customStyle="1" w:styleId="EndnoteTextChar">
    <w:name w:val="Endnote Text Char"/>
    <w:basedOn w:val="DefaultParagraphFont"/>
    <w:link w:val="EndnoteText"/>
    <w:rsid w:val="0013359D"/>
    <w:rPr>
      <w:rFonts w:ascii="Times New Roman" w:eastAsia="Calibri" w:hAnsi="Times New Roman" w:cs="Times New Roman"/>
      <w:sz w:val="20"/>
      <w:szCs w:val="20"/>
      <w:lang w:val="x-none" w:eastAsia="x-none"/>
    </w:rPr>
  </w:style>
  <w:style w:type="character" w:styleId="EndnoteReference">
    <w:name w:val="endnote reference"/>
    <w:basedOn w:val="DefaultParagraphFont"/>
    <w:rsid w:val="0013359D"/>
    <w:rPr>
      <w:rFonts w:cs="Times New Roman"/>
      <w:vertAlign w:val="superscript"/>
    </w:rPr>
  </w:style>
  <w:style w:type="paragraph" w:styleId="Title">
    <w:name w:val="Title"/>
    <w:basedOn w:val="Normal"/>
    <w:link w:val="TitleChar"/>
    <w:qFormat/>
    <w:rsid w:val="00C91275"/>
    <w:pPr>
      <w:spacing w:after="0" w:line="240" w:lineRule="auto"/>
      <w:jc w:val="center"/>
    </w:pPr>
    <w:rPr>
      <w:rFonts w:ascii="Times New Roman" w:eastAsia="Times New Roman" w:hAnsi="Times New Roman"/>
      <w:b/>
      <w:bCs/>
      <w:i/>
      <w:iCs/>
      <w:sz w:val="24"/>
      <w:szCs w:val="24"/>
      <w:lang w:val="x-none" w:eastAsia="x-none"/>
    </w:rPr>
  </w:style>
  <w:style w:type="character" w:customStyle="1" w:styleId="TitleChar">
    <w:name w:val="Title Char"/>
    <w:basedOn w:val="DefaultParagraphFont"/>
    <w:link w:val="Title"/>
    <w:rsid w:val="00C91275"/>
    <w:rPr>
      <w:rFonts w:ascii="Times New Roman" w:eastAsia="Times New Roman" w:hAnsi="Times New Roman" w:cs="Times New Roman"/>
      <w:b/>
      <w:bCs/>
      <w:i/>
      <w:iCs/>
      <w:sz w:val="24"/>
      <w:szCs w:val="24"/>
      <w:lang w:val="x-none" w:eastAsia="x-none"/>
    </w:rPr>
  </w:style>
  <w:style w:type="paragraph" w:styleId="CommentSubject">
    <w:name w:val="annotation subject"/>
    <w:basedOn w:val="CommentText"/>
    <w:next w:val="CommentText"/>
    <w:link w:val="CommentSubjectChar"/>
    <w:uiPriority w:val="99"/>
    <w:semiHidden/>
    <w:unhideWhenUsed/>
    <w:rsid w:val="009D5292"/>
    <w:pPr>
      <w:spacing w:line="240" w:lineRule="auto"/>
    </w:pPr>
    <w:rPr>
      <w:b/>
      <w:bCs/>
    </w:rPr>
  </w:style>
  <w:style w:type="character" w:customStyle="1" w:styleId="CommentSubjectChar">
    <w:name w:val="Comment Subject Char"/>
    <w:basedOn w:val="CommentTextChar"/>
    <w:link w:val="CommentSubject"/>
    <w:uiPriority w:val="99"/>
    <w:semiHidden/>
    <w:rsid w:val="009D5292"/>
    <w:rPr>
      <w:rFonts w:ascii="Calibri" w:eastAsia="Calibri" w:hAnsi="Calibri" w:cs="Times New Roman"/>
      <w:b/>
      <w:bCs/>
      <w:sz w:val="20"/>
      <w:szCs w:val="20"/>
    </w:rPr>
  </w:style>
  <w:style w:type="paragraph" w:styleId="Revision">
    <w:name w:val="Revision"/>
    <w:hidden/>
    <w:uiPriority w:val="99"/>
    <w:semiHidden/>
    <w:rsid w:val="003856E8"/>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055E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5ED8"/>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055ED8"/>
    <w:rPr>
      <w:vertAlign w:val="superscript"/>
    </w:rPr>
  </w:style>
  <w:style w:type="paragraph" w:styleId="Header">
    <w:name w:val="header"/>
    <w:basedOn w:val="Normal"/>
    <w:link w:val="HeaderChar"/>
    <w:uiPriority w:val="99"/>
    <w:unhideWhenUsed/>
    <w:rsid w:val="009858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815"/>
    <w:rPr>
      <w:rFonts w:ascii="Calibri" w:eastAsia="Calibri" w:hAnsi="Calibri" w:cs="Times New Roman"/>
    </w:rPr>
  </w:style>
  <w:style w:type="paragraph" w:styleId="Footer">
    <w:name w:val="footer"/>
    <w:basedOn w:val="Normal"/>
    <w:link w:val="FooterChar"/>
    <w:uiPriority w:val="99"/>
    <w:unhideWhenUsed/>
    <w:rsid w:val="009858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815"/>
    <w:rPr>
      <w:rFonts w:ascii="Calibri" w:eastAsia="Calibri" w:hAnsi="Calibri" w:cs="Times New Roman"/>
    </w:rPr>
  </w:style>
  <w:style w:type="paragraph" w:customStyle="1" w:styleId="ParagraphtextCalibri">
    <w:name w:val="Paragraph text Calibri"/>
    <w:qFormat/>
    <w:rsid w:val="002A759E"/>
    <w:pPr>
      <w:spacing w:line="240" w:lineRule="auto"/>
    </w:pPr>
    <w:rPr>
      <w:rFonts w:ascii="Calibri" w:eastAsia="Calibri" w:hAnsi="Calibri" w:cs="Times New Roman"/>
      <w:sz w:val="24"/>
    </w:rPr>
  </w:style>
  <w:style w:type="paragraph" w:customStyle="1" w:styleId="Header1">
    <w:name w:val="Header 1"/>
    <w:basedOn w:val="Header2"/>
    <w:link w:val="Header1Char"/>
    <w:qFormat/>
    <w:rsid w:val="00492BDD"/>
  </w:style>
  <w:style w:type="character" w:customStyle="1" w:styleId="Header1Char">
    <w:name w:val="Header 1 Char"/>
    <w:basedOn w:val="DefaultParagraphFont"/>
    <w:link w:val="Header1"/>
    <w:rsid w:val="00492BDD"/>
    <w:rPr>
      <w:rFonts w:ascii="Calibri" w:eastAsia="Calibri" w:hAnsi="Calibri" w:cs="Times New Roman"/>
      <w:b/>
      <w:i/>
      <w:color w:val="2E74B5" w:themeColor="accent1" w:themeShade="BF"/>
      <w:sz w:val="44"/>
      <w:szCs w:val="36"/>
    </w:rPr>
  </w:style>
  <w:style w:type="paragraph" w:customStyle="1" w:styleId="Header2">
    <w:name w:val="Header 2"/>
    <w:basedOn w:val="Normal"/>
    <w:link w:val="Header2Char"/>
    <w:qFormat/>
    <w:rsid w:val="00A4575E"/>
    <w:pPr>
      <w:spacing w:after="0" w:line="240" w:lineRule="auto"/>
      <w:jc w:val="center"/>
    </w:pPr>
    <w:rPr>
      <w:b/>
      <w:i/>
      <w:color w:val="2E74B5" w:themeColor="accent1" w:themeShade="BF"/>
      <w:sz w:val="44"/>
      <w:szCs w:val="36"/>
    </w:rPr>
  </w:style>
  <w:style w:type="character" w:customStyle="1" w:styleId="Header2Char">
    <w:name w:val="Header 2 Char"/>
    <w:basedOn w:val="DefaultParagraphFont"/>
    <w:link w:val="Header2"/>
    <w:rsid w:val="00951F5D"/>
    <w:rPr>
      <w:rFonts w:ascii="Calibri" w:eastAsia="Calibri" w:hAnsi="Calibri" w:cs="Times New Roman"/>
      <w:b/>
      <w:i/>
      <w:color w:val="2E74B5" w:themeColor="accent1" w:themeShade="BF"/>
      <w:sz w:val="44"/>
      <w:szCs w:val="36"/>
    </w:rPr>
  </w:style>
  <w:style w:type="character" w:customStyle="1" w:styleId="Heading1Char">
    <w:name w:val="Heading 1 Char"/>
    <w:basedOn w:val="DefaultParagraphFont"/>
    <w:link w:val="Heading1"/>
    <w:uiPriority w:val="9"/>
    <w:rsid w:val="00492BDD"/>
    <w:rPr>
      <w:b/>
      <w:bCs/>
      <w:color w:val="0070C0"/>
      <w:sz w:val="28"/>
      <w:szCs w:val="28"/>
    </w:rPr>
  </w:style>
  <w:style w:type="paragraph" w:customStyle="1" w:styleId="ListParagraph1">
    <w:name w:val="List Paragraph1"/>
    <w:aliases w:val="Bullet list paragraph"/>
    <w:basedOn w:val="Normal"/>
    <w:link w:val="ListparagraphChar"/>
    <w:qFormat/>
    <w:rsid w:val="00951F5D"/>
    <w:pPr>
      <w:spacing w:after="0"/>
    </w:pPr>
    <w:rPr>
      <w:sz w:val="24"/>
      <w:szCs w:val="24"/>
    </w:rPr>
  </w:style>
  <w:style w:type="character" w:customStyle="1" w:styleId="ListparagraphChar">
    <w:name w:val="List paragraph Char"/>
    <w:aliases w:val="Bullet list paragraph Char"/>
    <w:basedOn w:val="DefaultParagraphFont"/>
    <w:link w:val="ListParagraph1"/>
    <w:rsid w:val="00951F5D"/>
    <w:rPr>
      <w:rFonts w:ascii="Calibri" w:eastAsia="Calibri" w:hAnsi="Calibri" w:cs="Times New Roman"/>
      <w:sz w:val="24"/>
      <w:szCs w:val="24"/>
    </w:rPr>
  </w:style>
  <w:style w:type="paragraph" w:styleId="Subtitle">
    <w:name w:val="Subtitle"/>
    <w:aliases w:val="Level 2 bullet list"/>
    <w:basedOn w:val="ParagraphtextCalibri"/>
    <w:next w:val="Normal"/>
    <w:link w:val="SubtitleChar"/>
    <w:uiPriority w:val="11"/>
    <w:qFormat/>
    <w:rsid w:val="00A4575E"/>
    <w:pPr>
      <w:numPr>
        <w:ilvl w:val="1"/>
        <w:numId w:val="2"/>
      </w:numPr>
    </w:pPr>
    <w:rPr>
      <w:rFonts w:cstheme="minorHAnsi"/>
    </w:rPr>
  </w:style>
  <w:style w:type="character" w:customStyle="1" w:styleId="SubtitleChar">
    <w:name w:val="Subtitle Char"/>
    <w:aliases w:val="Level 2 bullet list Char"/>
    <w:basedOn w:val="DefaultParagraphFont"/>
    <w:link w:val="Subtitle"/>
    <w:uiPriority w:val="11"/>
    <w:rsid w:val="00951F5D"/>
    <w:rPr>
      <w:rFonts w:ascii="Calibri" w:eastAsia="Calibri" w:hAnsi="Calibri" w:cstheme="minorHAnsi"/>
      <w:sz w:val="24"/>
    </w:rPr>
  </w:style>
  <w:style w:type="character" w:customStyle="1" w:styleId="Heading2Char">
    <w:name w:val="Heading 2 Char"/>
    <w:basedOn w:val="DefaultParagraphFont"/>
    <w:link w:val="Heading2"/>
    <w:uiPriority w:val="9"/>
    <w:rsid w:val="00492BDD"/>
    <w:rPr>
      <w:rFonts w:ascii="Calibri" w:eastAsia="Calibri" w:hAnsi="Calibri" w:cs="Times New Roman"/>
      <w:b/>
      <w:bCs/>
      <w:sz w:val="24"/>
    </w:rPr>
  </w:style>
  <w:style w:type="paragraph" w:customStyle="1" w:styleId="References">
    <w:name w:val="References"/>
    <w:basedOn w:val="ParagraphtextCalibri"/>
    <w:qFormat/>
    <w:rsid w:val="00492BDD"/>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88C51A80A60A4DB202B8C3155C914A" ma:contentTypeVersion="13" ma:contentTypeDescription="Create a new document." ma:contentTypeScope="" ma:versionID="ed7f3a98e6a7cb100b0d5ba2ef6bf63c">
  <xsd:schema xmlns:xsd="http://www.w3.org/2001/XMLSchema" xmlns:xs="http://www.w3.org/2001/XMLSchema" xmlns:p="http://schemas.microsoft.com/office/2006/metadata/properties" xmlns:ns3="aa0046f4-f2d7-4500-9fa7-b9ece034ccd6" xmlns:ns4="7f93e015-59c0-4fdd-91ec-e19c3ca23e66" targetNamespace="http://schemas.microsoft.com/office/2006/metadata/properties" ma:root="true" ma:fieldsID="b37f3e650e48caa068455c209d1e283e" ns3:_="" ns4:_="">
    <xsd:import namespace="aa0046f4-f2d7-4500-9fa7-b9ece034ccd6"/>
    <xsd:import namespace="7f93e015-59c0-4fdd-91ec-e19c3ca23e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046f4-f2d7-4500-9fa7-b9ece034ccd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93e015-59c0-4fdd-91ec-e19c3ca23e6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0F1426-74BA-4DE6-9929-84CE2D268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0046f4-f2d7-4500-9fa7-b9ece034ccd6"/>
    <ds:schemaRef ds:uri="7f93e015-59c0-4fdd-91ec-e19c3ca23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17574F-3C81-4FDA-9A34-CD011E248AF2}">
  <ds:schemaRefs>
    <ds:schemaRef ds:uri="http://schemas.openxmlformats.org/officeDocument/2006/bibliography"/>
  </ds:schemaRefs>
</ds:datastoreItem>
</file>

<file path=customXml/itemProps3.xml><?xml version="1.0" encoding="utf-8"?>
<ds:datastoreItem xmlns:ds="http://schemas.openxmlformats.org/officeDocument/2006/customXml" ds:itemID="{8DE69E9A-F32B-42AC-99BF-1D3F76561302}">
  <ds:schemaRefs>
    <ds:schemaRef ds:uri="http://schemas.microsoft.com/sharepoint/v3/contenttype/forms"/>
  </ds:schemaRefs>
</ds:datastoreItem>
</file>

<file path=customXml/itemProps4.xml><?xml version="1.0" encoding="utf-8"?>
<ds:datastoreItem xmlns:ds="http://schemas.openxmlformats.org/officeDocument/2006/customXml" ds:itemID="{674381AC-F41E-4B0C-8101-C2A9B6A0BE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811</Words>
  <Characters>4523</Characters>
  <Application>Microsoft Office Word</Application>
  <DocSecurity>0</DocSecurity>
  <Lines>83</Lines>
  <Paragraphs>43</Paragraphs>
  <ScaleCrop>false</ScaleCrop>
  <HeadingPairs>
    <vt:vector size="2" baseType="variant">
      <vt:variant>
        <vt:lpstr>Title</vt:lpstr>
      </vt:variant>
      <vt:variant>
        <vt:i4>1</vt:i4>
      </vt:variant>
    </vt:vector>
  </HeadingPairs>
  <TitlesOfParts>
    <vt:vector size="1" baseType="lpstr">
      <vt:lpstr/>
    </vt:vector>
  </TitlesOfParts>
  <Company>UC Irvine Health</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Standardized Nursing Protocol for Iodophor</dc:title>
  <dc:subject>Decolonization of Non-ICU Patients</dc:subject>
  <dc:creator>"Agency for Healthcare Research and Quality (AHRQ)"</dc:creator>
  <cp:keywords>HAIs</cp:keywords>
  <dc:description/>
  <cp:lastModifiedBy>Heidenrich, Christine (AHRQ/OC) (CTR)</cp:lastModifiedBy>
  <cp:revision>7</cp:revision>
  <dcterms:created xsi:type="dcterms:W3CDTF">2021-11-16T21:03:00Z</dcterms:created>
  <dcterms:modified xsi:type="dcterms:W3CDTF">2022-02-07T20:30:00Z</dcterms:modified>
  <cp:category>healthcare associated infections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0x0101000088C51A80A60A4DB202B8C3155C914A</vt:lpwstr>
  </property>
</Properties>
</file>