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89D0E" w14:textId="39CB712E" w:rsidR="00A9332D" w:rsidRPr="0043728C" w:rsidRDefault="00A9332D" w:rsidP="000E0E04">
      <w:pPr>
        <w:pStyle w:val="Header1"/>
      </w:pPr>
      <w:r>
        <w:t xml:space="preserve">Decolonization </w:t>
      </w:r>
      <w:r w:rsidR="00B13953">
        <w:t>of</w:t>
      </w:r>
      <w:r>
        <w:t xml:space="preserve"> </w:t>
      </w:r>
    </w:p>
    <w:p w14:paraId="55FADD8F" w14:textId="2515EC6A" w:rsidR="004D0686" w:rsidRPr="0043728C" w:rsidRDefault="00A9332D" w:rsidP="000E0E04">
      <w:pPr>
        <w:pStyle w:val="Header1"/>
      </w:pPr>
      <w:r>
        <w:t>Non-ICU Patients</w:t>
      </w:r>
      <w:r w:rsidR="001F2FA5">
        <w:t xml:space="preserve"> </w:t>
      </w:r>
      <w:proofErr w:type="gramStart"/>
      <w:r w:rsidR="001C579C">
        <w:t>W</w:t>
      </w:r>
      <w:r w:rsidR="001F2FA5">
        <w:t>ith</w:t>
      </w:r>
      <w:proofErr w:type="gramEnd"/>
      <w:r w:rsidR="001F2FA5">
        <w:t xml:space="preserve"> Devices</w:t>
      </w:r>
      <w:r w:rsidR="004D0686">
        <w:br/>
      </w:r>
    </w:p>
    <w:p w14:paraId="383831C9" w14:textId="074A564F" w:rsidR="00D669D4" w:rsidRPr="000E0E04" w:rsidRDefault="00963B28" w:rsidP="000E0E04">
      <w:pPr>
        <w:pStyle w:val="Header1"/>
        <w:spacing w:after="480"/>
      </w:pPr>
      <w:r>
        <w:t xml:space="preserve">Section 12-5 – </w:t>
      </w:r>
      <w:r w:rsidR="002F621E" w:rsidRPr="000E0E04">
        <w:t>S</w:t>
      </w:r>
      <w:r w:rsidR="00777004" w:rsidRPr="000E0E04">
        <w:t xml:space="preserve">ample </w:t>
      </w:r>
      <w:r w:rsidR="00CB1408" w:rsidRPr="000E0E04">
        <w:t>Adherence Repor</w:t>
      </w:r>
      <w:r w:rsidR="00777004" w:rsidRPr="000E0E04">
        <w:t>t</w:t>
      </w:r>
    </w:p>
    <w:p w14:paraId="3482712E" w14:textId="77777777" w:rsidR="004D0686" w:rsidRPr="0043728C" w:rsidRDefault="004657EC" w:rsidP="0043728C">
      <w:pPr>
        <w:pStyle w:val="ParagraphtextCalibri"/>
      </w:pPr>
      <w:r w:rsidRPr="0043728C">
        <w:t xml:space="preserve">Use this document to build a useful report that allows for tracking of daily adherence and for drilling down as needed to identify shifts or personnel who have the lowest adherence and therefore may need reinforcement or retraining. </w:t>
      </w:r>
      <w:r w:rsidR="00D07FBD" w:rsidRPr="0043728C">
        <w:t xml:space="preserve">Routine assessment of adherence </w:t>
      </w:r>
      <w:r w:rsidR="00987831" w:rsidRPr="0043728C">
        <w:t>with</w:t>
      </w:r>
      <w:r w:rsidR="00D07FBD" w:rsidRPr="0043728C">
        <w:t xml:space="preserve"> feedback to frontline staff is </w:t>
      </w:r>
      <w:r w:rsidR="00987831" w:rsidRPr="0043728C">
        <w:t>essential</w:t>
      </w:r>
      <w:r w:rsidR="00D07FBD" w:rsidRPr="0043728C">
        <w:t xml:space="preserve"> for the success of </w:t>
      </w:r>
      <w:r w:rsidR="00777004" w:rsidRPr="0043728C">
        <w:t xml:space="preserve">the </w:t>
      </w:r>
      <w:r w:rsidR="00D07FBD" w:rsidRPr="0043728C">
        <w:t>targeted decolonizatio</w:t>
      </w:r>
      <w:r w:rsidR="00E40949" w:rsidRPr="0043728C">
        <w:t>n</w:t>
      </w:r>
      <w:r w:rsidR="00D07FBD" w:rsidRPr="0043728C">
        <w:t xml:space="preserve"> protocol. </w:t>
      </w:r>
      <w:r w:rsidR="006B4969" w:rsidRPr="0043728C">
        <w:t xml:space="preserve">If adherence is low, provide feedback to frontline staff via brief messaging </w:t>
      </w:r>
      <w:r w:rsidR="005574D3" w:rsidRPr="0043728C">
        <w:t xml:space="preserve">using </w:t>
      </w:r>
      <w:r w:rsidR="006B4969" w:rsidRPr="0043728C">
        <w:t>huddle documents or targeted feedback to specific staff.</w:t>
      </w:r>
      <w:r w:rsidR="007F6784" w:rsidRPr="0043728C">
        <w:t xml:space="preserve"> </w:t>
      </w:r>
    </w:p>
    <w:p w14:paraId="120737FE" w14:textId="01694E94" w:rsidR="006327BB" w:rsidRPr="000E0E04" w:rsidRDefault="006327BB" w:rsidP="000E0E04">
      <w:pPr>
        <w:pStyle w:val="Heading1"/>
        <w:rPr>
          <w:rFonts w:eastAsiaTheme="minorHAnsi"/>
        </w:rPr>
      </w:pPr>
      <w:r w:rsidRPr="000E0E04">
        <w:rPr>
          <w:rFonts w:eastAsiaTheme="minorHAnsi"/>
        </w:rPr>
        <w:t>Options</w:t>
      </w:r>
      <w:r w:rsidR="00777004" w:rsidRPr="000E0E04">
        <w:rPr>
          <w:rFonts w:eastAsiaTheme="minorHAnsi"/>
        </w:rPr>
        <w:t xml:space="preserve"> for monitoring adherence</w:t>
      </w:r>
      <w:r w:rsidRPr="000E0E04">
        <w:rPr>
          <w:rFonts w:eastAsiaTheme="minorHAnsi"/>
        </w:rPr>
        <w:t xml:space="preserve"> may include:</w:t>
      </w:r>
    </w:p>
    <w:p w14:paraId="2A8DF227" w14:textId="2C406B91" w:rsidR="006327BB" w:rsidRPr="004D0686" w:rsidRDefault="006327BB" w:rsidP="0043728C">
      <w:pPr>
        <w:pStyle w:val="ParagraphtextCalibri"/>
        <w:numPr>
          <w:ilvl w:val="0"/>
          <w:numId w:val="40"/>
        </w:numPr>
      </w:pPr>
      <w:r w:rsidRPr="004D0686">
        <w:t xml:space="preserve">Electronic </w:t>
      </w:r>
      <w:r w:rsidR="00B13953" w:rsidRPr="004D0686">
        <w:t>m</w:t>
      </w:r>
      <w:r w:rsidRPr="004D0686">
        <w:t xml:space="preserve">edical </w:t>
      </w:r>
      <w:r w:rsidR="00B13953" w:rsidRPr="004D0686">
        <w:t>r</w:t>
      </w:r>
      <w:r w:rsidRPr="004D0686">
        <w:t>ecord</w:t>
      </w:r>
      <w:r w:rsidR="001C579C" w:rsidRPr="004D0686">
        <w:rPr>
          <w:rFonts w:cs="Calibri"/>
        </w:rPr>
        <w:t>—</w:t>
      </w:r>
      <w:r w:rsidRPr="004D0686">
        <w:t xml:space="preserve">generate reports based </w:t>
      </w:r>
      <w:r w:rsidR="00100903" w:rsidRPr="004D0686">
        <w:t>upon</w:t>
      </w:r>
      <w:r w:rsidR="002F621E" w:rsidRPr="004D0686">
        <w:t xml:space="preserve"> bathing documentation from a routine</w:t>
      </w:r>
      <w:r w:rsidRPr="004D0686">
        <w:t xml:space="preserve"> nursing</w:t>
      </w:r>
      <w:r w:rsidR="002F621E" w:rsidRPr="004D0686">
        <w:t xml:space="preserve"> shift</w:t>
      </w:r>
      <w:r w:rsidRPr="004D0686">
        <w:t xml:space="preserve"> quer</w:t>
      </w:r>
      <w:r w:rsidR="00B11722" w:rsidRPr="004D0686">
        <w:t>y.</w:t>
      </w:r>
      <w:r w:rsidRPr="004D0686">
        <w:t xml:space="preserve"> </w:t>
      </w:r>
      <w:r w:rsidR="00100903" w:rsidRPr="004D0686">
        <w:t>E</w:t>
      </w:r>
      <w:r w:rsidRPr="004D0686">
        <w:t xml:space="preserve">lements that </w:t>
      </w:r>
      <w:r w:rsidR="00100903" w:rsidRPr="004D0686">
        <w:t xml:space="preserve">may be </w:t>
      </w:r>
      <w:r w:rsidRPr="004D0686">
        <w:t>helpful for effective feedback include:</w:t>
      </w:r>
    </w:p>
    <w:p w14:paraId="68CA2877" w14:textId="2B432E0C" w:rsidR="00011F8F" w:rsidRPr="004D0686" w:rsidRDefault="006327BB" w:rsidP="0043728C">
      <w:pPr>
        <w:pStyle w:val="ParagraphtextCalibri"/>
        <w:numPr>
          <w:ilvl w:val="1"/>
          <w:numId w:val="40"/>
        </w:numPr>
      </w:pPr>
      <w:r w:rsidRPr="004D0686">
        <w:t>Unit name</w:t>
      </w:r>
    </w:p>
    <w:p w14:paraId="4B4A3CE1" w14:textId="2BA92CE4" w:rsidR="00011F8F" w:rsidRPr="004D0686" w:rsidRDefault="00011F8F" w:rsidP="0043728C">
      <w:pPr>
        <w:pStyle w:val="ParagraphtextCalibri"/>
        <w:numPr>
          <w:ilvl w:val="1"/>
          <w:numId w:val="40"/>
        </w:numPr>
      </w:pPr>
      <w:r w:rsidRPr="004D0686">
        <w:t>Patients with selected medical device</w:t>
      </w:r>
      <w:r w:rsidR="0016319C" w:rsidRPr="004D0686">
        <w:t>s</w:t>
      </w:r>
    </w:p>
    <w:p w14:paraId="67459735" w14:textId="30757364" w:rsidR="006327BB" w:rsidRPr="004D0686" w:rsidRDefault="006327BB" w:rsidP="0043728C">
      <w:pPr>
        <w:pStyle w:val="ParagraphtextCalibri"/>
        <w:numPr>
          <w:ilvl w:val="1"/>
          <w:numId w:val="40"/>
        </w:numPr>
      </w:pPr>
      <w:r w:rsidRPr="004D0686">
        <w:t>Assigned nurse</w:t>
      </w:r>
      <w:r w:rsidR="0016319C" w:rsidRPr="004D0686">
        <w:t>(s)</w:t>
      </w:r>
    </w:p>
    <w:p w14:paraId="304B129F" w14:textId="016BAB97" w:rsidR="00100903" w:rsidRPr="004D0686" w:rsidRDefault="00BE33C8" w:rsidP="0043728C">
      <w:pPr>
        <w:pStyle w:val="ParagraphtextCalibri"/>
        <w:numPr>
          <w:ilvl w:val="1"/>
          <w:numId w:val="40"/>
        </w:numPr>
      </w:pPr>
      <w:r w:rsidRPr="004D0686">
        <w:t>Date and t</w:t>
      </w:r>
      <w:r w:rsidR="00100903" w:rsidRPr="004D0686">
        <w:t>ime of bath</w:t>
      </w:r>
      <w:r w:rsidR="00AF07DD" w:rsidRPr="004D0686">
        <w:t xml:space="preserve"> (</w:t>
      </w:r>
      <w:r w:rsidR="001B1025" w:rsidRPr="004D0686">
        <w:t>day</w:t>
      </w:r>
      <w:r w:rsidRPr="004D0686">
        <w:t xml:space="preserve"> v</w:t>
      </w:r>
      <w:r w:rsidR="001C579C" w:rsidRPr="004D0686">
        <w:t>ersus</w:t>
      </w:r>
      <w:r w:rsidR="001B1025" w:rsidRPr="004D0686">
        <w:t xml:space="preserve"> evening </w:t>
      </w:r>
      <w:r w:rsidR="001C579C" w:rsidRPr="004D0686">
        <w:t>versus</w:t>
      </w:r>
      <w:r w:rsidR="001B1025" w:rsidRPr="004D0686">
        <w:t xml:space="preserve"> nigh</w:t>
      </w:r>
      <w:r w:rsidR="00F10035" w:rsidRPr="004D0686">
        <w:t>t</w:t>
      </w:r>
      <w:r w:rsidR="00AF07DD" w:rsidRPr="004D0686">
        <w:t xml:space="preserve"> shift)</w:t>
      </w:r>
    </w:p>
    <w:p w14:paraId="13DDB84C" w14:textId="71701308" w:rsidR="005D2ACB" w:rsidRPr="004D0686" w:rsidRDefault="005D2ACB" w:rsidP="0043728C">
      <w:pPr>
        <w:pStyle w:val="ParagraphtextCalibri"/>
        <w:numPr>
          <w:ilvl w:val="1"/>
          <w:numId w:val="40"/>
        </w:numPr>
      </w:pPr>
      <w:r w:rsidRPr="004D0686">
        <w:t>Type of soap (</w:t>
      </w:r>
      <w:r w:rsidR="000E0E04">
        <w:t>chlorhexidine [</w:t>
      </w:r>
      <w:r w:rsidRPr="004D0686">
        <w:t>CHG</w:t>
      </w:r>
      <w:r w:rsidR="000E0E04">
        <w:t>]</w:t>
      </w:r>
      <w:r w:rsidRPr="004D0686">
        <w:t>, non-CHG)</w:t>
      </w:r>
    </w:p>
    <w:p w14:paraId="73A0CE86" w14:textId="45A9F0B7" w:rsidR="006327BB" w:rsidRPr="004D0686" w:rsidRDefault="006327BB" w:rsidP="0043728C">
      <w:pPr>
        <w:pStyle w:val="ParagraphtextCalibri"/>
        <w:numPr>
          <w:ilvl w:val="1"/>
          <w:numId w:val="40"/>
        </w:numPr>
      </w:pPr>
      <w:r w:rsidRPr="004D0686">
        <w:t>Reason</w:t>
      </w:r>
      <w:r w:rsidR="00BE33C8" w:rsidRPr="004D0686">
        <w:t>(</w:t>
      </w:r>
      <w:r w:rsidRPr="004D0686">
        <w:t>s</w:t>
      </w:r>
      <w:r w:rsidR="00BE33C8" w:rsidRPr="004D0686">
        <w:t>)</w:t>
      </w:r>
      <w:r w:rsidRPr="004D0686">
        <w:t xml:space="preserve"> </w:t>
      </w:r>
      <w:r w:rsidR="005D2ACB" w:rsidRPr="004D0686">
        <w:t xml:space="preserve">why </w:t>
      </w:r>
      <w:r w:rsidRPr="004D0686">
        <w:t>CHG bath/shower not given</w:t>
      </w:r>
      <w:r w:rsidR="007C51D3" w:rsidRPr="004D0686">
        <w:t>/not</w:t>
      </w:r>
      <w:r w:rsidR="00BE33C8" w:rsidRPr="004D0686">
        <w:t xml:space="preserve"> taken</w:t>
      </w:r>
    </w:p>
    <w:p w14:paraId="5E532BE6" w14:textId="031720DC" w:rsidR="000B731C" w:rsidRDefault="00B11722" w:rsidP="0043728C">
      <w:pPr>
        <w:pStyle w:val="ParagraphtextCalibri"/>
        <w:numPr>
          <w:ilvl w:val="0"/>
          <w:numId w:val="40"/>
        </w:numPr>
      </w:pPr>
      <w:r w:rsidRPr="004D0686">
        <w:t>Manual process</w:t>
      </w:r>
      <w:r w:rsidR="001C579C" w:rsidRPr="004D0686">
        <w:rPr>
          <w:rFonts w:cs="Calibri"/>
        </w:rPr>
        <w:t>—</w:t>
      </w:r>
      <w:r w:rsidRPr="004D0686">
        <w:t>if electronic reports are not available, perform manual checks over designated time intervals (e.g.</w:t>
      </w:r>
      <w:r w:rsidR="007F6784" w:rsidRPr="004D0686">
        <w:t>,</w:t>
      </w:r>
      <w:r w:rsidRPr="004D0686">
        <w:t xml:space="preserve"> daily, weekly, biweekly)</w:t>
      </w:r>
      <w:r w:rsidR="001C579C" w:rsidRPr="004D0686">
        <w:t>.</w:t>
      </w:r>
    </w:p>
    <w:p w14:paraId="105D1608" w14:textId="77777777" w:rsidR="000E0E04" w:rsidRDefault="000E0E04">
      <w:pPr>
        <w:spacing w:before="0" w:beforeAutospacing="0" w:after="0" w:line="240" w:lineRule="auto"/>
        <w:rPr>
          <w:sz w:val="24"/>
        </w:rPr>
      </w:pPr>
      <w:r>
        <w:br w:type="page"/>
      </w:r>
    </w:p>
    <w:p w14:paraId="5FC5B5C7" w14:textId="1BC5DA86" w:rsidR="0043728C" w:rsidRDefault="00F4178D" w:rsidP="0043728C">
      <w:pPr>
        <w:pStyle w:val="ParagraphtextCalibri"/>
      </w:pPr>
      <w:r w:rsidRPr="0043728C">
        <w:lastRenderedPageBreak/>
        <w:t xml:space="preserve">The following is an example </w:t>
      </w:r>
      <w:r w:rsidR="004C4FBC" w:rsidRPr="0043728C">
        <w:t xml:space="preserve">of a daily adherence </w:t>
      </w:r>
      <w:r w:rsidRPr="0043728C">
        <w:t>report generated from a nursing documentation query</w:t>
      </w:r>
      <w:r w:rsidR="007F4792" w:rsidRPr="0043728C">
        <w:t>. T</w:t>
      </w:r>
      <w:r w:rsidR="00011F8F" w:rsidRPr="0043728C">
        <w:t xml:space="preserve">he denominator is the </w:t>
      </w:r>
      <w:proofErr w:type="gramStart"/>
      <w:r w:rsidR="00011F8F" w:rsidRPr="0043728C">
        <w:t>sum total</w:t>
      </w:r>
      <w:proofErr w:type="gramEnd"/>
      <w:r w:rsidR="00011F8F" w:rsidRPr="0043728C">
        <w:t xml:space="preserve"> of all hospital days for patients</w:t>
      </w:r>
      <w:r w:rsidR="004657EC" w:rsidRPr="0043728C">
        <w:t xml:space="preserve"> with devices</w:t>
      </w:r>
      <w:r w:rsidR="00011F8F" w:rsidRPr="0043728C">
        <w:t xml:space="preserve"> targeted to received decolonization</w:t>
      </w:r>
      <w:r w:rsidR="0016319C" w:rsidRPr="0043728C">
        <w:t>. T</w:t>
      </w:r>
      <w:r w:rsidR="00011F8F" w:rsidRPr="0043728C">
        <w:t>he numerator represents the sum of calendar days where those same patients received CHG bath</w:t>
      </w:r>
      <w:r w:rsidR="007F4792" w:rsidRPr="0043728C">
        <w:t>s</w:t>
      </w:r>
      <w:r w:rsidR="0016319C" w:rsidRPr="0043728C">
        <w:t>.</w:t>
      </w:r>
    </w:p>
    <w:tbl>
      <w:tblPr>
        <w:tblW w:w="10275" w:type="dxa"/>
        <w:tblInd w:w="-280" w:type="dxa"/>
        <w:tblLook w:val="04A0" w:firstRow="1" w:lastRow="0" w:firstColumn="1" w:lastColumn="0" w:noHBand="0" w:noVBand="1"/>
      </w:tblPr>
      <w:tblGrid>
        <w:gridCol w:w="1330"/>
        <w:gridCol w:w="740"/>
        <w:gridCol w:w="753"/>
        <w:gridCol w:w="740"/>
        <w:gridCol w:w="753"/>
        <w:gridCol w:w="753"/>
        <w:gridCol w:w="740"/>
        <w:gridCol w:w="740"/>
        <w:gridCol w:w="740"/>
        <w:gridCol w:w="753"/>
        <w:gridCol w:w="740"/>
        <w:gridCol w:w="740"/>
        <w:gridCol w:w="753"/>
      </w:tblGrid>
      <w:tr w:rsidR="00B621A8" w:rsidRPr="00F4178D" w14:paraId="6C2CAA9B" w14:textId="77777777" w:rsidTr="000E0E04">
        <w:trPr>
          <w:cantSplit/>
          <w:trHeight w:val="300"/>
          <w:tblHeader/>
        </w:trPr>
        <w:tc>
          <w:tcPr>
            <w:tcW w:w="13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6E24D" w14:textId="77777777" w:rsidR="00B621A8" w:rsidRPr="0043728C" w:rsidRDefault="00B621A8" w:rsidP="0043728C">
            <w:pPr>
              <w:pStyle w:val="ParagraphtextCalibri"/>
              <w:rPr>
                <w:b/>
                <w:bCs/>
              </w:rPr>
            </w:pPr>
            <w:r w:rsidRPr="0043728C">
              <w:rPr>
                <w:b/>
                <w:bCs/>
              </w:rPr>
              <w:t>Unit</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2F448741" w14:textId="46363358" w:rsidR="00B621A8" w:rsidRPr="0043728C" w:rsidRDefault="00B621A8" w:rsidP="0043728C">
            <w:pPr>
              <w:pStyle w:val="ParagraphtextCalibri"/>
              <w:rPr>
                <w:b/>
                <w:bCs/>
              </w:rPr>
            </w:pPr>
            <w:r w:rsidRPr="0043728C">
              <w:rPr>
                <w:b/>
                <w:bCs/>
              </w:rPr>
              <w:t>Jan</w:t>
            </w:r>
          </w:p>
        </w:tc>
        <w:tc>
          <w:tcPr>
            <w:tcW w:w="753" w:type="dxa"/>
            <w:tcBorders>
              <w:top w:val="single" w:sz="8" w:space="0" w:color="auto"/>
              <w:left w:val="nil"/>
              <w:bottom w:val="single" w:sz="8" w:space="0" w:color="auto"/>
              <w:right w:val="single" w:sz="8" w:space="0" w:color="auto"/>
            </w:tcBorders>
            <w:shd w:val="clear" w:color="auto" w:fill="auto"/>
            <w:noWrap/>
            <w:vAlign w:val="bottom"/>
            <w:hideMark/>
          </w:tcPr>
          <w:p w14:paraId="730595F0" w14:textId="77777777" w:rsidR="00B621A8" w:rsidRPr="0043728C" w:rsidRDefault="00B621A8" w:rsidP="0043728C">
            <w:pPr>
              <w:pStyle w:val="ParagraphtextCalibri"/>
              <w:rPr>
                <w:b/>
                <w:bCs/>
              </w:rPr>
            </w:pPr>
            <w:r w:rsidRPr="0043728C">
              <w:rPr>
                <w:b/>
                <w:bCs/>
              </w:rPr>
              <w:t>Feb</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8560369" w14:textId="77777777" w:rsidR="00B621A8" w:rsidRPr="0043728C" w:rsidRDefault="00B621A8" w:rsidP="0043728C">
            <w:pPr>
              <w:pStyle w:val="ParagraphtextCalibri"/>
              <w:rPr>
                <w:b/>
                <w:bCs/>
              </w:rPr>
            </w:pPr>
            <w:r w:rsidRPr="0043728C">
              <w:rPr>
                <w:b/>
                <w:bCs/>
              </w:rPr>
              <w:t>Mar</w:t>
            </w:r>
          </w:p>
        </w:tc>
        <w:tc>
          <w:tcPr>
            <w:tcW w:w="753" w:type="dxa"/>
            <w:tcBorders>
              <w:top w:val="single" w:sz="8" w:space="0" w:color="auto"/>
              <w:left w:val="nil"/>
              <w:bottom w:val="single" w:sz="8" w:space="0" w:color="auto"/>
              <w:right w:val="single" w:sz="8" w:space="0" w:color="auto"/>
            </w:tcBorders>
            <w:shd w:val="clear" w:color="auto" w:fill="auto"/>
            <w:noWrap/>
            <w:vAlign w:val="bottom"/>
            <w:hideMark/>
          </w:tcPr>
          <w:p w14:paraId="56CDAA49" w14:textId="77777777" w:rsidR="00B621A8" w:rsidRPr="0043728C" w:rsidRDefault="00B621A8" w:rsidP="0043728C">
            <w:pPr>
              <w:pStyle w:val="ParagraphtextCalibri"/>
              <w:rPr>
                <w:b/>
                <w:bCs/>
              </w:rPr>
            </w:pPr>
            <w:r w:rsidRPr="0043728C">
              <w:rPr>
                <w:b/>
                <w:bCs/>
              </w:rPr>
              <w:t>Apr</w:t>
            </w:r>
          </w:p>
        </w:tc>
        <w:tc>
          <w:tcPr>
            <w:tcW w:w="753" w:type="dxa"/>
            <w:tcBorders>
              <w:top w:val="single" w:sz="8" w:space="0" w:color="auto"/>
              <w:left w:val="nil"/>
              <w:bottom w:val="single" w:sz="8" w:space="0" w:color="auto"/>
              <w:right w:val="single" w:sz="8" w:space="0" w:color="auto"/>
            </w:tcBorders>
            <w:shd w:val="clear" w:color="auto" w:fill="auto"/>
            <w:noWrap/>
            <w:vAlign w:val="bottom"/>
            <w:hideMark/>
          </w:tcPr>
          <w:p w14:paraId="2B0A95E0" w14:textId="77777777" w:rsidR="00B621A8" w:rsidRPr="0043728C" w:rsidRDefault="00B621A8" w:rsidP="0043728C">
            <w:pPr>
              <w:pStyle w:val="ParagraphtextCalibri"/>
              <w:rPr>
                <w:b/>
                <w:bCs/>
              </w:rPr>
            </w:pPr>
            <w:r w:rsidRPr="0043728C">
              <w:rPr>
                <w:b/>
                <w:bCs/>
              </w:rPr>
              <w:t>May</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502486AB" w14:textId="77777777" w:rsidR="00B621A8" w:rsidRPr="0043728C" w:rsidRDefault="00B621A8" w:rsidP="0043728C">
            <w:pPr>
              <w:pStyle w:val="ParagraphtextCalibri"/>
              <w:rPr>
                <w:b/>
                <w:bCs/>
              </w:rPr>
            </w:pPr>
            <w:r w:rsidRPr="0043728C">
              <w:rPr>
                <w:b/>
                <w:bCs/>
              </w:rPr>
              <w:t>Jun</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244F3539" w14:textId="77777777" w:rsidR="00B621A8" w:rsidRPr="0043728C" w:rsidRDefault="00B621A8" w:rsidP="0043728C">
            <w:pPr>
              <w:pStyle w:val="ParagraphtextCalibri"/>
              <w:rPr>
                <w:b/>
                <w:bCs/>
              </w:rPr>
            </w:pPr>
            <w:r w:rsidRPr="0043728C">
              <w:rPr>
                <w:b/>
                <w:bCs/>
              </w:rPr>
              <w:t>Jul</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0DB9A327" w14:textId="77777777" w:rsidR="00B621A8" w:rsidRPr="0043728C" w:rsidRDefault="00B621A8" w:rsidP="0043728C">
            <w:pPr>
              <w:pStyle w:val="ParagraphtextCalibri"/>
              <w:rPr>
                <w:b/>
                <w:bCs/>
              </w:rPr>
            </w:pPr>
            <w:r w:rsidRPr="0043728C">
              <w:rPr>
                <w:b/>
                <w:bCs/>
              </w:rPr>
              <w:t>Aug</w:t>
            </w:r>
          </w:p>
        </w:tc>
        <w:tc>
          <w:tcPr>
            <w:tcW w:w="753" w:type="dxa"/>
            <w:tcBorders>
              <w:top w:val="single" w:sz="8" w:space="0" w:color="auto"/>
              <w:left w:val="nil"/>
              <w:bottom w:val="single" w:sz="8" w:space="0" w:color="auto"/>
              <w:right w:val="single" w:sz="8" w:space="0" w:color="auto"/>
            </w:tcBorders>
            <w:shd w:val="clear" w:color="auto" w:fill="auto"/>
            <w:noWrap/>
            <w:vAlign w:val="bottom"/>
            <w:hideMark/>
          </w:tcPr>
          <w:p w14:paraId="25B4C1AC" w14:textId="77777777" w:rsidR="00B621A8" w:rsidRPr="0043728C" w:rsidRDefault="00B621A8" w:rsidP="0043728C">
            <w:pPr>
              <w:pStyle w:val="ParagraphtextCalibri"/>
              <w:rPr>
                <w:b/>
                <w:bCs/>
              </w:rPr>
            </w:pPr>
            <w:r w:rsidRPr="0043728C">
              <w:rPr>
                <w:b/>
                <w:bCs/>
              </w:rPr>
              <w:t>Sept</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2276A74C" w14:textId="77777777" w:rsidR="00B621A8" w:rsidRPr="0043728C" w:rsidRDefault="00B621A8" w:rsidP="0043728C">
            <w:pPr>
              <w:pStyle w:val="ParagraphtextCalibri"/>
              <w:rPr>
                <w:b/>
                <w:bCs/>
              </w:rPr>
            </w:pPr>
            <w:r w:rsidRPr="0043728C">
              <w:rPr>
                <w:b/>
                <w:bCs/>
              </w:rPr>
              <w:t>Oct</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14:paraId="3CFCD0D9" w14:textId="77777777" w:rsidR="00B621A8" w:rsidRPr="0043728C" w:rsidRDefault="00B621A8" w:rsidP="0043728C">
            <w:pPr>
              <w:pStyle w:val="ParagraphtextCalibri"/>
              <w:rPr>
                <w:b/>
                <w:bCs/>
              </w:rPr>
            </w:pPr>
            <w:r w:rsidRPr="0043728C">
              <w:rPr>
                <w:b/>
                <w:bCs/>
              </w:rPr>
              <w:t>Nov</w:t>
            </w:r>
          </w:p>
        </w:tc>
        <w:tc>
          <w:tcPr>
            <w:tcW w:w="753" w:type="dxa"/>
            <w:tcBorders>
              <w:top w:val="single" w:sz="8" w:space="0" w:color="auto"/>
              <w:left w:val="nil"/>
              <w:bottom w:val="single" w:sz="8" w:space="0" w:color="auto"/>
              <w:right w:val="single" w:sz="8" w:space="0" w:color="auto"/>
            </w:tcBorders>
            <w:shd w:val="clear" w:color="auto" w:fill="auto"/>
            <w:noWrap/>
            <w:vAlign w:val="bottom"/>
            <w:hideMark/>
          </w:tcPr>
          <w:p w14:paraId="49E4DE30" w14:textId="77777777" w:rsidR="00B621A8" w:rsidRPr="0043728C" w:rsidRDefault="00B621A8" w:rsidP="0043728C">
            <w:pPr>
              <w:pStyle w:val="ParagraphtextCalibri"/>
              <w:rPr>
                <w:b/>
                <w:bCs/>
              </w:rPr>
            </w:pPr>
            <w:r w:rsidRPr="0043728C">
              <w:rPr>
                <w:b/>
                <w:bCs/>
              </w:rPr>
              <w:t>Dec</w:t>
            </w:r>
          </w:p>
        </w:tc>
      </w:tr>
      <w:tr w:rsidR="00B621A8" w:rsidRPr="00F4178D" w14:paraId="0E18EBA4" w14:textId="77777777" w:rsidTr="000E0E04">
        <w:trPr>
          <w:cantSplit/>
          <w:trHeight w:val="241"/>
        </w:trPr>
        <w:tc>
          <w:tcPr>
            <w:tcW w:w="1330" w:type="dxa"/>
            <w:tcBorders>
              <w:top w:val="nil"/>
              <w:left w:val="single" w:sz="8" w:space="0" w:color="auto"/>
              <w:bottom w:val="single" w:sz="8" w:space="0" w:color="auto"/>
              <w:right w:val="single" w:sz="8" w:space="0" w:color="auto"/>
            </w:tcBorders>
            <w:shd w:val="clear" w:color="auto" w:fill="auto"/>
            <w:noWrap/>
            <w:hideMark/>
          </w:tcPr>
          <w:p w14:paraId="0899EDFB" w14:textId="7C879164" w:rsidR="00B621A8" w:rsidRPr="0043728C" w:rsidRDefault="00B621A8" w:rsidP="0043728C">
            <w:pPr>
              <w:pStyle w:val="ParagraphtextCalibri"/>
              <w:rPr>
                <w:b/>
                <w:bCs/>
              </w:rPr>
            </w:pPr>
            <w:r w:rsidRPr="0043728C">
              <w:rPr>
                <w:b/>
                <w:bCs/>
              </w:rPr>
              <w:t>Med A</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hideMark/>
          </w:tcPr>
          <w:p w14:paraId="144B586E" w14:textId="03965694" w:rsidR="00B621A8" w:rsidRPr="00F4178D" w:rsidRDefault="00B621A8" w:rsidP="0043728C">
            <w:pPr>
              <w:pStyle w:val="ParagraphtextCalibri"/>
            </w:pPr>
            <w:r w:rsidRPr="00F4178D">
              <w:t>73%</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298C27D0" w14:textId="77777777" w:rsidR="00B621A8" w:rsidRPr="00F4178D" w:rsidRDefault="00B621A8" w:rsidP="0043728C">
            <w:pPr>
              <w:pStyle w:val="ParagraphtextCalibri"/>
            </w:pPr>
            <w:r w:rsidRPr="00F4178D">
              <w:t>88%</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00E024B8" w14:textId="77777777" w:rsidR="00B621A8" w:rsidRPr="00F4178D" w:rsidRDefault="00B621A8" w:rsidP="0043728C">
            <w:pPr>
              <w:pStyle w:val="ParagraphtextCalibri"/>
            </w:pPr>
            <w:r w:rsidRPr="00F4178D">
              <w:t>85%</w:t>
            </w:r>
          </w:p>
        </w:tc>
        <w:tc>
          <w:tcPr>
            <w:tcW w:w="75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1ED4544" w14:textId="77777777" w:rsidR="00B621A8" w:rsidRPr="00F4178D" w:rsidRDefault="00B621A8" w:rsidP="0043728C">
            <w:pPr>
              <w:pStyle w:val="ParagraphtextCalibri"/>
            </w:pPr>
            <w:r w:rsidRPr="00F4178D">
              <w:t>73%</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68711CD" w14:textId="77777777" w:rsidR="00B621A8" w:rsidRPr="00F4178D" w:rsidRDefault="00B621A8" w:rsidP="0043728C">
            <w:pPr>
              <w:pStyle w:val="ParagraphtextCalibri"/>
            </w:pPr>
            <w:r w:rsidRPr="00F4178D">
              <w:t>83%</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36C2D17C" w14:textId="77777777" w:rsidR="00B621A8" w:rsidRPr="00F4178D" w:rsidRDefault="00B621A8" w:rsidP="0043728C">
            <w:pPr>
              <w:pStyle w:val="ParagraphtextCalibri"/>
            </w:pPr>
            <w:r w:rsidRPr="00F4178D">
              <w:t>85%</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6AEB4268" w14:textId="77777777" w:rsidR="00B621A8" w:rsidRPr="00F4178D" w:rsidRDefault="00B621A8" w:rsidP="0043728C">
            <w:pPr>
              <w:pStyle w:val="ParagraphtextCalibri"/>
            </w:pPr>
            <w:r w:rsidRPr="00F4178D">
              <w:t>86%</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E5F911B" w14:textId="77777777" w:rsidR="00B621A8" w:rsidRPr="00F4178D" w:rsidRDefault="00B621A8" w:rsidP="0043728C">
            <w:pPr>
              <w:pStyle w:val="ParagraphtextCalibri"/>
            </w:pPr>
            <w:r w:rsidRPr="00F4178D">
              <w:t>74%</w:t>
            </w:r>
          </w:p>
        </w:tc>
        <w:tc>
          <w:tcPr>
            <w:tcW w:w="75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34EA66F" w14:textId="77777777" w:rsidR="00B621A8" w:rsidRPr="00F4178D" w:rsidRDefault="00B621A8" w:rsidP="0043728C">
            <w:pPr>
              <w:pStyle w:val="ParagraphtextCalibri"/>
            </w:pPr>
            <w:r w:rsidRPr="00F4178D">
              <w:t>79%</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B5399D6" w14:textId="77777777" w:rsidR="00B621A8" w:rsidRPr="00F4178D" w:rsidRDefault="00B621A8" w:rsidP="0043728C">
            <w:pPr>
              <w:pStyle w:val="ParagraphtextCalibri"/>
            </w:pPr>
            <w:r w:rsidRPr="00F4178D">
              <w:t>84%</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61417258" w14:textId="77777777" w:rsidR="00B621A8" w:rsidRPr="00F4178D" w:rsidRDefault="00B621A8" w:rsidP="0043728C">
            <w:pPr>
              <w:pStyle w:val="ParagraphtextCalibri"/>
            </w:pPr>
            <w:r w:rsidRPr="00F4178D">
              <w:t>97%</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26CC7E60" w14:textId="77777777" w:rsidR="00B621A8" w:rsidRPr="00F4178D" w:rsidRDefault="00B621A8" w:rsidP="0043728C">
            <w:pPr>
              <w:pStyle w:val="ParagraphtextCalibri"/>
            </w:pPr>
            <w:r w:rsidRPr="00F4178D">
              <w:t>81%</w:t>
            </w:r>
          </w:p>
        </w:tc>
      </w:tr>
      <w:tr w:rsidR="00B621A8" w:rsidRPr="00F4178D" w14:paraId="79B38151" w14:textId="77777777" w:rsidTr="000E0E04">
        <w:trPr>
          <w:cantSplit/>
          <w:trHeight w:val="259"/>
        </w:trPr>
        <w:tc>
          <w:tcPr>
            <w:tcW w:w="1330" w:type="dxa"/>
            <w:tcBorders>
              <w:top w:val="nil"/>
              <w:left w:val="single" w:sz="8" w:space="0" w:color="auto"/>
              <w:bottom w:val="single" w:sz="8" w:space="0" w:color="auto"/>
              <w:right w:val="single" w:sz="8" w:space="0" w:color="auto"/>
            </w:tcBorders>
            <w:shd w:val="clear" w:color="auto" w:fill="auto"/>
            <w:noWrap/>
            <w:hideMark/>
          </w:tcPr>
          <w:p w14:paraId="6D149FFB" w14:textId="36902EF1" w:rsidR="00B621A8" w:rsidRPr="0043728C" w:rsidRDefault="00B621A8" w:rsidP="0043728C">
            <w:pPr>
              <w:pStyle w:val="ParagraphtextCalibri"/>
              <w:rPr>
                <w:b/>
                <w:bCs/>
              </w:rPr>
            </w:pPr>
            <w:r w:rsidRPr="0043728C">
              <w:rPr>
                <w:b/>
                <w:bCs/>
              </w:rPr>
              <w:t>Med B</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hideMark/>
          </w:tcPr>
          <w:p w14:paraId="4B4A633C" w14:textId="1F4A4132" w:rsidR="00B621A8" w:rsidRPr="00F4178D" w:rsidRDefault="00B621A8" w:rsidP="0043728C">
            <w:pPr>
              <w:pStyle w:val="ParagraphtextCalibri"/>
            </w:pPr>
            <w:r w:rsidRPr="00F4178D">
              <w:t>86%</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7FCDC2CB" w14:textId="77777777" w:rsidR="00B621A8" w:rsidRPr="00F4178D" w:rsidRDefault="00B621A8" w:rsidP="0043728C">
            <w:pPr>
              <w:pStyle w:val="ParagraphtextCalibri"/>
            </w:pPr>
            <w:r w:rsidRPr="00F4178D">
              <w:t>66%</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13B6E953" w14:textId="77777777" w:rsidR="00B621A8" w:rsidRPr="00F4178D" w:rsidRDefault="00B621A8" w:rsidP="0043728C">
            <w:pPr>
              <w:pStyle w:val="ParagraphtextCalibri"/>
            </w:pPr>
            <w:r w:rsidRPr="00F4178D">
              <w:t>85%</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6B21C721" w14:textId="77777777" w:rsidR="00B621A8" w:rsidRPr="00F4178D" w:rsidRDefault="00B621A8" w:rsidP="0043728C">
            <w:pPr>
              <w:pStyle w:val="ParagraphtextCalibri"/>
            </w:pPr>
            <w:r w:rsidRPr="00F4178D">
              <w:t>100%</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9E11CC0" w14:textId="77777777" w:rsidR="00B621A8" w:rsidRPr="00F4178D" w:rsidRDefault="00B621A8" w:rsidP="0043728C">
            <w:pPr>
              <w:pStyle w:val="ParagraphtextCalibri"/>
            </w:pPr>
            <w:r w:rsidRPr="00F4178D">
              <w:t>100%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1C18AAA0" w14:textId="77777777" w:rsidR="00B621A8" w:rsidRPr="00F4178D" w:rsidRDefault="00B621A8" w:rsidP="0043728C">
            <w:pPr>
              <w:pStyle w:val="ParagraphtextCalibri"/>
            </w:pPr>
            <w:r w:rsidRPr="00F4178D">
              <w:t>85%</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9566A6D" w14:textId="77777777" w:rsidR="00B621A8" w:rsidRPr="00F4178D" w:rsidRDefault="00B621A8" w:rsidP="0043728C">
            <w:pPr>
              <w:pStyle w:val="ParagraphtextCalibri"/>
            </w:pPr>
            <w:r w:rsidRPr="00F4178D">
              <w:t>86%</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33DE18B" w14:textId="77777777" w:rsidR="00B621A8" w:rsidRPr="00F4178D" w:rsidRDefault="00B621A8" w:rsidP="0043728C">
            <w:pPr>
              <w:pStyle w:val="ParagraphtextCalibri"/>
            </w:pPr>
            <w:r w:rsidRPr="00F4178D">
              <w:t>88%</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8025467" w14:textId="77777777" w:rsidR="00B621A8" w:rsidRPr="00F4178D" w:rsidRDefault="00B621A8" w:rsidP="0043728C">
            <w:pPr>
              <w:pStyle w:val="ParagraphtextCalibri"/>
            </w:pPr>
            <w:r w:rsidRPr="00F4178D">
              <w:t>100%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C6CFB7E" w14:textId="77777777" w:rsidR="00B621A8" w:rsidRPr="00F4178D" w:rsidRDefault="00B621A8" w:rsidP="0043728C">
            <w:pPr>
              <w:pStyle w:val="ParagraphtextCalibri"/>
            </w:pPr>
            <w:r w:rsidRPr="00F4178D">
              <w:t>90%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BF8D5EF" w14:textId="77777777" w:rsidR="00B621A8" w:rsidRPr="00F4178D" w:rsidRDefault="00B621A8" w:rsidP="0043728C">
            <w:pPr>
              <w:pStyle w:val="ParagraphtextCalibri"/>
            </w:pPr>
            <w:r w:rsidRPr="00F4178D">
              <w:t>90%</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2433FE67" w14:textId="77777777" w:rsidR="00B621A8" w:rsidRPr="00F4178D" w:rsidRDefault="00B621A8" w:rsidP="0043728C">
            <w:pPr>
              <w:pStyle w:val="ParagraphtextCalibri"/>
            </w:pPr>
            <w:r w:rsidRPr="00F4178D">
              <w:t>91%</w:t>
            </w:r>
          </w:p>
        </w:tc>
      </w:tr>
      <w:tr w:rsidR="00B621A8" w:rsidRPr="00F4178D" w14:paraId="284EBFCF" w14:textId="77777777" w:rsidTr="000E0E04">
        <w:trPr>
          <w:cantSplit/>
          <w:trHeight w:val="241"/>
        </w:trPr>
        <w:tc>
          <w:tcPr>
            <w:tcW w:w="1330" w:type="dxa"/>
            <w:tcBorders>
              <w:top w:val="nil"/>
              <w:left w:val="single" w:sz="8" w:space="0" w:color="auto"/>
              <w:bottom w:val="single" w:sz="8" w:space="0" w:color="auto"/>
              <w:right w:val="single" w:sz="8" w:space="0" w:color="auto"/>
            </w:tcBorders>
            <w:shd w:val="clear" w:color="auto" w:fill="auto"/>
            <w:noWrap/>
          </w:tcPr>
          <w:p w14:paraId="767500B3" w14:textId="3D3BAEEB" w:rsidR="00B621A8" w:rsidRPr="0043728C" w:rsidRDefault="00B621A8" w:rsidP="0043728C">
            <w:pPr>
              <w:pStyle w:val="ParagraphtextCalibri"/>
              <w:rPr>
                <w:b/>
                <w:bCs/>
              </w:rPr>
            </w:pPr>
            <w:r w:rsidRPr="0043728C">
              <w:rPr>
                <w:b/>
                <w:bCs/>
              </w:rPr>
              <w:t xml:space="preserve">Cardiac </w:t>
            </w:r>
          </w:p>
        </w:tc>
        <w:tc>
          <w:tcPr>
            <w:tcW w:w="740" w:type="dxa"/>
            <w:tcBorders>
              <w:top w:val="single" w:sz="8" w:space="0" w:color="auto"/>
              <w:left w:val="single" w:sz="8" w:space="0" w:color="auto"/>
              <w:bottom w:val="single" w:sz="8" w:space="0" w:color="auto"/>
              <w:right w:val="single" w:sz="8" w:space="0" w:color="auto"/>
            </w:tcBorders>
            <w:shd w:val="clear" w:color="000000" w:fill="FFCCCC"/>
            <w:noWrap/>
            <w:hideMark/>
          </w:tcPr>
          <w:p w14:paraId="01A8D209" w14:textId="536CF6DA" w:rsidR="00B621A8" w:rsidRPr="00F4178D" w:rsidRDefault="00B621A8" w:rsidP="0043728C">
            <w:pPr>
              <w:pStyle w:val="ParagraphtextCalibri"/>
            </w:pPr>
            <w:r w:rsidRPr="00F4178D">
              <w:t>59%</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48E5240" w14:textId="77777777" w:rsidR="00B621A8" w:rsidRPr="00F4178D" w:rsidRDefault="00B621A8" w:rsidP="0043728C">
            <w:pPr>
              <w:pStyle w:val="ParagraphtextCalibri"/>
            </w:pPr>
            <w:r w:rsidRPr="00F4178D">
              <w:t>87%</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2F636D2" w14:textId="77777777" w:rsidR="00B621A8" w:rsidRPr="00F4178D" w:rsidRDefault="00B621A8" w:rsidP="0043728C">
            <w:pPr>
              <w:pStyle w:val="ParagraphtextCalibri"/>
            </w:pPr>
            <w:r w:rsidRPr="00F4178D">
              <w:t>79%</w:t>
            </w:r>
          </w:p>
        </w:tc>
        <w:tc>
          <w:tcPr>
            <w:tcW w:w="75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AA1E5DD" w14:textId="77777777" w:rsidR="00B621A8" w:rsidRPr="00F4178D" w:rsidRDefault="00B621A8" w:rsidP="0043728C">
            <w:pPr>
              <w:pStyle w:val="ParagraphtextCalibri"/>
            </w:pPr>
            <w:r w:rsidRPr="00F4178D">
              <w:t>76%</w:t>
            </w:r>
          </w:p>
        </w:tc>
        <w:tc>
          <w:tcPr>
            <w:tcW w:w="75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FFC2562" w14:textId="77777777" w:rsidR="00B621A8" w:rsidRPr="00F4178D" w:rsidRDefault="00B621A8" w:rsidP="0043728C">
            <w:pPr>
              <w:pStyle w:val="ParagraphtextCalibri"/>
            </w:pPr>
            <w:r w:rsidRPr="00F4178D">
              <w:t>79%</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732C8C3" w14:textId="77777777" w:rsidR="00B621A8" w:rsidRPr="00F4178D" w:rsidRDefault="00B621A8" w:rsidP="0043728C">
            <w:pPr>
              <w:pStyle w:val="ParagraphtextCalibri"/>
            </w:pPr>
            <w:r w:rsidRPr="00F4178D">
              <w:t>74%</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524CC877" w14:textId="77777777" w:rsidR="00B621A8" w:rsidRPr="00F4178D" w:rsidRDefault="00B621A8" w:rsidP="0043728C">
            <w:pPr>
              <w:pStyle w:val="ParagraphtextCalibri"/>
            </w:pPr>
            <w:r w:rsidRPr="00F4178D">
              <w:t>82%</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6B35F16" w14:textId="77777777" w:rsidR="00B621A8" w:rsidRPr="00F4178D" w:rsidRDefault="00B621A8" w:rsidP="0043728C">
            <w:pPr>
              <w:pStyle w:val="ParagraphtextCalibri"/>
            </w:pPr>
            <w:r w:rsidRPr="00F4178D">
              <w:t>78%</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A53B160" w14:textId="77777777" w:rsidR="00B621A8" w:rsidRPr="00F4178D" w:rsidRDefault="00B621A8" w:rsidP="0043728C">
            <w:pPr>
              <w:pStyle w:val="ParagraphtextCalibri"/>
            </w:pPr>
            <w:r w:rsidRPr="00F4178D">
              <w:t>80%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7C8764F" w14:textId="77777777" w:rsidR="00B621A8" w:rsidRPr="00F4178D" w:rsidRDefault="00B621A8" w:rsidP="0043728C">
            <w:pPr>
              <w:pStyle w:val="ParagraphtextCalibri"/>
            </w:pPr>
            <w:r w:rsidRPr="00F4178D">
              <w:t>82%</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06F84A5" w14:textId="77777777" w:rsidR="00B621A8" w:rsidRPr="00F4178D" w:rsidRDefault="00B621A8" w:rsidP="0043728C">
            <w:pPr>
              <w:pStyle w:val="ParagraphtextCalibri"/>
            </w:pPr>
            <w:r w:rsidRPr="00F4178D">
              <w:t>83%</w:t>
            </w:r>
          </w:p>
        </w:tc>
        <w:tc>
          <w:tcPr>
            <w:tcW w:w="75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140A6E1" w14:textId="77777777" w:rsidR="00B621A8" w:rsidRPr="00F4178D" w:rsidRDefault="00B621A8" w:rsidP="0043728C">
            <w:pPr>
              <w:pStyle w:val="ParagraphtextCalibri"/>
            </w:pPr>
            <w:r w:rsidRPr="00F4178D">
              <w:t>74%</w:t>
            </w:r>
          </w:p>
        </w:tc>
      </w:tr>
      <w:tr w:rsidR="00B621A8" w:rsidRPr="00F4178D" w14:paraId="634A9A14" w14:textId="77777777" w:rsidTr="000E0E04">
        <w:trPr>
          <w:cantSplit/>
          <w:trHeight w:val="259"/>
        </w:trPr>
        <w:tc>
          <w:tcPr>
            <w:tcW w:w="1330" w:type="dxa"/>
            <w:tcBorders>
              <w:top w:val="nil"/>
              <w:left w:val="single" w:sz="8" w:space="0" w:color="auto"/>
              <w:bottom w:val="single" w:sz="8" w:space="0" w:color="auto"/>
              <w:right w:val="single" w:sz="8" w:space="0" w:color="auto"/>
            </w:tcBorders>
            <w:shd w:val="clear" w:color="auto" w:fill="auto"/>
            <w:noWrap/>
          </w:tcPr>
          <w:p w14:paraId="70213945" w14:textId="3F8645FA" w:rsidR="00B621A8" w:rsidRPr="0043728C" w:rsidRDefault="00B621A8" w:rsidP="0043728C">
            <w:pPr>
              <w:pStyle w:val="ParagraphtextCalibri"/>
              <w:rPr>
                <w:b/>
                <w:bCs/>
              </w:rPr>
            </w:pPr>
            <w:r w:rsidRPr="0043728C">
              <w:rPr>
                <w:b/>
                <w:bCs/>
              </w:rPr>
              <w:t>Surg A</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hideMark/>
          </w:tcPr>
          <w:p w14:paraId="459F05F0" w14:textId="3A6F0BB3" w:rsidR="00B621A8" w:rsidRPr="00F4178D" w:rsidRDefault="00B621A8" w:rsidP="0043728C">
            <w:pPr>
              <w:pStyle w:val="ParagraphtextCalibri"/>
            </w:pPr>
            <w:r w:rsidRPr="00F4178D">
              <w:t>81%</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0B39FC8" w14:textId="77777777" w:rsidR="00B621A8" w:rsidRPr="00F4178D" w:rsidRDefault="00B621A8" w:rsidP="0043728C">
            <w:pPr>
              <w:pStyle w:val="ParagraphtextCalibri"/>
            </w:pPr>
            <w:r w:rsidRPr="00F4178D">
              <w:t>100%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06057C19" w14:textId="77777777" w:rsidR="00B621A8" w:rsidRPr="00F4178D" w:rsidRDefault="00B621A8" w:rsidP="0043728C">
            <w:pPr>
              <w:pStyle w:val="ParagraphtextCalibri"/>
            </w:pPr>
            <w:r w:rsidRPr="00F4178D">
              <w:t>90%</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1B7686A7" w14:textId="77777777" w:rsidR="00B621A8" w:rsidRPr="00F4178D" w:rsidRDefault="00B621A8" w:rsidP="0043728C">
            <w:pPr>
              <w:pStyle w:val="ParagraphtextCalibri"/>
            </w:pPr>
            <w:r w:rsidRPr="00F4178D">
              <w:t>67%</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2D188327" w14:textId="77777777" w:rsidR="00B621A8" w:rsidRPr="00F4178D" w:rsidRDefault="00B621A8" w:rsidP="0043728C">
            <w:pPr>
              <w:pStyle w:val="ParagraphtextCalibri"/>
            </w:pPr>
            <w:r w:rsidRPr="00F4178D">
              <w:t>66%</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06C387D" w14:textId="77777777" w:rsidR="00B621A8" w:rsidRPr="00F4178D" w:rsidRDefault="00B621A8" w:rsidP="0043728C">
            <w:pPr>
              <w:pStyle w:val="ParagraphtextCalibri"/>
            </w:pPr>
            <w:r w:rsidRPr="00F4178D">
              <w:t>70%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2BFCFE9" w14:textId="77777777" w:rsidR="00B621A8" w:rsidRPr="00F4178D" w:rsidRDefault="00B621A8" w:rsidP="0043728C">
            <w:pPr>
              <w:pStyle w:val="ParagraphtextCalibri"/>
            </w:pPr>
            <w:r w:rsidRPr="00F4178D">
              <w:t>88%</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398248E" w14:textId="77777777" w:rsidR="00B621A8" w:rsidRPr="00F4178D" w:rsidRDefault="00B621A8" w:rsidP="0043728C">
            <w:pPr>
              <w:pStyle w:val="ParagraphtextCalibri"/>
            </w:pPr>
            <w:r w:rsidRPr="00F4178D">
              <w:t>70%</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3EBF240B" w14:textId="77777777" w:rsidR="00B621A8" w:rsidRPr="00F4178D" w:rsidRDefault="00B621A8" w:rsidP="0043728C">
            <w:pPr>
              <w:pStyle w:val="ParagraphtextCalibri"/>
            </w:pPr>
            <w:r w:rsidRPr="00F4178D">
              <w:t>81%</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5D68646" w14:textId="77777777" w:rsidR="00B621A8" w:rsidRPr="00F4178D" w:rsidRDefault="00B621A8" w:rsidP="0043728C">
            <w:pPr>
              <w:pStyle w:val="ParagraphtextCalibri"/>
            </w:pPr>
            <w:r w:rsidRPr="00F4178D">
              <w:t>77%</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1EA01D2" w14:textId="77777777" w:rsidR="00B621A8" w:rsidRPr="00F4178D" w:rsidRDefault="00B621A8" w:rsidP="0043728C">
            <w:pPr>
              <w:pStyle w:val="ParagraphtextCalibri"/>
            </w:pPr>
            <w:r w:rsidRPr="00F4178D">
              <w:t>79%</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1954BFB1" w14:textId="77777777" w:rsidR="00B621A8" w:rsidRPr="00F4178D" w:rsidRDefault="00B621A8" w:rsidP="0043728C">
            <w:pPr>
              <w:pStyle w:val="ParagraphtextCalibri"/>
            </w:pPr>
            <w:r w:rsidRPr="00F4178D">
              <w:t>81%</w:t>
            </w:r>
          </w:p>
        </w:tc>
      </w:tr>
      <w:tr w:rsidR="00B621A8" w:rsidRPr="00F4178D" w14:paraId="6A94DD8D" w14:textId="77777777" w:rsidTr="000E0E04">
        <w:trPr>
          <w:cantSplit/>
          <w:trHeight w:val="241"/>
        </w:trPr>
        <w:tc>
          <w:tcPr>
            <w:tcW w:w="1330" w:type="dxa"/>
            <w:tcBorders>
              <w:top w:val="nil"/>
              <w:left w:val="single" w:sz="8" w:space="0" w:color="auto"/>
              <w:bottom w:val="single" w:sz="8" w:space="0" w:color="auto"/>
              <w:right w:val="single" w:sz="8" w:space="0" w:color="auto"/>
            </w:tcBorders>
            <w:shd w:val="clear" w:color="auto" w:fill="auto"/>
            <w:noWrap/>
          </w:tcPr>
          <w:p w14:paraId="4005D49F" w14:textId="1D375F7D" w:rsidR="00B621A8" w:rsidRPr="0043728C" w:rsidRDefault="00B621A8" w:rsidP="0043728C">
            <w:pPr>
              <w:pStyle w:val="ParagraphtextCalibri"/>
              <w:rPr>
                <w:b/>
                <w:bCs/>
              </w:rPr>
            </w:pPr>
            <w:r w:rsidRPr="0043728C">
              <w:rPr>
                <w:b/>
                <w:bCs/>
              </w:rPr>
              <w:t>Surg B</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hideMark/>
          </w:tcPr>
          <w:p w14:paraId="3ABAAC0F" w14:textId="6A9F95A6" w:rsidR="00B621A8" w:rsidRPr="00F4178D" w:rsidRDefault="00B621A8" w:rsidP="0043728C">
            <w:pPr>
              <w:pStyle w:val="ParagraphtextCalibri"/>
            </w:pPr>
            <w:r w:rsidRPr="00F4178D">
              <w:t>86%</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26677C30" w14:textId="77777777" w:rsidR="00B621A8" w:rsidRPr="00F4178D" w:rsidRDefault="00B621A8" w:rsidP="0043728C">
            <w:pPr>
              <w:pStyle w:val="ParagraphtextCalibri"/>
            </w:pPr>
            <w:r w:rsidRPr="00F4178D">
              <w:t>85%</w:t>
            </w:r>
          </w:p>
        </w:tc>
        <w:tc>
          <w:tcPr>
            <w:tcW w:w="740" w:type="dxa"/>
            <w:tcBorders>
              <w:top w:val="single" w:sz="8" w:space="0" w:color="auto"/>
              <w:left w:val="single" w:sz="8" w:space="0" w:color="auto"/>
              <w:bottom w:val="single" w:sz="8" w:space="0" w:color="auto"/>
              <w:right w:val="single" w:sz="8" w:space="0" w:color="auto"/>
            </w:tcBorders>
            <w:shd w:val="clear" w:color="000000" w:fill="FFCCCC"/>
            <w:noWrap/>
            <w:vAlign w:val="center"/>
            <w:hideMark/>
          </w:tcPr>
          <w:p w14:paraId="6B1414E0" w14:textId="77777777" w:rsidR="00B621A8" w:rsidRPr="00F4178D" w:rsidRDefault="00B621A8" w:rsidP="0043728C">
            <w:pPr>
              <w:pStyle w:val="ParagraphtextCalibri"/>
            </w:pPr>
            <w:r w:rsidRPr="00F4178D">
              <w:t>58%</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7C71D49A" w14:textId="77777777" w:rsidR="00B621A8" w:rsidRPr="00F4178D" w:rsidRDefault="00B621A8" w:rsidP="0043728C">
            <w:pPr>
              <w:pStyle w:val="ParagraphtextCalibri"/>
            </w:pPr>
            <w:r w:rsidRPr="00F4178D">
              <w:t>86%</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35F60245" w14:textId="77777777" w:rsidR="00B621A8" w:rsidRPr="00F4178D" w:rsidRDefault="00B621A8" w:rsidP="0043728C">
            <w:pPr>
              <w:pStyle w:val="ParagraphtextCalibri"/>
            </w:pPr>
            <w:r w:rsidRPr="00F4178D">
              <w:t>97%</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39C1E151" w14:textId="77777777" w:rsidR="00B621A8" w:rsidRPr="00F4178D" w:rsidRDefault="00B621A8" w:rsidP="0043728C">
            <w:pPr>
              <w:pStyle w:val="ParagraphtextCalibri"/>
            </w:pPr>
            <w:r w:rsidRPr="00F4178D">
              <w:t>92%</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5DEDA881" w14:textId="77777777" w:rsidR="00B621A8" w:rsidRPr="00F4178D" w:rsidRDefault="00B621A8" w:rsidP="0043728C">
            <w:pPr>
              <w:pStyle w:val="ParagraphtextCalibri"/>
            </w:pPr>
            <w:r w:rsidRPr="00F4178D">
              <w:t>95%</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1665308" w14:textId="77777777" w:rsidR="00B621A8" w:rsidRPr="00F4178D" w:rsidRDefault="00B621A8" w:rsidP="0043728C">
            <w:pPr>
              <w:pStyle w:val="ParagraphtextCalibri"/>
            </w:pPr>
            <w:r w:rsidRPr="00F4178D">
              <w:t>91%</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D8BF82D" w14:textId="77777777" w:rsidR="00B621A8" w:rsidRPr="00F4178D" w:rsidRDefault="00B621A8" w:rsidP="0043728C">
            <w:pPr>
              <w:pStyle w:val="ParagraphtextCalibri"/>
            </w:pPr>
            <w:r w:rsidRPr="00F4178D">
              <w:t>95%</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DBCBEE1" w14:textId="77777777" w:rsidR="00B621A8" w:rsidRPr="00F4178D" w:rsidRDefault="00B621A8" w:rsidP="0043728C">
            <w:pPr>
              <w:pStyle w:val="ParagraphtextCalibri"/>
            </w:pPr>
            <w:r w:rsidRPr="00F4178D">
              <w:t>90%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1CF3653A" w14:textId="77777777" w:rsidR="00B621A8" w:rsidRPr="00F4178D" w:rsidRDefault="00B621A8" w:rsidP="0043728C">
            <w:pPr>
              <w:pStyle w:val="ParagraphtextCalibri"/>
            </w:pPr>
            <w:r w:rsidRPr="00F4178D">
              <w:t>98%</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407F3158" w14:textId="77777777" w:rsidR="00B621A8" w:rsidRPr="00F4178D" w:rsidRDefault="00B621A8" w:rsidP="0043728C">
            <w:pPr>
              <w:pStyle w:val="ParagraphtextCalibri"/>
            </w:pPr>
            <w:r w:rsidRPr="00F4178D">
              <w:t>100%</w:t>
            </w:r>
          </w:p>
        </w:tc>
      </w:tr>
      <w:tr w:rsidR="00B621A8" w:rsidRPr="00F4178D" w14:paraId="04141431" w14:textId="77777777" w:rsidTr="000E0E04">
        <w:trPr>
          <w:cantSplit/>
          <w:trHeight w:val="151"/>
        </w:trPr>
        <w:tc>
          <w:tcPr>
            <w:tcW w:w="1330" w:type="dxa"/>
            <w:tcBorders>
              <w:top w:val="nil"/>
              <w:left w:val="single" w:sz="8" w:space="0" w:color="auto"/>
              <w:bottom w:val="single" w:sz="8" w:space="0" w:color="auto"/>
              <w:right w:val="single" w:sz="8" w:space="0" w:color="auto"/>
            </w:tcBorders>
            <w:shd w:val="clear" w:color="auto" w:fill="auto"/>
            <w:noWrap/>
            <w:hideMark/>
          </w:tcPr>
          <w:p w14:paraId="0189D30A" w14:textId="558700BC" w:rsidR="00B621A8" w:rsidRPr="0043728C" w:rsidRDefault="00B621A8" w:rsidP="0043728C">
            <w:pPr>
              <w:pStyle w:val="ParagraphtextCalibri"/>
              <w:rPr>
                <w:b/>
                <w:bCs/>
              </w:rPr>
            </w:pPr>
            <w:r w:rsidRPr="0043728C">
              <w:rPr>
                <w:b/>
                <w:bCs/>
              </w:rPr>
              <w:t>Stepdown</w:t>
            </w:r>
          </w:p>
        </w:tc>
        <w:tc>
          <w:tcPr>
            <w:tcW w:w="740"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1F71CD86" w14:textId="4989B43F" w:rsidR="00B621A8" w:rsidRPr="00F4178D" w:rsidRDefault="00B621A8" w:rsidP="0043728C">
            <w:pPr>
              <w:pStyle w:val="ParagraphtextCalibri"/>
            </w:pPr>
            <w:r w:rsidRPr="00F4178D">
              <w:t>62%</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6BE64B92" w14:textId="77777777" w:rsidR="00B621A8" w:rsidRPr="00F4178D" w:rsidRDefault="00B621A8" w:rsidP="0043728C">
            <w:pPr>
              <w:pStyle w:val="ParagraphtextCalibri"/>
            </w:pPr>
            <w:r w:rsidRPr="00F4178D">
              <w:t>65%</w:t>
            </w:r>
          </w:p>
        </w:tc>
        <w:tc>
          <w:tcPr>
            <w:tcW w:w="740"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7CEE06BA" w14:textId="77777777" w:rsidR="00B621A8" w:rsidRPr="00F4178D" w:rsidRDefault="00B621A8" w:rsidP="0043728C">
            <w:pPr>
              <w:pStyle w:val="ParagraphtextCalibri"/>
            </w:pPr>
            <w:r w:rsidRPr="00F4178D">
              <w:t>43%</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5284F858" w14:textId="77777777" w:rsidR="00B621A8" w:rsidRPr="00F4178D" w:rsidRDefault="00B621A8" w:rsidP="0043728C">
            <w:pPr>
              <w:pStyle w:val="ParagraphtextCalibri"/>
            </w:pPr>
            <w:r w:rsidRPr="00F4178D">
              <w:t>53%</w:t>
            </w:r>
          </w:p>
        </w:tc>
        <w:tc>
          <w:tcPr>
            <w:tcW w:w="753" w:type="dxa"/>
            <w:tcBorders>
              <w:top w:val="single" w:sz="8" w:space="0" w:color="auto"/>
              <w:left w:val="single" w:sz="8" w:space="0" w:color="auto"/>
              <w:bottom w:val="single" w:sz="8" w:space="0" w:color="auto"/>
              <w:right w:val="single" w:sz="8" w:space="0" w:color="auto"/>
            </w:tcBorders>
            <w:shd w:val="clear" w:color="000000" w:fill="FFCCCC"/>
            <w:noWrap/>
            <w:vAlign w:val="bottom"/>
            <w:hideMark/>
          </w:tcPr>
          <w:p w14:paraId="52381BAA" w14:textId="77777777" w:rsidR="00B621A8" w:rsidRPr="00F4178D" w:rsidRDefault="00B621A8" w:rsidP="0043728C">
            <w:pPr>
              <w:pStyle w:val="ParagraphtextCalibri"/>
            </w:pPr>
            <w:r w:rsidRPr="00F4178D">
              <w:t>50%</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D8A1E7A" w14:textId="77777777" w:rsidR="00B621A8" w:rsidRPr="00F4178D" w:rsidRDefault="00B621A8" w:rsidP="0043728C">
            <w:pPr>
              <w:pStyle w:val="ParagraphtextCalibri"/>
            </w:pPr>
            <w:r w:rsidRPr="00F4178D">
              <w:t>72%</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6C0005E" w14:textId="77777777" w:rsidR="00B621A8" w:rsidRPr="00F4178D" w:rsidRDefault="00B621A8" w:rsidP="0043728C">
            <w:pPr>
              <w:pStyle w:val="ParagraphtextCalibri"/>
            </w:pPr>
            <w:r w:rsidRPr="00F4178D">
              <w:t>72%</w:t>
            </w:r>
          </w:p>
        </w:tc>
        <w:tc>
          <w:tcPr>
            <w:tcW w:w="7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EDAEC04" w14:textId="77777777" w:rsidR="00B621A8" w:rsidRPr="00F4178D" w:rsidRDefault="00B621A8" w:rsidP="0043728C">
            <w:pPr>
              <w:pStyle w:val="ParagraphtextCalibri"/>
            </w:pPr>
            <w:r w:rsidRPr="00F4178D">
              <w:t>74%</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3F9D3570" w14:textId="77777777" w:rsidR="00B621A8" w:rsidRPr="00F4178D" w:rsidRDefault="00B621A8" w:rsidP="0043728C">
            <w:pPr>
              <w:pStyle w:val="ParagraphtextCalibri"/>
            </w:pPr>
            <w:r w:rsidRPr="00F4178D">
              <w:t>80%</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0D17D751" w14:textId="77777777" w:rsidR="00B621A8" w:rsidRPr="00F4178D" w:rsidRDefault="00B621A8" w:rsidP="0043728C">
            <w:pPr>
              <w:pStyle w:val="ParagraphtextCalibri"/>
            </w:pPr>
            <w:r w:rsidRPr="00F4178D">
              <w:t>82%</w:t>
            </w:r>
          </w:p>
        </w:tc>
        <w:tc>
          <w:tcPr>
            <w:tcW w:w="740"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66ABF8CB" w14:textId="77777777" w:rsidR="00B621A8" w:rsidRPr="00F4178D" w:rsidRDefault="00B621A8" w:rsidP="0043728C">
            <w:pPr>
              <w:pStyle w:val="ParagraphtextCalibri"/>
            </w:pPr>
            <w:r w:rsidRPr="00F4178D">
              <w:t>83%</w:t>
            </w:r>
          </w:p>
        </w:tc>
        <w:tc>
          <w:tcPr>
            <w:tcW w:w="75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6E7470B0" w14:textId="77777777" w:rsidR="00B621A8" w:rsidRPr="00F4178D" w:rsidRDefault="00B621A8" w:rsidP="0043728C">
            <w:pPr>
              <w:pStyle w:val="ParagraphtextCalibri"/>
            </w:pPr>
            <w:r w:rsidRPr="00F4178D">
              <w:t>86%</w:t>
            </w:r>
          </w:p>
        </w:tc>
      </w:tr>
    </w:tbl>
    <w:p w14:paraId="641D5469" w14:textId="77777777" w:rsidR="00DB54C1" w:rsidRPr="006B4969" w:rsidRDefault="00DB54C1" w:rsidP="0043728C">
      <w:pPr>
        <w:pStyle w:val="ParagraphtextCalibri"/>
      </w:pPr>
    </w:p>
    <w:tbl>
      <w:tblPr>
        <w:tblW w:w="4057" w:type="dxa"/>
        <w:tblLook w:val="04A0" w:firstRow="1" w:lastRow="0" w:firstColumn="1" w:lastColumn="0" w:noHBand="0" w:noVBand="1"/>
      </w:tblPr>
      <w:tblGrid>
        <w:gridCol w:w="975"/>
        <w:gridCol w:w="3082"/>
      </w:tblGrid>
      <w:tr w:rsidR="0043728C" w:rsidRPr="00F4178D" w14:paraId="3FDE5489" w14:textId="77777777" w:rsidTr="00C86E3E">
        <w:trPr>
          <w:cantSplit/>
          <w:trHeight w:val="213"/>
          <w:tblHeader/>
        </w:trPr>
        <w:tc>
          <w:tcPr>
            <w:tcW w:w="975" w:type="dxa"/>
            <w:tcBorders>
              <w:top w:val="single" w:sz="12" w:space="0" w:color="auto"/>
              <w:left w:val="single" w:sz="12" w:space="0" w:color="auto"/>
              <w:bottom w:val="single" w:sz="4" w:space="0" w:color="auto"/>
              <w:right w:val="single" w:sz="4" w:space="0" w:color="FFFFFF" w:themeColor="background1"/>
            </w:tcBorders>
            <w:shd w:val="clear" w:color="auto" w:fill="auto"/>
            <w:noWrap/>
            <w:hideMark/>
          </w:tcPr>
          <w:p w14:paraId="602B358D" w14:textId="77777777" w:rsidR="0043728C" w:rsidRPr="0043728C" w:rsidRDefault="0043728C" w:rsidP="0043728C">
            <w:pPr>
              <w:pStyle w:val="ParagraphtextCalibri"/>
              <w:rPr>
                <w:b/>
                <w:bCs/>
              </w:rPr>
            </w:pPr>
            <w:r>
              <w:rPr>
                <w:b/>
                <w:bCs/>
              </w:rPr>
              <w:t>Color</w:t>
            </w:r>
          </w:p>
        </w:tc>
        <w:tc>
          <w:tcPr>
            <w:tcW w:w="3082" w:type="dxa"/>
            <w:tcBorders>
              <w:top w:val="single" w:sz="12" w:space="0" w:color="auto"/>
              <w:left w:val="single" w:sz="4" w:space="0" w:color="FFFFFF" w:themeColor="background1"/>
              <w:bottom w:val="single" w:sz="4" w:space="0" w:color="auto"/>
              <w:right w:val="single" w:sz="12" w:space="0" w:color="000000"/>
            </w:tcBorders>
            <w:shd w:val="clear" w:color="auto" w:fill="auto"/>
          </w:tcPr>
          <w:p w14:paraId="0DACF922" w14:textId="7D12C4F3" w:rsidR="0043728C" w:rsidRPr="0043728C" w:rsidRDefault="0043728C" w:rsidP="0043728C">
            <w:pPr>
              <w:pStyle w:val="ParagraphtextCalibri"/>
              <w:rPr>
                <w:b/>
                <w:bCs/>
              </w:rPr>
            </w:pPr>
            <w:r>
              <w:rPr>
                <w:b/>
                <w:bCs/>
              </w:rPr>
              <w:t>Key</w:t>
            </w:r>
          </w:p>
        </w:tc>
      </w:tr>
      <w:tr w:rsidR="00F4178D" w:rsidRPr="00F4178D" w14:paraId="7A4C8511" w14:textId="77777777" w:rsidTr="00C86E3E">
        <w:trPr>
          <w:cantSplit/>
          <w:trHeight w:val="288"/>
        </w:trPr>
        <w:tc>
          <w:tcPr>
            <w:tcW w:w="975" w:type="dxa"/>
            <w:tcBorders>
              <w:top w:val="nil"/>
              <w:left w:val="single" w:sz="12" w:space="0" w:color="auto"/>
              <w:bottom w:val="nil"/>
              <w:right w:val="single" w:sz="12" w:space="0" w:color="auto"/>
            </w:tcBorders>
            <w:shd w:val="clear" w:color="000000" w:fill="92D050"/>
            <w:noWrap/>
            <w:vAlign w:val="bottom"/>
            <w:hideMark/>
          </w:tcPr>
          <w:p w14:paraId="4F5DD4AD" w14:textId="1F924868" w:rsidR="00F4178D" w:rsidRPr="00F4178D" w:rsidRDefault="00F4178D" w:rsidP="0043728C">
            <w:pPr>
              <w:pStyle w:val="ParagraphtextCalibri"/>
            </w:pPr>
          </w:p>
        </w:tc>
        <w:tc>
          <w:tcPr>
            <w:tcW w:w="3082" w:type="dxa"/>
            <w:tcBorders>
              <w:top w:val="nil"/>
              <w:left w:val="nil"/>
              <w:bottom w:val="nil"/>
              <w:right w:val="single" w:sz="12" w:space="0" w:color="auto"/>
            </w:tcBorders>
            <w:shd w:val="clear" w:color="auto" w:fill="auto"/>
            <w:noWrap/>
            <w:vAlign w:val="bottom"/>
            <w:hideMark/>
          </w:tcPr>
          <w:p w14:paraId="5DB4C092" w14:textId="17115144" w:rsidR="00F4178D" w:rsidRPr="00F4178D" w:rsidRDefault="00172219" w:rsidP="0043728C">
            <w:pPr>
              <w:pStyle w:val="ParagraphtextCalibri"/>
            </w:pPr>
            <w:r>
              <w:t>80% or higher adher</w:t>
            </w:r>
            <w:r w:rsidR="00CD53AB">
              <w:t>e</w:t>
            </w:r>
            <w:r w:rsidR="00F4178D" w:rsidRPr="00F4178D">
              <w:t>nce</w:t>
            </w:r>
          </w:p>
        </w:tc>
      </w:tr>
      <w:tr w:rsidR="00F4178D" w:rsidRPr="00F4178D" w14:paraId="0DAEC551" w14:textId="77777777" w:rsidTr="00C86E3E">
        <w:trPr>
          <w:cantSplit/>
          <w:trHeight w:val="288"/>
        </w:trPr>
        <w:tc>
          <w:tcPr>
            <w:tcW w:w="975" w:type="dxa"/>
            <w:tcBorders>
              <w:top w:val="nil"/>
              <w:left w:val="single" w:sz="12" w:space="0" w:color="auto"/>
              <w:bottom w:val="nil"/>
              <w:right w:val="single" w:sz="12" w:space="0" w:color="auto"/>
            </w:tcBorders>
            <w:shd w:val="clear" w:color="000000" w:fill="FFFF00"/>
            <w:noWrap/>
            <w:vAlign w:val="bottom"/>
            <w:hideMark/>
          </w:tcPr>
          <w:p w14:paraId="6499C9D2" w14:textId="77777777" w:rsidR="00F4178D" w:rsidRPr="00F4178D" w:rsidRDefault="00F4178D" w:rsidP="0043728C">
            <w:pPr>
              <w:pStyle w:val="ParagraphtextCalibri"/>
            </w:pPr>
            <w:r w:rsidRPr="00F4178D">
              <w:t> </w:t>
            </w:r>
          </w:p>
        </w:tc>
        <w:tc>
          <w:tcPr>
            <w:tcW w:w="3082" w:type="dxa"/>
            <w:tcBorders>
              <w:top w:val="nil"/>
              <w:left w:val="nil"/>
              <w:bottom w:val="nil"/>
              <w:right w:val="single" w:sz="12" w:space="0" w:color="auto"/>
            </w:tcBorders>
            <w:shd w:val="clear" w:color="auto" w:fill="auto"/>
            <w:noWrap/>
            <w:vAlign w:val="bottom"/>
            <w:hideMark/>
          </w:tcPr>
          <w:p w14:paraId="7AE065D0" w14:textId="3AAA21DB" w:rsidR="00F4178D" w:rsidRPr="00F4178D" w:rsidRDefault="00F4178D" w:rsidP="0043728C">
            <w:pPr>
              <w:pStyle w:val="ParagraphtextCalibri"/>
            </w:pPr>
            <w:r w:rsidRPr="00F4178D">
              <w:t>70-</w:t>
            </w:r>
            <w:r w:rsidR="004657EC">
              <w:t>79</w:t>
            </w:r>
            <w:r w:rsidRPr="00F4178D">
              <w:t xml:space="preserve">% </w:t>
            </w:r>
            <w:r w:rsidR="00CD53AB">
              <w:t>adhere</w:t>
            </w:r>
            <w:r w:rsidR="00CD53AB" w:rsidRPr="00F4178D">
              <w:t>nce</w:t>
            </w:r>
          </w:p>
        </w:tc>
      </w:tr>
      <w:tr w:rsidR="00F4178D" w:rsidRPr="00F4178D" w14:paraId="30DB6FBF" w14:textId="77777777" w:rsidTr="00C86E3E">
        <w:trPr>
          <w:cantSplit/>
          <w:trHeight w:val="300"/>
        </w:trPr>
        <w:tc>
          <w:tcPr>
            <w:tcW w:w="975" w:type="dxa"/>
            <w:tcBorders>
              <w:top w:val="nil"/>
              <w:left w:val="single" w:sz="12" w:space="0" w:color="auto"/>
              <w:bottom w:val="single" w:sz="12" w:space="0" w:color="auto"/>
              <w:right w:val="single" w:sz="12" w:space="0" w:color="auto"/>
            </w:tcBorders>
            <w:shd w:val="clear" w:color="000000" w:fill="FFCCCC"/>
            <w:noWrap/>
            <w:vAlign w:val="bottom"/>
            <w:hideMark/>
          </w:tcPr>
          <w:p w14:paraId="04D46582" w14:textId="77777777" w:rsidR="00F4178D" w:rsidRPr="00F4178D" w:rsidRDefault="00F4178D" w:rsidP="0043728C">
            <w:pPr>
              <w:pStyle w:val="ParagraphtextCalibri"/>
            </w:pPr>
            <w:r w:rsidRPr="00F4178D">
              <w:t> </w:t>
            </w:r>
          </w:p>
        </w:tc>
        <w:tc>
          <w:tcPr>
            <w:tcW w:w="3082" w:type="dxa"/>
            <w:tcBorders>
              <w:top w:val="nil"/>
              <w:left w:val="nil"/>
              <w:bottom w:val="single" w:sz="12" w:space="0" w:color="auto"/>
              <w:right w:val="single" w:sz="12" w:space="0" w:color="auto"/>
            </w:tcBorders>
            <w:shd w:val="clear" w:color="auto" w:fill="auto"/>
            <w:noWrap/>
            <w:vAlign w:val="bottom"/>
            <w:hideMark/>
          </w:tcPr>
          <w:p w14:paraId="6346DEBA" w14:textId="24AB52A2" w:rsidR="00F4178D" w:rsidRPr="00F4178D" w:rsidRDefault="00F4178D" w:rsidP="0043728C">
            <w:pPr>
              <w:pStyle w:val="ParagraphtextCalibri"/>
            </w:pPr>
            <w:r w:rsidRPr="00F4178D">
              <w:t xml:space="preserve">&lt;70% </w:t>
            </w:r>
            <w:r w:rsidR="00CD53AB">
              <w:t>adhere</w:t>
            </w:r>
            <w:r w:rsidR="00CD53AB" w:rsidRPr="00F4178D">
              <w:t>nce</w:t>
            </w:r>
          </w:p>
        </w:tc>
      </w:tr>
    </w:tbl>
    <w:p w14:paraId="2B7CB2EF" w14:textId="77777777" w:rsidR="004D0686" w:rsidRDefault="004D0686" w:rsidP="004D0686">
      <w:pPr>
        <w:pStyle w:val="ListParagraph"/>
        <w:spacing w:before="120" w:after="0" w:line="240" w:lineRule="auto"/>
        <w:rPr>
          <w:rFonts w:cs="Arial"/>
          <w:sz w:val="24"/>
          <w:szCs w:val="24"/>
        </w:rPr>
      </w:pPr>
    </w:p>
    <w:p w14:paraId="34E577F8" w14:textId="5B92D831" w:rsidR="00EA256C" w:rsidRPr="0043728C" w:rsidRDefault="00011F8F" w:rsidP="0043728C">
      <w:pPr>
        <w:pStyle w:val="ParagraphtextCalibri"/>
        <w:numPr>
          <w:ilvl w:val="0"/>
          <w:numId w:val="40"/>
        </w:numPr>
      </w:pPr>
      <w:r w:rsidRPr="0043728C">
        <w:t xml:space="preserve">Nasal product </w:t>
      </w:r>
      <w:r w:rsidR="00EA256C" w:rsidRPr="0043728C">
        <w:t>adherence report</w:t>
      </w:r>
    </w:p>
    <w:p w14:paraId="4C0DA3A8" w14:textId="11C15922" w:rsidR="0051691C" w:rsidRPr="0043728C" w:rsidRDefault="00011F8F" w:rsidP="0043728C">
      <w:pPr>
        <w:pStyle w:val="ParagraphtextCalibri"/>
        <w:numPr>
          <w:ilvl w:val="1"/>
          <w:numId w:val="40"/>
        </w:numPr>
      </w:pPr>
      <w:r w:rsidRPr="0043728C">
        <w:t>M</w:t>
      </w:r>
      <w:r w:rsidR="0051691C" w:rsidRPr="0043728C">
        <w:t xml:space="preserve">edication administration including mupirocin (or iodophor) is tracked in all hospitals. Reports can be </w:t>
      </w:r>
      <w:r w:rsidRPr="0043728C">
        <w:t>built to track adherence of thes</w:t>
      </w:r>
      <w:r w:rsidR="0051691C" w:rsidRPr="0043728C">
        <w:t>e products in MRSA</w:t>
      </w:r>
      <w:r w:rsidR="004657EC" w:rsidRPr="0043728C">
        <w:t xml:space="preserve"> carriers</w:t>
      </w:r>
      <w:r w:rsidR="004657EC" w:rsidRPr="0043728C" w:rsidDel="004657EC">
        <w:t xml:space="preserve"> </w:t>
      </w:r>
      <w:r w:rsidR="0051691C" w:rsidRPr="0043728C">
        <w:t xml:space="preserve">as well. </w:t>
      </w:r>
      <w:r w:rsidR="00EA256C" w:rsidRPr="0043728C">
        <w:t xml:space="preserve">Refer to </w:t>
      </w:r>
      <w:r w:rsidR="0051691C" w:rsidRPr="0043728C">
        <w:t xml:space="preserve">your local </w:t>
      </w:r>
      <w:r w:rsidR="00B13953" w:rsidRPr="0043728C">
        <w:t>information technology</w:t>
      </w:r>
      <w:r w:rsidR="0051691C" w:rsidRPr="0043728C">
        <w:t xml:space="preserve"> department</w:t>
      </w:r>
      <w:r w:rsidR="00B13953" w:rsidRPr="0043728C">
        <w:t xml:space="preserve"> for assistance building a report</w:t>
      </w:r>
      <w:r w:rsidR="0051691C" w:rsidRPr="0043728C">
        <w:t>.</w:t>
      </w:r>
    </w:p>
    <w:p w14:paraId="7E2DD220" w14:textId="602A39A8" w:rsidR="000B731C" w:rsidRDefault="000E0E04" w:rsidP="000E0E04">
      <w:pPr>
        <w:tabs>
          <w:tab w:val="left" w:pos="-270"/>
          <w:tab w:val="left" w:pos="-90"/>
        </w:tabs>
        <w:spacing w:before="3600" w:beforeAutospacing="0" w:after="0" w:line="240" w:lineRule="auto"/>
        <w:jc w:val="right"/>
        <w:rPr>
          <w:rFonts w:cs="Arial"/>
        </w:rPr>
      </w:pPr>
      <w:r>
        <w:rPr>
          <w:rFonts w:cs="Arial"/>
        </w:rPr>
        <w:t>AHRQ Pub. No. 20(22)-0036</w:t>
      </w:r>
    </w:p>
    <w:p w14:paraId="4EF2C3A0" w14:textId="7EDCC9DC" w:rsidR="000E0E04" w:rsidRPr="000E0E04" w:rsidRDefault="000E0E04" w:rsidP="000E0E04">
      <w:pPr>
        <w:tabs>
          <w:tab w:val="left" w:pos="-270"/>
          <w:tab w:val="left" w:pos="-90"/>
        </w:tabs>
        <w:spacing w:before="0" w:beforeAutospacing="0" w:after="0" w:line="240" w:lineRule="auto"/>
        <w:jc w:val="right"/>
        <w:rPr>
          <w:rFonts w:cs="Arial"/>
        </w:rPr>
      </w:pPr>
      <w:r>
        <w:rPr>
          <w:rFonts w:cs="Arial"/>
        </w:rPr>
        <w:t>March 2022</w:t>
      </w:r>
    </w:p>
    <w:sectPr w:rsidR="000E0E04" w:rsidRPr="000E0E04" w:rsidSect="000C743B">
      <w:footerReference w:type="default" r:id="rId11"/>
      <w:footerReference w:type="first" r:id="rId12"/>
      <w:pgSz w:w="12240" w:h="15840"/>
      <w:pgMar w:top="1260" w:right="1440" w:bottom="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43A1" w14:textId="77777777" w:rsidR="00CF3457" w:rsidRDefault="00CF3457" w:rsidP="008C451C">
      <w:pPr>
        <w:spacing w:before="0" w:after="0" w:line="240" w:lineRule="auto"/>
      </w:pPr>
      <w:r>
        <w:separator/>
      </w:r>
    </w:p>
  </w:endnote>
  <w:endnote w:type="continuationSeparator" w:id="0">
    <w:p w14:paraId="4953804B" w14:textId="77777777" w:rsidR="00CF3457" w:rsidRDefault="00CF3457"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DCEB5" w14:textId="16D4E621" w:rsidR="00261127" w:rsidRPr="000C743B" w:rsidRDefault="000C743B" w:rsidP="000C743B">
    <w:pPr>
      <w:pStyle w:val="EndnoteText1"/>
      <w:tabs>
        <w:tab w:val="right" w:pos="9450"/>
      </w:tabs>
      <w:rPr>
        <w:rFonts w:cs="Calibri Light"/>
      </w:rPr>
    </w:pPr>
    <w:r>
      <w:rPr>
        <w:noProof/>
      </w:rPr>
      <w:drawing>
        <wp:anchor distT="0" distB="0" distL="114300" distR="114300" simplePos="0" relativeHeight="251659264" behindDoc="1" locked="0" layoutInCell="1" allowOverlap="1" wp14:anchorId="284CF2E0" wp14:editId="11DC7002">
          <wp:simplePos x="0" y="0"/>
          <wp:positionH relativeFrom="column">
            <wp:posOffset>-962025</wp:posOffset>
          </wp:positionH>
          <wp:positionV relativeFrom="page">
            <wp:posOffset>9315450</wp:posOffset>
          </wp:positionV>
          <wp:extent cx="7863840" cy="773107"/>
          <wp:effectExtent l="0" t="0" r="3810" b="8255"/>
          <wp:wrapNone/>
          <wp:docPr id="1" name="Picture 1" descr="Footer banner with 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er banner with AHRQ logo"/>
                  <pic:cNvPicPr/>
                </pic:nvPicPr>
                <pic:blipFill>
                  <a:blip r:embed="rId1">
                    <a:extLst>
                      <a:ext uri="{28A0092B-C50C-407E-A947-70E740481C1C}">
                        <a14:useLocalDpi xmlns:a14="http://schemas.microsoft.com/office/drawing/2010/main" val="0"/>
                      </a:ext>
                    </a:extLst>
                  </a:blip>
                  <a:stretch>
                    <a:fillRect/>
                  </a:stretch>
                </pic:blipFill>
                <pic:spPr>
                  <a:xfrm>
                    <a:off x="0" y="0"/>
                    <a:ext cx="7863840" cy="7731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77C1" w14:textId="1010B52B" w:rsidR="000C743B" w:rsidRDefault="000C743B" w:rsidP="004024B3">
    <w:pPr>
      <w:pStyle w:val="EndnoteText1"/>
      <w:tabs>
        <w:tab w:val="right" w:pos="9180"/>
      </w:tabs>
      <w:rPr>
        <w:rFonts w:cs="Calibri Light"/>
      </w:rPr>
    </w:pPr>
    <w:r>
      <w:rPr>
        <w:noProof/>
      </w:rPr>
      <w:drawing>
        <wp:anchor distT="0" distB="0" distL="114300" distR="114300" simplePos="0" relativeHeight="251661312" behindDoc="1" locked="0" layoutInCell="1" allowOverlap="1" wp14:anchorId="2253AE2F" wp14:editId="30DC74B6">
          <wp:simplePos x="0" y="0"/>
          <wp:positionH relativeFrom="column">
            <wp:posOffset>-962025</wp:posOffset>
          </wp:positionH>
          <wp:positionV relativeFrom="page">
            <wp:posOffset>9321800</wp:posOffset>
          </wp:positionV>
          <wp:extent cx="7863840" cy="773107"/>
          <wp:effectExtent l="0" t="0" r="3810" b="8255"/>
          <wp:wrapNone/>
          <wp:docPr id="2" name="Picture 2" descr="Footer banner with AHR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er banner with AHRQ logo"/>
                  <pic:cNvPicPr/>
                </pic:nvPicPr>
                <pic:blipFill>
                  <a:blip r:embed="rId1">
                    <a:extLst>
                      <a:ext uri="{28A0092B-C50C-407E-A947-70E740481C1C}">
                        <a14:useLocalDpi xmlns:a14="http://schemas.microsoft.com/office/drawing/2010/main" val="0"/>
                      </a:ext>
                    </a:extLst>
                  </a:blip>
                  <a:stretch>
                    <a:fillRect/>
                  </a:stretch>
                </pic:blipFill>
                <pic:spPr>
                  <a:xfrm>
                    <a:off x="0" y="0"/>
                    <a:ext cx="7863840" cy="773107"/>
                  </a:xfrm>
                  <a:prstGeom prst="rect">
                    <a:avLst/>
                  </a:prstGeom>
                </pic:spPr>
              </pic:pic>
            </a:graphicData>
          </a:graphic>
          <wp14:sizeRelH relativeFrom="margin">
            <wp14:pctWidth>0</wp14:pctWidth>
          </wp14:sizeRelH>
          <wp14:sizeRelV relativeFrom="margin">
            <wp14:pctHeight>0</wp14:pctHeight>
          </wp14:sizeRelV>
        </wp:anchor>
      </w:drawing>
    </w:r>
    <w:r>
      <w:rPr>
        <w:rFonts w:cs="Calibri Light"/>
      </w:rPr>
      <w:tab/>
    </w:r>
  </w:p>
  <w:p w14:paraId="2FF7D342" w14:textId="77777777" w:rsidR="000C743B" w:rsidRPr="000C743B" w:rsidRDefault="000C743B" w:rsidP="000C743B">
    <w:pPr>
      <w:pStyle w:val="EndnoteText1"/>
      <w:tabs>
        <w:tab w:val="right" w:pos="8640"/>
        <w:tab w:val="right" w:pos="9180"/>
        <w:tab w:val="right" w:pos="14400"/>
      </w:tabs>
      <w:rPr>
        <w:rFonts w:cs="Calibri Light"/>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DE7DE" w14:textId="77777777" w:rsidR="00CF3457" w:rsidRDefault="00CF3457" w:rsidP="008C451C">
      <w:pPr>
        <w:spacing w:before="0" w:after="0" w:line="240" w:lineRule="auto"/>
      </w:pPr>
      <w:r>
        <w:separator/>
      </w:r>
    </w:p>
  </w:footnote>
  <w:footnote w:type="continuationSeparator" w:id="0">
    <w:p w14:paraId="7B9304C6" w14:textId="77777777" w:rsidR="00CF3457" w:rsidRDefault="00CF3457" w:rsidP="008C451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679"/>
    <w:multiLevelType w:val="hybridMultilevel"/>
    <w:tmpl w:val="E5C6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AE8"/>
    <w:multiLevelType w:val="hybridMultilevel"/>
    <w:tmpl w:val="E9723C7E"/>
    <w:lvl w:ilvl="0" w:tplc="4802F6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4284D"/>
    <w:multiLevelType w:val="hybridMultilevel"/>
    <w:tmpl w:val="AE5EFC6E"/>
    <w:lvl w:ilvl="0" w:tplc="812E612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40406"/>
    <w:multiLevelType w:val="hybridMultilevel"/>
    <w:tmpl w:val="0002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80C45"/>
    <w:multiLevelType w:val="hybridMultilevel"/>
    <w:tmpl w:val="EE1C42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1B721536"/>
    <w:multiLevelType w:val="hybridMultilevel"/>
    <w:tmpl w:val="C2DE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81807"/>
    <w:multiLevelType w:val="hybridMultilevel"/>
    <w:tmpl w:val="E8B27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56841"/>
    <w:multiLevelType w:val="hybridMultilevel"/>
    <w:tmpl w:val="01D81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75432E"/>
    <w:multiLevelType w:val="hybridMultilevel"/>
    <w:tmpl w:val="E83E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73330C"/>
    <w:multiLevelType w:val="hybridMultilevel"/>
    <w:tmpl w:val="026644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0243"/>
    <w:multiLevelType w:val="hybridMultilevel"/>
    <w:tmpl w:val="EC8E9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7250D"/>
    <w:multiLevelType w:val="hybridMultilevel"/>
    <w:tmpl w:val="EFDA3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76EB0"/>
    <w:multiLevelType w:val="hybridMultilevel"/>
    <w:tmpl w:val="3A52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408D1F22"/>
    <w:multiLevelType w:val="hybridMultilevel"/>
    <w:tmpl w:val="28A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951F54"/>
    <w:multiLevelType w:val="hybridMultilevel"/>
    <w:tmpl w:val="0BF2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B3E2B"/>
    <w:multiLevelType w:val="hybridMultilevel"/>
    <w:tmpl w:val="A79A2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3F4BCD"/>
    <w:multiLevelType w:val="hybridMultilevel"/>
    <w:tmpl w:val="56FC5E1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1054FC"/>
    <w:multiLevelType w:val="hybridMultilevel"/>
    <w:tmpl w:val="75E8C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14537"/>
    <w:multiLevelType w:val="hybridMultilevel"/>
    <w:tmpl w:val="7D78D1E4"/>
    <w:lvl w:ilvl="0" w:tplc="4802F6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C75C1"/>
    <w:multiLevelType w:val="hybridMultilevel"/>
    <w:tmpl w:val="1C2E5B9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8" w15:restartNumberingAfterBreak="0">
    <w:nsid w:val="531F10FE"/>
    <w:multiLevelType w:val="hybridMultilevel"/>
    <w:tmpl w:val="571E7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C1314"/>
    <w:multiLevelType w:val="hybridMultilevel"/>
    <w:tmpl w:val="D61EFE58"/>
    <w:lvl w:ilvl="0" w:tplc="25CA207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62F0"/>
    <w:multiLevelType w:val="multilevel"/>
    <w:tmpl w:val="12C45FC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8DC1721"/>
    <w:multiLevelType w:val="hybridMultilevel"/>
    <w:tmpl w:val="F84867FC"/>
    <w:lvl w:ilvl="0" w:tplc="A6801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B22E2"/>
    <w:multiLevelType w:val="hybridMultilevel"/>
    <w:tmpl w:val="B12C5614"/>
    <w:lvl w:ilvl="0" w:tplc="25CA2072">
      <w:start w:val="1"/>
      <w:numFmt w:val="bullet"/>
      <w:lvlText w:val=""/>
      <w:lvlJc w:val="left"/>
      <w:pPr>
        <w:ind w:left="108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1E2917"/>
    <w:multiLevelType w:val="hybridMultilevel"/>
    <w:tmpl w:val="179E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88E2934"/>
    <w:multiLevelType w:val="hybridMultilevel"/>
    <w:tmpl w:val="88BAE20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7E6A3B"/>
    <w:multiLevelType w:val="hybridMultilevel"/>
    <w:tmpl w:val="6A1E6B78"/>
    <w:lvl w:ilvl="0" w:tplc="0409000D">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627B"/>
    <w:multiLevelType w:val="hybridMultilevel"/>
    <w:tmpl w:val="A70C06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7"/>
  </w:num>
  <w:num w:numId="3">
    <w:abstractNumId w:val="8"/>
  </w:num>
  <w:num w:numId="4">
    <w:abstractNumId w:val="18"/>
  </w:num>
  <w:num w:numId="5">
    <w:abstractNumId w:val="5"/>
  </w:num>
  <w:num w:numId="6">
    <w:abstractNumId w:val="29"/>
  </w:num>
  <w:num w:numId="7">
    <w:abstractNumId w:val="16"/>
  </w:num>
  <w:num w:numId="8">
    <w:abstractNumId w:val="39"/>
  </w:num>
  <w:num w:numId="9">
    <w:abstractNumId w:val="6"/>
  </w:num>
  <w:num w:numId="10">
    <w:abstractNumId w:val="3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2"/>
  </w:num>
  <w:num w:numId="14">
    <w:abstractNumId w:val="33"/>
  </w:num>
  <w:num w:numId="15">
    <w:abstractNumId w:val="10"/>
  </w:num>
  <w:num w:numId="16">
    <w:abstractNumId w:val="14"/>
  </w:num>
  <w:num w:numId="17">
    <w:abstractNumId w:val="11"/>
  </w:num>
  <w:num w:numId="18">
    <w:abstractNumId w:val="20"/>
  </w:num>
  <w:num w:numId="19">
    <w:abstractNumId w:val="19"/>
  </w:num>
  <w:num w:numId="20">
    <w:abstractNumId w:val="2"/>
  </w:num>
  <w:num w:numId="21">
    <w:abstractNumId w:val="12"/>
  </w:num>
  <w:num w:numId="22">
    <w:abstractNumId w:val="3"/>
  </w:num>
  <w:num w:numId="23">
    <w:abstractNumId w:val="0"/>
  </w:num>
  <w:num w:numId="24">
    <w:abstractNumId w:val="9"/>
  </w:num>
  <w:num w:numId="25">
    <w:abstractNumId w:val="35"/>
  </w:num>
  <w:num w:numId="26">
    <w:abstractNumId w:val="1"/>
  </w:num>
  <w:num w:numId="27">
    <w:abstractNumId w:val="40"/>
  </w:num>
  <w:num w:numId="28">
    <w:abstractNumId w:val="25"/>
  </w:num>
  <w:num w:numId="29">
    <w:abstractNumId w:val="38"/>
  </w:num>
  <w:num w:numId="30">
    <w:abstractNumId w:val="34"/>
  </w:num>
  <w:num w:numId="31">
    <w:abstractNumId w:val="37"/>
  </w:num>
  <w:num w:numId="32">
    <w:abstractNumId w:val="24"/>
  </w:num>
  <w:num w:numId="33">
    <w:abstractNumId w:val="31"/>
  </w:num>
  <w:num w:numId="34">
    <w:abstractNumId w:val="26"/>
  </w:num>
  <w:num w:numId="35">
    <w:abstractNumId w:val="23"/>
  </w:num>
  <w:num w:numId="36">
    <w:abstractNumId w:val="4"/>
  </w:num>
  <w:num w:numId="37">
    <w:abstractNumId w:val="21"/>
  </w:num>
  <w:num w:numId="38">
    <w:abstractNumId w:val="28"/>
  </w:num>
  <w:num w:numId="39">
    <w:abstractNumId w:val="13"/>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8E"/>
    <w:rsid w:val="000025C0"/>
    <w:rsid w:val="000026F9"/>
    <w:rsid w:val="00003403"/>
    <w:rsid w:val="00003EBF"/>
    <w:rsid w:val="00006547"/>
    <w:rsid w:val="00006634"/>
    <w:rsid w:val="00011F8F"/>
    <w:rsid w:val="000132B4"/>
    <w:rsid w:val="00016295"/>
    <w:rsid w:val="000230B5"/>
    <w:rsid w:val="000247BC"/>
    <w:rsid w:val="00025D8A"/>
    <w:rsid w:val="00032471"/>
    <w:rsid w:val="00035B60"/>
    <w:rsid w:val="00036E60"/>
    <w:rsid w:val="00040157"/>
    <w:rsid w:val="00040EF6"/>
    <w:rsid w:val="00041BD8"/>
    <w:rsid w:val="00044600"/>
    <w:rsid w:val="000476F4"/>
    <w:rsid w:val="00050A60"/>
    <w:rsid w:val="00051096"/>
    <w:rsid w:val="00053E82"/>
    <w:rsid w:val="000555DC"/>
    <w:rsid w:val="0005578B"/>
    <w:rsid w:val="00055DDC"/>
    <w:rsid w:val="00060F14"/>
    <w:rsid w:val="0006363D"/>
    <w:rsid w:val="00064580"/>
    <w:rsid w:val="00064699"/>
    <w:rsid w:val="0006514E"/>
    <w:rsid w:val="00066FEB"/>
    <w:rsid w:val="0006772C"/>
    <w:rsid w:val="00067BE8"/>
    <w:rsid w:val="0007074E"/>
    <w:rsid w:val="000712D0"/>
    <w:rsid w:val="00077316"/>
    <w:rsid w:val="00077CED"/>
    <w:rsid w:val="000872D4"/>
    <w:rsid w:val="0008745B"/>
    <w:rsid w:val="00090CA3"/>
    <w:rsid w:val="0009139F"/>
    <w:rsid w:val="000918C1"/>
    <w:rsid w:val="00093512"/>
    <w:rsid w:val="0009676A"/>
    <w:rsid w:val="000969BC"/>
    <w:rsid w:val="000973DD"/>
    <w:rsid w:val="000A45CD"/>
    <w:rsid w:val="000A5166"/>
    <w:rsid w:val="000A58F6"/>
    <w:rsid w:val="000A5C7F"/>
    <w:rsid w:val="000A6AE9"/>
    <w:rsid w:val="000B0DB6"/>
    <w:rsid w:val="000B4562"/>
    <w:rsid w:val="000B6B4F"/>
    <w:rsid w:val="000B731C"/>
    <w:rsid w:val="000B7808"/>
    <w:rsid w:val="000C08E9"/>
    <w:rsid w:val="000C1611"/>
    <w:rsid w:val="000C4D49"/>
    <w:rsid w:val="000C50E8"/>
    <w:rsid w:val="000C743B"/>
    <w:rsid w:val="000D0DD9"/>
    <w:rsid w:val="000D2148"/>
    <w:rsid w:val="000D22EB"/>
    <w:rsid w:val="000D2C36"/>
    <w:rsid w:val="000D2E08"/>
    <w:rsid w:val="000E0E04"/>
    <w:rsid w:val="000E20A7"/>
    <w:rsid w:val="000E6758"/>
    <w:rsid w:val="000E67A7"/>
    <w:rsid w:val="000E6A2D"/>
    <w:rsid w:val="000E6B83"/>
    <w:rsid w:val="000E7849"/>
    <w:rsid w:val="000F21D2"/>
    <w:rsid w:val="000F3548"/>
    <w:rsid w:val="000F4BB2"/>
    <w:rsid w:val="000F5B74"/>
    <w:rsid w:val="000F6C4D"/>
    <w:rsid w:val="00100903"/>
    <w:rsid w:val="00100C8E"/>
    <w:rsid w:val="00102F50"/>
    <w:rsid w:val="00104B33"/>
    <w:rsid w:val="00106119"/>
    <w:rsid w:val="00107831"/>
    <w:rsid w:val="00112227"/>
    <w:rsid w:val="001129C6"/>
    <w:rsid w:val="00113DB6"/>
    <w:rsid w:val="0011400B"/>
    <w:rsid w:val="001152F2"/>
    <w:rsid w:val="00116347"/>
    <w:rsid w:val="0011695E"/>
    <w:rsid w:val="00116A70"/>
    <w:rsid w:val="0011737D"/>
    <w:rsid w:val="00123270"/>
    <w:rsid w:val="001233F0"/>
    <w:rsid w:val="0012504B"/>
    <w:rsid w:val="00125E02"/>
    <w:rsid w:val="00127F48"/>
    <w:rsid w:val="001306EC"/>
    <w:rsid w:val="001317DE"/>
    <w:rsid w:val="00132ADC"/>
    <w:rsid w:val="00136CD5"/>
    <w:rsid w:val="001379D8"/>
    <w:rsid w:val="00137EB5"/>
    <w:rsid w:val="001406AD"/>
    <w:rsid w:val="0014177C"/>
    <w:rsid w:val="00142D24"/>
    <w:rsid w:val="00143265"/>
    <w:rsid w:val="00145DBF"/>
    <w:rsid w:val="00146E2A"/>
    <w:rsid w:val="00150859"/>
    <w:rsid w:val="001527CA"/>
    <w:rsid w:val="00153301"/>
    <w:rsid w:val="001543FE"/>
    <w:rsid w:val="0015493D"/>
    <w:rsid w:val="00155F58"/>
    <w:rsid w:val="00156590"/>
    <w:rsid w:val="00156D8D"/>
    <w:rsid w:val="001571E0"/>
    <w:rsid w:val="0016319C"/>
    <w:rsid w:val="00163571"/>
    <w:rsid w:val="00167099"/>
    <w:rsid w:val="001678DD"/>
    <w:rsid w:val="00167927"/>
    <w:rsid w:val="00167BDA"/>
    <w:rsid w:val="001702E3"/>
    <w:rsid w:val="00170AB5"/>
    <w:rsid w:val="00172219"/>
    <w:rsid w:val="0017297B"/>
    <w:rsid w:val="001730C9"/>
    <w:rsid w:val="00173719"/>
    <w:rsid w:val="00173F68"/>
    <w:rsid w:val="00174566"/>
    <w:rsid w:val="001757BB"/>
    <w:rsid w:val="00175989"/>
    <w:rsid w:val="00180A90"/>
    <w:rsid w:val="00180F6E"/>
    <w:rsid w:val="00182A8D"/>
    <w:rsid w:val="00190550"/>
    <w:rsid w:val="00191F69"/>
    <w:rsid w:val="001937EA"/>
    <w:rsid w:val="001974B8"/>
    <w:rsid w:val="001A00F2"/>
    <w:rsid w:val="001A3C49"/>
    <w:rsid w:val="001A4A6D"/>
    <w:rsid w:val="001A5CDB"/>
    <w:rsid w:val="001A731A"/>
    <w:rsid w:val="001A739C"/>
    <w:rsid w:val="001B1025"/>
    <w:rsid w:val="001B1B9C"/>
    <w:rsid w:val="001B4AAF"/>
    <w:rsid w:val="001B70DE"/>
    <w:rsid w:val="001B726C"/>
    <w:rsid w:val="001C3BD0"/>
    <w:rsid w:val="001C3ED4"/>
    <w:rsid w:val="001C52FA"/>
    <w:rsid w:val="001C579C"/>
    <w:rsid w:val="001C5E3F"/>
    <w:rsid w:val="001D75AC"/>
    <w:rsid w:val="001E0156"/>
    <w:rsid w:val="001E0BC4"/>
    <w:rsid w:val="001E1EBB"/>
    <w:rsid w:val="001E37F7"/>
    <w:rsid w:val="001E4D17"/>
    <w:rsid w:val="001E63D7"/>
    <w:rsid w:val="001F2FA5"/>
    <w:rsid w:val="001F3F09"/>
    <w:rsid w:val="001F4225"/>
    <w:rsid w:val="001F5D08"/>
    <w:rsid w:val="001F64F1"/>
    <w:rsid w:val="001F6BB8"/>
    <w:rsid w:val="002066E0"/>
    <w:rsid w:val="0020672F"/>
    <w:rsid w:val="00206BB1"/>
    <w:rsid w:val="00207BEC"/>
    <w:rsid w:val="00210B88"/>
    <w:rsid w:val="0021289A"/>
    <w:rsid w:val="00217D36"/>
    <w:rsid w:val="00221EB5"/>
    <w:rsid w:val="00222065"/>
    <w:rsid w:val="0022471A"/>
    <w:rsid w:val="00224AC7"/>
    <w:rsid w:val="00224CCE"/>
    <w:rsid w:val="002256D9"/>
    <w:rsid w:val="00226B66"/>
    <w:rsid w:val="002320F8"/>
    <w:rsid w:val="002330DB"/>
    <w:rsid w:val="00233F9F"/>
    <w:rsid w:val="00235BAF"/>
    <w:rsid w:val="00236873"/>
    <w:rsid w:val="00236F29"/>
    <w:rsid w:val="00237008"/>
    <w:rsid w:val="00237163"/>
    <w:rsid w:val="00237ECA"/>
    <w:rsid w:val="00244155"/>
    <w:rsid w:val="00244238"/>
    <w:rsid w:val="0024762F"/>
    <w:rsid w:val="0025045E"/>
    <w:rsid w:val="00255BC1"/>
    <w:rsid w:val="00256AA8"/>
    <w:rsid w:val="0025784B"/>
    <w:rsid w:val="00261127"/>
    <w:rsid w:val="00263CEF"/>
    <w:rsid w:val="002650B5"/>
    <w:rsid w:val="00266A27"/>
    <w:rsid w:val="00271139"/>
    <w:rsid w:val="00272025"/>
    <w:rsid w:val="00277B9C"/>
    <w:rsid w:val="00280CBF"/>
    <w:rsid w:val="0028165D"/>
    <w:rsid w:val="00284F69"/>
    <w:rsid w:val="0028731A"/>
    <w:rsid w:val="0029010A"/>
    <w:rsid w:val="00290747"/>
    <w:rsid w:val="00290D1A"/>
    <w:rsid w:val="00290F50"/>
    <w:rsid w:val="00294F13"/>
    <w:rsid w:val="0029768D"/>
    <w:rsid w:val="002A0B61"/>
    <w:rsid w:val="002A0CAD"/>
    <w:rsid w:val="002A303F"/>
    <w:rsid w:val="002A58ED"/>
    <w:rsid w:val="002A7FAB"/>
    <w:rsid w:val="002B1E33"/>
    <w:rsid w:val="002B4ECA"/>
    <w:rsid w:val="002C6091"/>
    <w:rsid w:val="002C766B"/>
    <w:rsid w:val="002D0EA1"/>
    <w:rsid w:val="002D3B38"/>
    <w:rsid w:val="002D3F8D"/>
    <w:rsid w:val="002D68FD"/>
    <w:rsid w:val="002E0978"/>
    <w:rsid w:val="002E2C26"/>
    <w:rsid w:val="002E42F3"/>
    <w:rsid w:val="002E62DB"/>
    <w:rsid w:val="002F1276"/>
    <w:rsid w:val="002F3941"/>
    <w:rsid w:val="002F413B"/>
    <w:rsid w:val="002F5461"/>
    <w:rsid w:val="002F621E"/>
    <w:rsid w:val="003024F1"/>
    <w:rsid w:val="003025F8"/>
    <w:rsid w:val="003075D4"/>
    <w:rsid w:val="0030795F"/>
    <w:rsid w:val="00310DD1"/>
    <w:rsid w:val="00311F51"/>
    <w:rsid w:val="00312ECB"/>
    <w:rsid w:val="00312F83"/>
    <w:rsid w:val="0031724B"/>
    <w:rsid w:val="00320357"/>
    <w:rsid w:val="00320E08"/>
    <w:rsid w:val="003243C2"/>
    <w:rsid w:val="00330104"/>
    <w:rsid w:val="00335573"/>
    <w:rsid w:val="00340578"/>
    <w:rsid w:val="00341EA3"/>
    <w:rsid w:val="00342E93"/>
    <w:rsid w:val="003439B3"/>
    <w:rsid w:val="003446A1"/>
    <w:rsid w:val="00345758"/>
    <w:rsid w:val="00345F33"/>
    <w:rsid w:val="003476F3"/>
    <w:rsid w:val="00350673"/>
    <w:rsid w:val="0035095F"/>
    <w:rsid w:val="00354B68"/>
    <w:rsid w:val="00356550"/>
    <w:rsid w:val="003568C8"/>
    <w:rsid w:val="00357E78"/>
    <w:rsid w:val="00360C0A"/>
    <w:rsid w:val="00366216"/>
    <w:rsid w:val="00370CAC"/>
    <w:rsid w:val="00372496"/>
    <w:rsid w:val="00373105"/>
    <w:rsid w:val="00374CD6"/>
    <w:rsid w:val="00375C66"/>
    <w:rsid w:val="0037652B"/>
    <w:rsid w:val="00376897"/>
    <w:rsid w:val="0037724E"/>
    <w:rsid w:val="00383213"/>
    <w:rsid w:val="0038372F"/>
    <w:rsid w:val="003852E7"/>
    <w:rsid w:val="00390741"/>
    <w:rsid w:val="00391A25"/>
    <w:rsid w:val="00392893"/>
    <w:rsid w:val="00395760"/>
    <w:rsid w:val="003A03A6"/>
    <w:rsid w:val="003A2A6F"/>
    <w:rsid w:val="003A5506"/>
    <w:rsid w:val="003A691D"/>
    <w:rsid w:val="003B7A80"/>
    <w:rsid w:val="003C113B"/>
    <w:rsid w:val="003C11AB"/>
    <w:rsid w:val="003D0015"/>
    <w:rsid w:val="003D2513"/>
    <w:rsid w:val="003D45AE"/>
    <w:rsid w:val="003E1A67"/>
    <w:rsid w:val="003E39C2"/>
    <w:rsid w:val="003E4431"/>
    <w:rsid w:val="003E7750"/>
    <w:rsid w:val="003F06A3"/>
    <w:rsid w:val="003F1AB9"/>
    <w:rsid w:val="003F3D14"/>
    <w:rsid w:val="003F51AA"/>
    <w:rsid w:val="003F5808"/>
    <w:rsid w:val="003F6E84"/>
    <w:rsid w:val="004003C2"/>
    <w:rsid w:val="00400BD1"/>
    <w:rsid w:val="004024B3"/>
    <w:rsid w:val="004048E1"/>
    <w:rsid w:val="00407D3D"/>
    <w:rsid w:val="004101DA"/>
    <w:rsid w:val="0041160D"/>
    <w:rsid w:val="00412496"/>
    <w:rsid w:val="00413577"/>
    <w:rsid w:val="004171BD"/>
    <w:rsid w:val="00417662"/>
    <w:rsid w:val="00420397"/>
    <w:rsid w:val="00421CA4"/>
    <w:rsid w:val="00423964"/>
    <w:rsid w:val="00426E98"/>
    <w:rsid w:val="0042797D"/>
    <w:rsid w:val="0043143F"/>
    <w:rsid w:val="00431579"/>
    <w:rsid w:val="004336D9"/>
    <w:rsid w:val="0043695F"/>
    <w:rsid w:val="0043728C"/>
    <w:rsid w:val="00443A20"/>
    <w:rsid w:val="00443C47"/>
    <w:rsid w:val="004445C8"/>
    <w:rsid w:val="004449F7"/>
    <w:rsid w:val="00447F11"/>
    <w:rsid w:val="0045002D"/>
    <w:rsid w:val="00451D7D"/>
    <w:rsid w:val="00452F7A"/>
    <w:rsid w:val="00453885"/>
    <w:rsid w:val="00454345"/>
    <w:rsid w:val="004639B0"/>
    <w:rsid w:val="004657EC"/>
    <w:rsid w:val="00465B5B"/>
    <w:rsid w:val="00472FAE"/>
    <w:rsid w:val="004804CB"/>
    <w:rsid w:val="00482C3B"/>
    <w:rsid w:val="00485353"/>
    <w:rsid w:val="0049018B"/>
    <w:rsid w:val="004928F5"/>
    <w:rsid w:val="004969A4"/>
    <w:rsid w:val="004974E5"/>
    <w:rsid w:val="00497A0C"/>
    <w:rsid w:val="004A42AE"/>
    <w:rsid w:val="004A5E91"/>
    <w:rsid w:val="004B20F7"/>
    <w:rsid w:val="004B32DB"/>
    <w:rsid w:val="004C3780"/>
    <w:rsid w:val="004C380A"/>
    <w:rsid w:val="004C4897"/>
    <w:rsid w:val="004C4E74"/>
    <w:rsid w:val="004C4FBC"/>
    <w:rsid w:val="004C6780"/>
    <w:rsid w:val="004D0686"/>
    <w:rsid w:val="004D0E8E"/>
    <w:rsid w:val="004D0F89"/>
    <w:rsid w:val="004D18CC"/>
    <w:rsid w:val="004D21F0"/>
    <w:rsid w:val="004E0791"/>
    <w:rsid w:val="004E1758"/>
    <w:rsid w:val="004E3CB6"/>
    <w:rsid w:val="004E54DF"/>
    <w:rsid w:val="004E708E"/>
    <w:rsid w:val="004F72D4"/>
    <w:rsid w:val="00501FFC"/>
    <w:rsid w:val="00502AB5"/>
    <w:rsid w:val="0050367A"/>
    <w:rsid w:val="00505435"/>
    <w:rsid w:val="00512CDC"/>
    <w:rsid w:val="0051344C"/>
    <w:rsid w:val="00513F54"/>
    <w:rsid w:val="00514883"/>
    <w:rsid w:val="00514A50"/>
    <w:rsid w:val="00515D28"/>
    <w:rsid w:val="005166B6"/>
    <w:rsid w:val="0051691C"/>
    <w:rsid w:val="00520058"/>
    <w:rsid w:val="00523F89"/>
    <w:rsid w:val="00524D86"/>
    <w:rsid w:val="0052515A"/>
    <w:rsid w:val="00526767"/>
    <w:rsid w:val="00527720"/>
    <w:rsid w:val="00531C32"/>
    <w:rsid w:val="005331DF"/>
    <w:rsid w:val="00535284"/>
    <w:rsid w:val="005369B1"/>
    <w:rsid w:val="005369BF"/>
    <w:rsid w:val="00537784"/>
    <w:rsid w:val="00540501"/>
    <w:rsid w:val="00542ECC"/>
    <w:rsid w:val="00546C33"/>
    <w:rsid w:val="00550D03"/>
    <w:rsid w:val="00550F50"/>
    <w:rsid w:val="0055210D"/>
    <w:rsid w:val="005540BB"/>
    <w:rsid w:val="00554177"/>
    <w:rsid w:val="005542CB"/>
    <w:rsid w:val="005559D6"/>
    <w:rsid w:val="00555A4E"/>
    <w:rsid w:val="005574D3"/>
    <w:rsid w:val="00560557"/>
    <w:rsid w:val="005613EB"/>
    <w:rsid w:val="0056247D"/>
    <w:rsid w:val="00564B92"/>
    <w:rsid w:val="0057038F"/>
    <w:rsid w:val="00571AB9"/>
    <w:rsid w:val="00573F68"/>
    <w:rsid w:val="0057489A"/>
    <w:rsid w:val="00576677"/>
    <w:rsid w:val="00581492"/>
    <w:rsid w:val="005830B7"/>
    <w:rsid w:val="0058357B"/>
    <w:rsid w:val="0058533C"/>
    <w:rsid w:val="00585697"/>
    <w:rsid w:val="005A26B4"/>
    <w:rsid w:val="005A50D1"/>
    <w:rsid w:val="005B0EF4"/>
    <w:rsid w:val="005B2069"/>
    <w:rsid w:val="005B31B6"/>
    <w:rsid w:val="005B3300"/>
    <w:rsid w:val="005B478A"/>
    <w:rsid w:val="005B570A"/>
    <w:rsid w:val="005C205B"/>
    <w:rsid w:val="005C2229"/>
    <w:rsid w:val="005C3CF1"/>
    <w:rsid w:val="005C77C6"/>
    <w:rsid w:val="005D0500"/>
    <w:rsid w:val="005D0F17"/>
    <w:rsid w:val="005D1066"/>
    <w:rsid w:val="005D2ACB"/>
    <w:rsid w:val="005D32B6"/>
    <w:rsid w:val="005D4739"/>
    <w:rsid w:val="005D625C"/>
    <w:rsid w:val="005D7B7F"/>
    <w:rsid w:val="005E133E"/>
    <w:rsid w:val="005E2DC2"/>
    <w:rsid w:val="005E2EBA"/>
    <w:rsid w:val="005E4947"/>
    <w:rsid w:val="005F148A"/>
    <w:rsid w:val="005F2A77"/>
    <w:rsid w:val="005F2CDE"/>
    <w:rsid w:val="00600EDF"/>
    <w:rsid w:val="00601844"/>
    <w:rsid w:val="00604C44"/>
    <w:rsid w:val="006107D2"/>
    <w:rsid w:val="00610A12"/>
    <w:rsid w:val="00611DF6"/>
    <w:rsid w:val="006127FB"/>
    <w:rsid w:val="006134D2"/>
    <w:rsid w:val="00620892"/>
    <w:rsid w:val="00625C05"/>
    <w:rsid w:val="0062741E"/>
    <w:rsid w:val="006279BC"/>
    <w:rsid w:val="00630223"/>
    <w:rsid w:val="0063069A"/>
    <w:rsid w:val="006327BB"/>
    <w:rsid w:val="006337E3"/>
    <w:rsid w:val="0063723D"/>
    <w:rsid w:val="006402A7"/>
    <w:rsid w:val="0064048D"/>
    <w:rsid w:val="00641AAB"/>
    <w:rsid w:val="006436A6"/>
    <w:rsid w:val="006449D0"/>
    <w:rsid w:val="006467DD"/>
    <w:rsid w:val="0065039A"/>
    <w:rsid w:val="006512BB"/>
    <w:rsid w:val="006519F6"/>
    <w:rsid w:val="00652FDB"/>
    <w:rsid w:val="006548E7"/>
    <w:rsid w:val="0065495A"/>
    <w:rsid w:val="006557C2"/>
    <w:rsid w:val="006565D9"/>
    <w:rsid w:val="006570B7"/>
    <w:rsid w:val="006577EE"/>
    <w:rsid w:val="006605A7"/>
    <w:rsid w:val="00660D2D"/>
    <w:rsid w:val="00664178"/>
    <w:rsid w:val="00665FE1"/>
    <w:rsid w:val="0067013A"/>
    <w:rsid w:val="00671A5D"/>
    <w:rsid w:val="00673794"/>
    <w:rsid w:val="0067510F"/>
    <w:rsid w:val="006753DB"/>
    <w:rsid w:val="00683CA0"/>
    <w:rsid w:val="00686822"/>
    <w:rsid w:val="00686EA4"/>
    <w:rsid w:val="0068750F"/>
    <w:rsid w:val="006928D2"/>
    <w:rsid w:val="0069689A"/>
    <w:rsid w:val="006A1F09"/>
    <w:rsid w:val="006A22E2"/>
    <w:rsid w:val="006A4EC3"/>
    <w:rsid w:val="006A6F0D"/>
    <w:rsid w:val="006B1566"/>
    <w:rsid w:val="006B4969"/>
    <w:rsid w:val="006B567A"/>
    <w:rsid w:val="006C0CF1"/>
    <w:rsid w:val="006C408A"/>
    <w:rsid w:val="006C472C"/>
    <w:rsid w:val="006C5C58"/>
    <w:rsid w:val="006D1A73"/>
    <w:rsid w:val="006D78E1"/>
    <w:rsid w:val="006D799A"/>
    <w:rsid w:val="006E21DD"/>
    <w:rsid w:val="006E2BAF"/>
    <w:rsid w:val="006E51E9"/>
    <w:rsid w:val="006E5FB4"/>
    <w:rsid w:val="006E790C"/>
    <w:rsid w:val="006F01F9"/>
    <w:rsid w:val="006F2643"/>
    <w:rsid w:val="006F56F9"/>
    <w:rsid w:val="006F5854"/>
    <w:rsid w:val="006F6807"/>
    <w:rsid w:val="00701E61"/>
    <w:rsid w:val="007037A0"/>
    <w:rsid w:val="00704A26"/>
    <w:rsid w:val="00704DDC"/>
    <w:rsid w:val="0070738C"/>
    <w:rsid w:val="00712EBD"/>
    <w:rsid w:val="007164FD"/>
    <w:rsid w:val="00716E63"/>
    <w:rsid w:val="00717310"/>
    <w:rsid w:val="0072060C"/>
    <w:rsid w:val="00722015"/>
    <w:rsid w:val="00722D90"/>
    <w:rsid w:val="00723211"/>
    <w:rsid w:val="007265D3"/>
    <w:rsid w:val="007273F2"/>
    <w:rsid w:val="00731D73"/>
    <w:rsid w:val="007329CA"/>
    <w:rsid w:val="0073542E"/>
    <w:rsid w:val="0073633A"/>
    <w:rsid w:val="0073654D"/>
    <w:rsid w:val="00737FE2"/>
    <w:rsid w:val="0074024C"/>
    <w:rsid w:val="00740D31"/>
    <w:rsid w:val="00741D5F"/>
    <w:rsid w:val="00742A11"/>
    <w:rsid w:val="007433B6"/>
    <w:rsid w:val="00746999"/>
    <w:rsid w:val="0075403F"/>
    <w:rsid w:val="007642A8"/>
    <w:rsid w:val="007657CE"/>
    <w:rsid w:val="00772CB9"/>
    <w:rsid w:val="00773728"/>
    <w:rsid w:val="00774D27"/>
    <w:rsid w:val="00776711"/>
    <w:rsid w:val="00777004"/>
    <w:rsid w:val="00780637"/>
    <w:rsid w:val="00781476"/>
    <w:rsid w:val="007843E8"/>
    <w:rsid w:val="007854B0"/>
    <w:rsid w:val="00792271"/>
    <w:rsid w:val="00793FE6"/>
    <w:rsid w:val="007A07EC"/>
    <w:rsid w:val="007A1592"/>
    <w:rsid w:val="007A20E3"/>
    <w:rsid w:val="007A3C87"/>
    <w:rsid w:val="007A4930"/>
    <w:rsid w:val="007A50B9"/>
    <w:rsid w:val="007A6742"/>
    <w:rsid w:val="007B1D51"/>
    <w:rsid w:val="007B4A88"/>
    <w:rsid w:val="007B5341"/>
    <w:rsid w:val="007B5802"/>
    <w:rsid w:val="007B68A8"/>
    <w:rsid w:val="007C1FCD"/>
    <w:rsid w:val="007C3800"/>
    <w:rsid w:val="007C4BA3"/>
    <w:rsid w:val="007C51D3"/>
    <w:rsid w:val="007D0D57"/>
    <w:rsid w:val="007D3DF2"/>
    <w:rsid w:val="007D55BA"/>
    <w:rsid w:val="007D6DA2"/>
    <w:rsid w:val="007E04D6"/>
    <w:rsid w:val="007E06BB"/>
    <w:rsid w:val="007E1060"/>
    <w:rsid w:val="007E49CE"/>
    <w:rsid w:val="007E4C7D"/>
    <w:rsid w:val="007F02DD"/>
    <w:rsid w:val="007F0491"/>
    <w:rsid w:val="007F0715"/>
    <w:rsid w:val="007F4792"/>
    <w:rsid w:val="007F6784"/>
    <w:rsid w:val="007F741C"/>
    <w:rsid w:val="00800FAA"/>
    <w:rsid w:val="0080258B"/>
    <w:rsid w:val="008031C7"/>
    <w:rsid w:val="00804462"/>
    <w:rsid w:val="00807CD8"/>
    <w:rsid w:val="008117FE"/>
    <w:rsid w:val="00813235"/>
    <w:rsid w:val="0081397B"/>
    <w:rsid w:val="00814339"/>
    <w:rsid w:val="00821330"/>
    <w:rsid w:val="008219AD"/>
    <w:rsid w:val="0082366F"/>
    <w:rsid w:val="0082439E"/>
    <w:rsid w:val="00824C64"/>
    <w:rsid w:val="00824CD9"/>
    <w:rsid w:val="00824D17"/>
    <w:rsid w:val="008251F2"/>
    <w:rsid w:val="00826B35"/>
    <w:rsid w:val="008272B7"/>
    <w:rsid w:val="00830AC5"/>
    <w:rsid w:val="0083289A"/>
    <w:rsid w:val="0083328D"/>
    <w:rsid w:val="00833D30"/>
    <w:rsid w:val="0083416F"/>
    <w:rsid w:val="008365C1"/>
    <w:rsid w:val="008416A5"/>
    <w:rsid w:val="0084454B"/>
    <w:rsid w:val="008446BE"/>
    <w:rsid w:val="008447E5"/>
    <w:rsid w:val="00845204"/>
    <w:rsid w:val="008472A9"/>
    <w:rsid w:val="00847BED"/>
    <w:rsid w:val="00860821"/>
    <w:rsid w:val="00860C74"/>
    <w:rsid w:val="00863B28"/>
    <w:rsid w:val="00867B93"/>
    <w:rsid w:val="00871CBD"/>
    <w:rsid w:val="008736AB"/>
    <w:rsid w:val="0087793E"/>
    <w:rsid w:val="00885151"/>
    <w:rsid w:val="00885CD9"/>
    <w:rsid w:val="0089150F"/>
    <w:rsid w:val="008A1200"/>
    <w:rsid w:val="008A6DBA"/>
    <w:rsid w:val="008A7450"/>
    <w:rsid w:val="008B4011"/>
    <w:rsid w:val="008B446D"/>
    <w:rsid w:val="008B675A"/>
    <w:rsid w:val="008C29A8"/>
    <w:rsid w:val="008C3F35"/>
    <w:rsid w:val="008C451C"/>
    <w:rsid w:val="008C5027"/>
    <w:rsid w:val="008C754C"/>
    <w:rsid w:val="008D084B"/>
    <w:rsid w:val="008D27B7"/>
    <w:rsid w:val="008D3470"/>
    <w:rsid w:val="008D54E5"/>
    <w:rsid w:val="008D717F"/>
    <w:rsid w:val="008E25F6"/>
    <w:rsid w:val="008E3C15"/>
    <w:rsid w:val="008E4BC3"/>
    <w:rsid w:val="008E57C9"/>
    <w:rsid w:val="008E6635"/>
    <w:rsid w:val="008F0F6B"/>
    <w:rsid w:val="008F170D"/>
    <w:rsid w:val="00900BB0"/>
    <w:rsid w:val="009027ED"/>
    <w:rsid w:val="009034A7"/>
    <w:rsid w:val="00903B80"/>
    <w:rsid w:val="00904070"/>
    <w:rsid w:val="009040E9"/>
    <w:rsid w:val="00905CF5"/>
    <w:rsid w:val="00907B76"/>
    <w:rsid w:val="0091361C"/>
    <w:rsid w:val="0091569A"/>
    <w:rsid w:val="009156ED"/>
    <w:rsid w:val="0091791B"/>
    <w:rsid w:val="009221EC"/>
    <w:rsid w:val="00923496"/>
    <w:rsid w:val="00925091"/>
    <w:rsid w:val="00925A94"/>
    <w:rsid w:val="00927E4B"/>
    <w:rsid w:val="00932DBD"/>
    <w:rsid w:val="00934823"/>
    <w:rsid w:val="00940BC7"/>
    <w:rsid w:val="00940D46"/>
    <w:rsid w:val="0094349C"/>
    <w:rsid w:val="00947CCC"/>
    <w:rsid w:val="0095298E"/>
    <w:rsid w:val="00952BAC"/>
    <w:rsid w:val="009531B0"/>
    <w:rsid w:val="00954EC2"/>
    <w:rsid w:val="009632AC"/>
    <w:rsid w:val="009637CE"/>
    <w:rsid w:val="00963B28"/>
    <w:rsid w:val="00966D93"/>
    <w:rsid w:val="00967710"/>
    <w:rsid w:val="00971050"/>
    <w:rsid w:val="00971BF7"/>
    <w:rsid w:val="00976FDD"/>
    <w:rsid w:val="009804E5"/>
    <w:rsid w:val="00983989"/>
    <w:rsid w:val="00984FCD"/>
    <w:rsid w:val="00987831"/>
    <w:rsid w:val="00996827"/>
    <w:rsid w:val="00996B8A"/>
    <w:rsid w:val="00997237"/>
    <w:rsid w:val="0099756C"/>
    <w:rsid w:val="009A076D"/>
    <w:rsid w:val="009A112E"/>
    <w:rsid w:val="009A1439"/>
    <w:rsid w:val="009A732F"/>
    <w:rsid w:val="009B28A1"/>
    <w:rsid w:val="009B2F5E"/>
    <w:rsid w:val="009B7277"/>
    <w:rsid w:val="009B7BFC"/>
    <w:rsid w:val="009C21FF"/>
    <w:rsid w:val="009C2A56"/>
    <w:rsid w:val="009C721F"/>
    <w:rsid w:val="009C73A4"/>
    <w:rsid w:val="009D2CB8"/>
    <w:rsid w:val="009D5C59"/>
    <w:rsid w:val="009E4B38"/>
    <w:rsid w:val="009F200B"/>
    <w:rsid w:val="009F307C"/>
    <w:rsid w:val="009F3189"/>
    <w:rsid w:val="009F5196"/>
    <w:rsid w:val="009F7ABF"/>
    <w:rsid w:val="00A01D4B"/>
    <w:rsid w:val="00A01DAA"/>
    <w:rsid w:val="00A02238"/>
    <w:rsid w:val="00A123CD"/>
    <w:rsid w:val="00A13B6F"/>
    <w:rsid w:val="00A149EA"/>
    <w:rsid w:val="00A16012"/>
    <w:rsid w:val="00A222BA"/>
    <w:rsid w:val="00A27BED"/>
    <w:rsid w:val="00A30E3C"/>
    <w:rsid w:val="00A31F63"/>
    <w:rsid w:val="00A35273"/>
    <w:rsid w:val="00A35721"/>
    <w:rsid w:val="00A40F7B"/>
    <w:rsid w:val="00A412E5"/>
    <w:rsid w:val="00A41C5E"/>
    <w:rsid w:val="00A4603E"/>
    <w:rsid w:val="00A46BA5"/>
    <w:rsid w:val="00A519C4"/>
    <w:rsid w:val="00A51B6B"/>
    <w:rsid w:val="00A52354"/>
    <w:rsid w:val="00A54E57"/>
    <w:rsid w:val="00A606AE"/>
    <w:rsid w:val="00A6082C"/>
    <w:rsid w:val="00A61219"/>
    <w:rsid w:val="00A618BE"/>
    <w:rsid w:val="00A66DC1"/>
    <w:rsid w:val="00A67CC3"/>
    <w:rsid w:val="00A70940"/>
    <w:rsid w:val="00A70EC7"/>
    <w:rsid w:val="00A82F14"/>
    <w:rsid w:val="00A833E1"/>
    <w:rsid w:val="00A83CFC"/>
    <w:rsid w:val="00A84684"/>
    <w:rsid w:val="00A84ADC"/>
    <w:rsid w:val="00A9332D"/>
    <w:rsid w:val="00A956B4"/>
    <w:rsid w:val="00A97D4C"/>
    <w:rsid w:val="00AA1AC5"/>
    <w:rsid w:val="00AA2A77"/>
    <w:rsid w:val="00AA3292"/>
    <w:rsid w:val="00AA46BE"/>
    <w:rsid w:val="00AB1300"/>
    <w:rsid w:val="00AB2791"/>
    <w:rsid w:val="00AB2825"/>
    <w:rsid w:val="00AB4B41"/>
    <w:rsid w:val="00AB500B"/>
    <w:rsid w:val="00AB60DD"/>
    <w:rsid w:val="00AB673B"/>
    <w:rsid w:val="00AB71FB"/>
    <w:rsid w:val="00AC0B66"/>
    <w:rsid w:val="00AC1755"/>
    <w:rsid w:val="00AC21E2"/>
    <w:rsid w:val="00AC289C"/>
    <w:rsid w:val="00AC2FBE"/>
    <w:rsid w:val="00AC4468"/>
    <w:rsid w:val="00AC551C"/>
    <w:rsid w:val="00AC6A94"/>
    <w:rsid w:val="00AC7CE3"/>
    <w:rsid w:val="00AD2C0A"/>
    <w:rsid w:val="00AD65DC"/>
    <w:rsid w:val="00AD7961"/>
    <w:rsid w:val="00AD7A5F"/>
    <w:rsid w:val="00AE2398"/>
    <w:rsid w:val="00AF01BB"/>
    <w:rsid w:val="00AF06D0"/>
    <w:rsid w:val="00AF07DD"/>
    <w:rsid w:val="00AF08E3"/>
    <w:rsid w:val="00AF4BD6"/>
    <w:rsid w:val="00AF7808"/>
    <w:rsid w:val="00B0030C"/>
    <w:rsid w:val="00B02D1C"/>
    <w:rsid w:val="00B03CFD"/>
    <w:rsid w:val="00B11118"/>
    <w:rsid w:val="00B1126C"/>
    <w:rsid w:val="00B11722"/>
    <w:rsid w:val="00B13762"/>
    <w:rsid w:val="00B13953"/>
    <w:rsid w:val="00B14B03"/>
    <w:rsid w:val="00B15E40"/>
    <w:rsid w:val="00B167A5"/>
    <w:rsid w:val="00B20E49"/>
    <w:rsid w:val="00B21272"/>
    <w:rsid w:val="00B21763"/>
    <w:rsid w:val="00B23202"/>
    <w:rsid w:val="00B24930"/>
    <w:rsid w:val="00B26E8C"/>
    <w:rsid w:val="00B277AB"/>
    <w:rsid w:val="00B3082C"/>
    <w:rsid w:val="00B31EA4"/>
    <w:rsid w:val="00B4454D"/>
    <w:rsid w:val="00B45378"/>
    <w:rsid w:val="00B532B3"/>
    <w:rsid w:val="00B56C1E"/>
    <w:rsid w:val="00B576F9"/>
    <w:rsid w:val="00B6113E"/>
    <w:rsid w:val="00B61DA4"/>
    <w:rsid w:val="00B621A8"/>
    <w:rsid w:val="00B6423E"/>
    <w:rsid w:val="00B64F51"/>
    <w:rsid w:val="00B6575F"/>
    <w:rsid w:val="00B6658E"/>
    <w:rsid w:val="00B70213"/>
    <w:rsid w:val="00B71B04"/>
    <w:rsid w:val="00B72F72"/>
    <w:rsid w:val="00B73A49"/>
    <w:rsid w:val="00B74779"/>
    <w:rsid w:val="00B75BE0"/>
    <w:rsid w:val="00B80735"/>
    <w:rsid w:val="00B81119"/>
    <w:rsid w:val="00B8187D"/>
    <w:rsid w:val="00B83EC1"/>
    <w:rsid w:val="00B84038"/>
    <w:rsid w:val="00B8478E"/>
    <w:rsid w:val="00B93C07"/>
    <w:rsid w:val="00B95765"/>
    <w:rsid w:val="00B9703A"/>
    <w:rsid w:val="00BA0392"/>
    <w:rsid w:val="00BA160B"/>
    <w:rsid w:val="00BA3300"/>
    <w:rsid w:val="00BA494C"/>
    <w:rsid w:val="00BA5E28"/>
    <w:rsid w:val="00BB2C93"/>
    <w:rsid w:val="00BB49D4"/>
    <w:rsid w:val="00BB6C03"/>
    <w:rsid w:val="00BC1184"/>
    <w:rsid w:val="00BC258E"/>
    <w:rsid w:val="00BC25EF"/>
    <w:rsid w:val="00BC39B0"/>
    <w:rsid w:val="00BC5126"/>
    <w:rsid w:val="00BC5D87"/>
    <w:rsid w:val="00BC6269"/>
    <w:rsid w:val="00BD080E"/>
    <w:rsid w:val="00BD0F93"/>
    <w:rsid w:val="00BD0FD6"/>
    <w:rsid w:val="00BD148E"/>
    <w:rsid w:val="00BD1EAE"/>
    <w:rsid w:val="00BD2401"/>
    <w:rsid w:val="00BD2763"/>
    <w:rsid w:val="00BD35A7"/>
    <w:rsid w:val="00BD3678"/>
    <w:rsid w:val="00BD6224"/>
    <w:rsid w:val="00BE33C8"/>
    <w:rsid w:val="00BE3EE1"/>
    <w:rsid w:val="00BE41F9"/>
    <w:rsid w:val="00BE4A72"/>
    <w:rsid w:val="00BE72CB"/>
    <w:rsid w:val="00BE7728"/>
    <w:rsid w:val="00BF437C"/>
    <w:rsid w:val="00BF4988"/>
    <w:rsid w:val="00BF4C0D"/>
    <w:rsid w:val="00C01502"/>
    <w:rsid w:val="00C0162D"/>
    <w:rsid w:val="00C01BD3"/>
    <w:rsid w:val="00C03BD5"/>
    <w:rsid w:val="00C04ECC"/>
    <w:rsid w:val="00C12DB0"/>
    <w:rsid w:val="00C1337C"/>
    <w:rsid w:val="00C135FB"/>
    <w:rsid w:val="00C2094E"/>
    <w:rsid w:val="00C21F37"/>
    <w:rsid w:val="00C21FAF"/>
    <w:rsid w:val="00C2581F"/>
    <w:rsid w:val="00C26353"/>
    <w:rsid w:val="00C26DC1"/>
    <w:rsid w:val="00C30103"/>
    <w:rsid w:val="00C35F5D"/>
    <w:rsid w:val="00C37513"/>
    <w:rsid w:val="00C405F0"/>
    <w:rsid w:val="00C40B6C"/>
    <w:rsid w:val="00C422A9"/>
    <w:rsid w:val="00C43C6C"/>
    <w:rsid w:val="00C44A61"/>
    <w:rsid w:val="00C4500A"/>
    <w:rsid w:val="00C52737"/>
    <w:rsid w:val="00C52F2F"/>
    <w:rsid w:val="00C5783F"/>
    <w:rsid w:val="00C62162"/>
    <w:rsid w:val="00C63500"/>
    <w:rsid w:val="00C646C6"/>
    <w:rsid w:val="00C665DF"/>
    <w:rsid w:val="00C6756A"/>
    <w:rsid w:val="00C701FE"/>
    <w:rsid w:val="00C72348"/>
    <w:rsid w:val="00C739BC"/>
    <w:rsid w:val="00C74B36"/>
    <w:rsid w:val="00C76E22"/>
    <w:rsid w:val="00C82753"/>
    <w:rsid w:val="00C833A4"/>
    <w:rsid w:val="00C83C05"/>
    <w:rsid w:val="00C86E3E"/>
    <w:rsid w:val="00C87C6F"/>
    <w:rsid w:val="00C87F77"/>
    <w:rsid w:val="00C90359"/>
    <w:rsid w:val="00C92F2C"/>
    <w:rsid w:val="00C931ED"/>
    <w:rsid w:val="00CA11AB"/>
    <w:rsid w:val="00CA1B67"/>
    <w:rsid w:val="00CA5549"/>
    <w:rsid w:val="00CA59FE"/>
    <w:rsid w:val="00CA5E12"/>
    <w:rsid w:val="00CB1408"/>
    <w:rsid w:val="00CB7D0F"/>
    <w:rsid w:val="00CC0D40"/>
    <w:rsid w:val="00CC28B2"/>
    <w:rsid w:val="00CC2E43"/>
    <w:rsid w:val="00CC3AC0"/>
    <w:rsid w:val="00CC4536"/>
    <w:rsid w:val="00CC50AA"/>
    <w:rsid w:val="00CC6996"/>
    <w:rsid w:val="00CD3046"/>
    <w:rsid w:val="00CD31E6"/>
    <w:rsid w:val="00CD53AB"/>
    <w:rsid w:val="00CD5B38"/>
    <w:rsid w:val="00CE04C2"/>
    <w:rsid w:val="00CE6D1F"/>
    <w:rsid w:val="00CF3457"/>
    <w:rsid w:val="00CF3B99"/>
    <w:rsid w:val="00CF42CA"/>
    <w:rsid w:val="00CF452C"/>
    <w:rsid w:val="00CF55A3"/>
    <w:rsid w:val="00D03B86"/>
    <w:rsid w:val="00D059C9"/>
    <w:rsid w:val="00D07FBD"/>
    <w:rsid w:val="00D12154"/>
    <w:rsid w:val="00D2090C"/>
    <w:rsid w:val="00D214B4"/>
    <w:rsid w:val="00D21818"/>
    <w:rsid w:val="00D23643"/>
    <w:rsid w:val="00D246DA"/>
    <w:rsid w:val="00D25B27"/>
    <w:rsid w:val="00D27014"/>
    <w:rsid w:val="00D30EBC"/>
    <w:rsid w:val="00D33222"/>
    <w:rsid w:val="00D35474"/>
    <w:rsid w:val="00D36914"/>
    <w:rsid w:val="00D36E99"/>
    <w:rsid w:val="00D40D65"/>
    <w:rsid w:val="00D40E89"/>
    <w:rsid w:val="00D4138A"/>
    <w:rsid w:val="00D43667"/>
    <w:rsid w:val="00D45197"/>
    <w:rsid w:val="00D46B21"/>
    <w:rsid w:val="00D47B14"/>
    <w:rsid w:val="00D5213D"/>
    <w:rsid w:val="00D53949"/>
    <w:rsid w:val="00D57D80"/>
    <w:rsid w:val="00D60DF5"/>
    <w:rsid w:val="00D61D6A"/>
    <w:rsid w:val="00D669D4"/>
    <w:rsid w:val="00D747A2"/>
    <w:rsid w:val="00D74EB6"/>
    <w:rsid w:val="00D764E5"/>
    <w:rsid w:val="00D76FF0"/>
    <w:rsid w:val="00D803A5"/>
    <w:rsid w:val="00D82D70"/>
    <w:rsid w:val="00D8357F"/>
    <w:rsid w:val="00D8358E"/>
    <w:rsid w:val="00D861FD"/>
    <w:rsid w:val="00D873CE"/>
    <w:rsid w:val="00D8774A"/>
    <w:rsid w:val="00D92C6A"/>
    <w:rsid w:val="00D94099"/>
    <w:rsid w:val="00D974B9"/>
    <w:rsid w:val="00DA0C90"/>
    <w:rsid w:val="00DA1D9D"/>
    <w:rsid w:val="00DA3083"/>
    <w:rsid w:val="00DA3310"/>
    <w:rsid w:val="00DA63E4"/>
    <w:rsid w:val="00DB42EB"/>
    <w:rsid w:val="00DB54C1"/>
    <w:rsid w:val="00DB57EB"/>
    <w:rsid w:val="00DB5FDC"/>
    <w:rsid w:val="00DB651A"/>
    <w:rsid w:val="00DB7754"/>
    <w:rsid w:val="00DC29C2"/>
    <w:rsid w:val="00DC3D9C"/>
    <w:rsid w:val="00DC3E48"/>
    <w:rsid w:val="00DC5CCE"/>
    <w:rsid w:val="00DC700E"/>
    <w:rsid w:val="00DD112B"/>
    <w:rsid w:val="00DD2913"/>
    <w:rsid w:val="00DD2F0D"/>
    <w:rsid w:val="00DD4129"/>
    <w:rsid w:val="00DD51BC"/>
    <w:rsid w:val="00DD665C"/>
    <w:rsid w:val="00DE2720"/>
    <w:rsid w:val="00DE3894"/>
    <w:rsid w:val="00DE4F0F"/>
    <w:rsid w:val="00DE7296"/>
    <w:rsid w:val="00DE764E"/>
    <w:rsid w:val="00DF156C"/>
    <w:rsid w:val="00DF674F"/>
    <w:rsid w:val="00DF6FDC"/>
    <w:rsid w:val="00DF70F5"/>
    <w:rsid w:val="00DF76F0"/>
    <w:rsid w:val="00E01E20"/>
    <w:rsid w:val="00E04196"/>
    <w:rsid w:val="00E04290"/>
    <w:rsid w:val="00E050A8"/>
    <w:rsid w:val="00E07BFA"/>
    <w:rsid w:val="00E109B9"/>
    <w:rsid w:val="00E10BF8"/>
    <w:rsid w:val="00E130F3"/>
    <w:rsid w:val="00E1397D"/>
    <w:rsid w:val="00E14020"/>
    <w:rsid w:val="00E14E24"/>
    <w:rsid w:val="00E14F01"/>
    <w:rsid w:val="00E16D88"/>
    <w:rsid w:val="00E21C97"/>
    <w:rsid w:val="00E30F12"/>
    <w:rsid w:val="00E40949"/>
    <w:rsid w:val="00E43463"/>
    <w:rsid w:val="00E44CAF"/>
    <w:rsid w:val="00E46DCA"/>
    <w:rsid w:val="00E51AD4"/>
    <w:rsid w:val="00E6245A"/>
    <w:rsid w:val="00E624D7"/>
    <w:rsid w:val="00E6256A"/>
    <w:rsid w:val="00E631D9"/>
    <w:rsid w:val="00E65BBF"/>
    <w:rsid w:val="00E66384"/>
    <w:rsid w:val="00E73218"/>
    <w:rsid w:val="00E73A54"/>
    <w:rsid w:val="00E73B02"/>
    <w:rsid w:val="00E74172"/>
    <w:rsid w:val="00E74D71"/>
    <w:rsid w:val="00E83F2B"/>
    <w:rsid w:val="00E85673"/>
    <w:rsid w:val="00E859DC"/>
    <w:rsid w:val="00E85C20"/>
    <w:rsid w:val="00E8622E"/>
    <w:rsid w:val="00E862D8"/>
    <w:rsid w:val="00E91560"/>
    <w:rsid w:val="00E9251C"/>
    <w:rsid w:val="00E926E1"/>
    <w:rsid w:val="00E92A9E"/>
    <w:rsid w:val="00E94A6A"/>
    <w:rsid w:val="00E94B8E"/>
    <w:rsid w:val="00E95982"/>
    <w:rsid w:val="00E97B9E"/>
    <w:rsid w:val="00EA0718"/>
    <w:rsid w:val="00EA20DC"/>
    <w:rsid w:val="00EA256C"/>
    <w:rsid w:val="00EA5FF2"/>
    <w:rsid w:val="00EB0D60"/>
    <w:rsid w:val="00EB20FF"/>
    <w:rsid w:val="00EB2223"/>
    <w:rsid w:val="00EB2729"/>
    <w:rsid w:val="00EB3D3F"/>
    <w:rsid w:val="00EB4CFF"/>
    <w:rsid w:val="00EC11E3"/>
    <w:rsid w:val="00EC281E"/>
    <w:rsid w:val="00EC4C49"/>
    <w:rsid w:val="00EC65E0"/>
    <w:rsid w:val="00EC6A74"/>
    <w:rsid w:val="00ED0C27"/>
    <w:rsid w:val="00ED6BFF"/>
    <w:rsid w:val="00EE173B"/>
    <w:rsid w:val="00EE4687"/>
    <w:rsid w:val="00EF00A9"/>
    <w:rsid w:val="00EF498D"/>
    <w:rsid w:val="00EF52B0"/>
    <w:rsid w:val="00EF7356"/>
    <w:rsid w:val="00F0345E"/>
    <w:rsid w:val="00F065CF"/>
    <w:rsid w:val="00F06AAD"/>
    <w:rsid w:val="00F10035"/>
    <w:rsid w:val="00F107E0"/>
    <w:rsid w:val="00F122F9"/>
    <w:rsid w:val="00F137F9"/>
    <w:rsid w:val="00F20C10"/>
    <w:rsid w:val="00F22672"/>
    <w:rsid w:val="00F22D3D"/>
    <w:rsid w:val="00F248B2"/>
    <w:rsid w:val="00F256B7"/>
    <w:rsid w:val="00F26096"/>
    <w:rsid w:val="00F26815"/>
    <w:rsid w:val="00F33C67"/>
    <w:rsid w:val="00F34FDE"/>
    <w:rsid w:val="00F40C15"/>
    <w:rsid w:val="00F414C3"/>
    <w:rsid w:val="00F4178D"/>
    <w:rsid w:val="00F463E8"/>
    <w:rsid w:val="00F478FB"/>
    <w:rsid w:val="00F47BC4"/>
    <w:rsid w:val="00F50A03"/>
    <w:rsid w:val="00F51C1B"/>
    <w:rsid w:val="00F53021"/>
    <w:rsid w:val="00F53A0C"/>
    <w:rsid w:val="00F579CA"/>
    <w:rsid w:val="00F618E4"/>
    <w:rsid w:val="00F61C3F"/>
    <w:rsid w:val="00F626C3"/>
    <w:rsid w:val="00F65D4A"/>
    <w:rsid w:val="00F701D1"/>
    <w:rsid w:val="00F72351"/>
    <w:rsid w:val="00F724FA"/>
    <w:rsid w:val="00F742C3"/>
    <w:rsid w:val="00F758D3"/>
    <w:rsid w:val="00F76DC5"/>
    <w:rsid w:val="00F77686"/>
    <w:rsid w:val="00F81CCA"/>
    <w:rsid w:val="00F84F6C"/>
    <w:rsid w:val="00F856D4"/>
    <w:rsid w:val="00F85979"/>
    <w:rsid w:val="00F86468"/>
    <w:rsid w:val="00F90660"/>
    <w:rsid w:val="00F92AF0"/>
    <w:rsid w:val="00FA46CB"/>
    <w:rsid w:val="00FA4F09"/>
    <w:rsid w:val="00FA54D4"/>
    <w:rsid w:val="00FA6BA1"/>
    <w:rsid w:val="00FA7C2B"/>
    <w:rsid w:val="00FB1909"/>
    <w:rsid w:val="00FB2887"/>
    <w:rsid w:val="00FB4794"/>
    <w:rsid w:val="00FB4972"/>
    <w:rsid w:val="00FD1551"/>
    <w:rsid w:val="00FD28D7"/>
    <w:rsid w:val="00FD3253"/>
    <w:rsid w:val="00FD41EE"/>
    <w:rsid w:val="00FD6CC9"/>
    <w:rsid w:val="00FD6E23"/>
    <w:rsid w:val="00FD7E7C"/>
    <w:rsid w:val="00FE318E"/>
    <w:rsid w:val="00FE3883"/>
    <w:rsid w:val="00FE5703"/>
    <w:rsid w:val="00FE7D5D"/>
    <w:rsid w:val="00FF1FB5"/>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E7EF5A9"/>
  <w15:chartTrackingRefBased/>
  <w15:docId w15:val="{1E18E281-B115-4589-8A5B-A0B64565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0E0E04"/>
    <w:pPr>
      <w:keepNext/>
      <w:spacing w:before="480" w:beforeAutospacing="0" w:after="240"/>
      <w:outlineLvl w:val="0"/>
    </w:pPr>
    <w:rPr>
      <w:rFonts w:eastAsia="Times New Roman"/>
      <w:b/>
      <w:bCs/>
      <w:color w:val="0070C0"/>
      <w:kern w:val="32"/>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unhideWhenUsed/>
    <w:rsid w:val="00BC1184"/>
    <w:rPr>
      <w:sz w:val="20"/>
      <w:szCs w:val="20"/>
    </w:rPr>
  </w:style>
  <w:style w:type="character" w:customStyle="1" w:styleId="CommentTextChar">
    <w:name w:val="Comment Text Char"/>
    <w:basedOn w:val="DefaultParagraphFont"/>
    <w:link w:val="CommentText"/>
    <w:uiPriority w:val="99"/>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0E0E04"/>
    <w:rPr>
      <w:rFonts w:eastAsia="Times New Roman"/>
      <w:b/>
      <w:bCs/>
      <w:color w:val="0070C0"/>
      <w:kern w:val="32"/>
      <w:sz w:val="28"/>
      <w:szCs w:val="32"/>
      <w:lang w:val="x-none" w:eastAsia="x-none"/>
    </w:rPr>
  </w:style>
  <w:style w:type="paragraph" w:styleId="NormalWeb">
    <w:name w:val="Normal (Web)"/>
    <w:basedOn w:val="Normal"/>
    <w:uiPriority w:val="99"/>
    <w:unhideWhenUsed/>
    <w:rsid w:val="000D0DD9"/>
    <w:pPr>
      <w:spacing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AB2791"/>
    <w:pPr>
      <w:spacing w:before="0" w:beforeAutospacing="0" w:after="0" w:line="240" w:lineRule="auto"/>
    </w:pPr>
    <w:rPr>
      <w:szCs w:val="21"/>
    </w:rPr>
  </w:style>
  <w:style w:type="character" w:customStyle="1" w:styleId="PlainTextChar">
    <w:name w:val="Plain Text Char"/>
    <w:link w:val="PlainText"/>
    <w:uiPriority w:val="99"/>
    <w:rsid w:val="00AB2791"/>
    <w:rPr>
      <w:sz w:val="22"/>
      <w:szCs w:val="21"/>
    </w:rPr>
  </w:style>
  <w:style w:type="table" w:styleId="TableGrid">
    <w:name w:val="Table Grid"/>
    <w:basedOn w:val="TableNormal"/>
    <w:uiPriority w:val="59"/>
    <w:rsid w:val="00DC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33C8"/>
    <w:rPr>
      <w:sz w:val="22"/>
      <w:szCs w:val="22"/>
    </w:rPr>
  </w:style>
  <w:style w:type="paragraph" w:customStyle="1" w:styleId="Header1">
    <w:name w:val="Header 1"/>
    <w:basedOn w:val="Header2"/>
    <w:link w:val="Header1Char"/>
    <w:qFormat/>
    <w:rsid w:val="000E0E04"/>
  </w:style>
  <w:style w:type="character" w:customStyle="1" w:styleId="Header1Char">
    <w:name w:val="Header 1 Char"/>
    <w:basedOn w:val="DefaultParagraphFont"/>
    <w:link w:val="Header1"/>
    <w:rsid w:val="000E0E04"/>
    <w:rPr>
      <w:b/>
      <w:i/>
      <w:color w:val="0070C0"/>
      <w:sz w:val="44"/>
      <w:szCs w:val="44"/>
    </w:rPr>
  </w:style>
  <w:style w:type="paragraph" w:customStyle="1" w:styleId="Header2">
    <w:name w:val="Header 2"/>
    <w:basedOn w:val="Normal"/>
    <w:link w:val="Header2Char"/>
    <w:qFormat/>
    <w:rsid w:val="0043728C"/>
    <w:pPr>
      <w:spacing w:before="0" w:beforeAutospacing="0" w:after="0" w:line="240" w:lineRule="auto"/>
      <w:jc w:val="center"/>
    </w:pPr>
    <w:rPr>
      <w:b/>
      <w:i/>
      <w:color w:val="0070C0"/>
      <w:sz w:val="44"/>
      <w:szCs w:val="44"/>
    </w:rPr>
  </w:style>
  <w:style w:type="character" w:customStyle="1" w:styleId="Header2Char">
    <w:name w:val="Header 2 Char"/>
    <w:basedOn w:val="DefaultParagraphFont"/>
    <w:link w:val="Header2"/>
    <w:rsid w:val="0043728C"/>
    <w:rPr>
      <w:b/>
      <w:i/>
      <w:color w:val="0070C0"/>
      <w:sz w:val="44"/>
      <w:szCs w:val="44"/>
    </w:rPr>
  </w:style>
  <w:style w:type="paragraph" w:customStyle="1" w:styleId="ParagraphtextCalibri">
    <w:name w:val="Paragraph text Calibri"/>
    <w:qFormat/>
    <w:rsid w:val="0043728C"/>
    <w:pPr>
      <w:spacing w:after="160"/>
    </w:pPr>
    <w:rPr>
      <w:sz w:val="24"/>
      <w:szCs w:val="22"/>
    </w:rPr>
  </w:style>
  <w:style w:type="paragraph" w:customStyle="1" w:styleId="EndnoteText1">
    <w:name w:val="Endnote Text1"/>
    <w:basedOn w:val="Normal"/>
    <w:qFormat/>
    <w:rsid w:val="000C743B"/>
    <w:pPr>
      <w:spacing w:before="0" w:beforeAutospacing="0" w:after="0" w:line="252" w:lineRule="auto"/>
    </w:pPr>
    <w:rPr>
      <w:rFonts w:ascii="Calibri Light" w:hAnsi="Calibri Light"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3016">
      <w:bodyDiv w:val="1"/>
      <w:marLeft w:val="0"/>
      <w:marRight w:val="0"/>
      <w:marTop w:val="0"/>
      <w:marBottom w:val="0"/>
      <w:divBdr>
        <w:top w:val="none" w:sz="0" w:space="0" w:color="auto"/>
        <w:left w:val="none" w:sz="0" w:space="0" w:color="auto"/>
        <w:bottom w:val="none" w:sz="0" w:space="0" w:color="auto"/>
        <w:right w:val="none" w:sz="0" w:space="0" w:color="auto"/>
      </w:divBdr>
    </w:div>
    <w:div w:id="362442356">
      <w:bodyDiv w:val="1"/>
      <w:marLeft w:val="0"/>
      <w:marRight w:val="0"/>
      <w:marTop w:val="0"/>
      <w:marBottom w:val="0"/>
      <w:divBdr>
        <w:top w:val="none" w:sz="0" w:space="0" w:color="auto"/>
        <w:left w:val="none" w:sz="0" w:space="0" w:color="auto"/>
        <w:bottom w:val="none" w:sz="0" w:space="0" w:color="auto"/>
        <w:right w:val="none" w:sz="0" w:space="0" w:color="auto"/>
      </w:divBdr>
    </w:div>
    <w:div w:id="794376330">
      <w:bodyDiv w:val="1"/>
      <w:marLeft w:val="0"/>
      <w:marRight w:val="0"/>
      <w:marTop w:val="0"/>
      <w:marBottom w:val="0"/>
      <w:divBdr>
        <w:top w:val="none" w:sz="0" w:space="0" w:color="auto"/>
        <w:left w:val="none" w:sz="0" w:space="0" w:color="auto"/>
        <w:bottom w:val="none" w:sz="0" w:space="0" w:color="auto"/>
        <w:right w:val="none" w:sz="0" w:space="0" w:color="auto"/>
      </w:divBdr>
    </w:div>
    <w:div w:id="1007750237">
      <w:bodyDiv w:val="1"/>
      <w:marLeft w:val="0"/>
      <w:marRight w:val="0"/>
      <w:marTop w:val="0"/>
      <w:marBottom w:val="0"/>
      <w:divBdr>
        <w:top w:val="none" w:sz="0" w:space="0" w:color="auto"/>
        <w:left w:val="none" w:sz="0" w:space="0" w:color="auto"/>
        <w:bottom w:val="none" w:sz="0" w:space="0" w:color="auto"/>
        <w:right w:val="none" w:sz="0" w:space="0" w:color="auto"/>
      </w:divBdr>
    </w:div>
    <w:div w:id="1317807320">
      <w:bodyDiv w:val="1"/>
      <w:marLeft w:val="0"/>
      <w:marRight w:val="0"/>
      <w:marTop w:val="0"/>
      <w:marBottom w:val="0"/>
      <w:divBdr>
        <w:top w:val="none" w:sz="0" w:space="0" w:color="auto"/>
        <w:left w:val="none" w:sz="0" w:space="0" w:color="auto"/>
        <w:bottom w:val="none" w:sz="0" w:space="0" w:color="auto"/>
        <w:right w:val="none" w:sz="0" w:space="0" w:color="auto"/>
      </w:divBdr>
    </w:div>
    <w:div w:id="1332178719">
      <w:bodyDiv w:val="1"/>
      <w:marLeft w:val="0"/>
      <w:marRight w:val="0"/>
      <w:marTop w:val="0"/>
      <w:marBottom w:val="0"/>
      <w:divBdr>
        <w:top w:val="none" w:sz="0" w:space="0" w:color="auto"/>
        <w:left w:val="none" w:sz="0" w:space="0" w:color="auto"/>
        <w:bottom w:val="none" w:sz="0" w:space="0" w:color="auto"/>
        <w:right w:val="none" w:sz="0" w:space="0" w:color="auto"/>
      </w:divBdr>
    </w:div>
    <w:div w:id="1538158480">
      <w:bodyDiv w:val="1"/>
      <w:marLeft w:val="0"/>
      <w:marRight w:val="0"/>
      <w:marTop w:val="0"/>
      <w:marBottom w:val="0"/>
      <w:divBdr>
        <w:top w:val="none" w:sz="0" w:space="0" w:color="auto"/>
        <w:left w:val="none" w:sz="0" w:space="0" w:color="auto"/>
        <w:bottom w:val="none" w:sz="0" w:space="0" w:color="auto"/>
        <w:right w:val="none" w:sz="0" w:space="0" w:color="auto"/>
      </w:divBdr>
    </w:div>
    <w:div w:id="18592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88C51A80A60A4DB202B8C3155C914A" ma:contentTypeVersion="13" ma:contentTypeDescription="Create a new document." ma:contentTypeScope="" ma:versionID="ed7f3a98e6a7cb100b0d5ba2ef6bf63c">
  <xsd:schema xmlns:xsd="http://www.w3.org/2001/XMLSchema" xmlns:xs="http://www.w3.org/2001/XMLSchema" xmlns:p="http://schemas.microsoft.com/office/2006/metadata/properties" xmlns:ns3="aa0046f4-f2d7-4500-9fa7-b9ece034ccd6" xmlns:ns4="7f93e015-59c0-4fdd-91ec-e19c3ca23e66" targetNamespace="http://schemas.microsoft.com/office/2006/metadata/properties" ma:root="true" ma:fieldsID="b37f3e650e48caa068455c209d1e283e" ns3:_="" ns4:_="">
    <xsd:import namespace="aa0046f4-f2d7-4500-9fa7-b9ece034ccd6"/>
    <xsd:import namespace="7f93e015-59c0-4fdd-91ec-e19c3ca23e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46f4-f2d7-4500-9fa7-b9ece034cc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3e015-59c0-4fdd-91ec-e19c3ca23e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1B85B-E733-48D0-97F8-4F14CBDD1C26}">
  <ds:schemaRefs>
    <ds:schemaRef ds:uri="http://schemas.openxmlformats.org/officeDocument/2006/bibliography"/>
  </ds:schemaRefs>
</ds:datastoreItem>
</file>

<file path=customXml/itemProps2.xml><?xml version="1.0" encoding="utf-8"?>
<ds:datastoreItem xmlns:ds="http://schemas.openxmlformats.org/officeDocument/2006/customXml" ds:itemID="{3D95370E-BF8B-4B41-BE5C-B27F7185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46f4-f2d7-4500-9fa7-b9ece034ccd6"/>
    <ds:schemaRef ds:uri="7f93e015-59c0-4fdd-91ec-e19c3ca23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A68C3-7D7F-4636-B01D-A232589F8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18F25-D38B-4C73-962D-AE1194FC9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Adherence Report</vt:lpstr>
    </vt:vector>
  </TitlesOfParts>
  <Company>University of California, Irvine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Adherence Report</dc:title>
  <dc:subject>Decolonization of Non-ICU Patients</dc:subject>
  <dc:creator>"Agency for Healthcare Research and Quality (AHRQ)"</dc:creator>
  <cp:keywords>HAIs</cp:keywords>
  <cp:lastModifiedBy>Ramage, Kathryn (AHRQ/OC) (CTR)</cp:lastModifiedBy>
  <cp:revision>5</cp:revision>
  <cp:lastPrinted>2016-07-28T17:38:00Z</cp:lastPrinted>
  <dcterms:created xsi:type="dcterms:W3CDTF">2021-11-22T21:27:00Z</dcterms:created>
  <dcterms:modified xsi:type="dcterms:W3CDTF">2022-02-18T20:34:00Z</dcterms:modified>
  <cp:category>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0x0101000088C51A80A60A4DB202B8C3155C914A</vt:lpwstr>
  </property>
</Properties>
</file>