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C1231" w14:textId="77777777" w:rsidR="00E32D5F" w:rsidRDefault="00E32D5F"/>
    <w:p w14:paraId="5B6EE7A6" w14:textId="0B9908F1" w:rsidR="00687C2F" w:rsidRPr="00FB6901" w:rsidRDefault="00182D6A" w:rsidP="00FB6901">
      <w:pPr>
        <w:pStyle w:val="H1"/>
        <w:rPr>
          <w:lang w:val="fr-FR"/>
        </w:rPr>
      </w:pPr>
      <w:r w:rsidRPr="00FB6901">
        <w:rPr>
          <w:lang w:val="fr-FR"/>
        </w:rPr>
        <w:t>CLABS</w:t>
      </w:r>
      <w:r w:rsidR="00687C2F" w:rsidRPr="00FB6901">
        <w:rPr>
          <w:lang w:val="fr-FR"/>
        </w:rPr>
        <w:t xml:space="preserve">I </w:t>
      </w:r>
      <w:proofErr w:type="gramStart"/>
      <w:r w:rsidR="00687C2F" w:rsidRPr="00FB6901">
        <w:rPr>
          <w:lang w:val="fr-FR"/>
        </w:rPr>
        <w:t>Module:</w:t>
      </w:r>
      <w:proofErr w:type="gramEnd"/>
      <w:r w:rsidR="00687C2F" w:rsidRPr="00FB6901">
        <w:rPr>
          <w:lang w:val="fr-FR"/>
        </w:rPr>
        <w:t xml:space="preserve"> </w:t>
      </w:r>
    </w:p>
    <w:p w14:paraId="68541D62" w14:textId="448AABC5" w:rsidR="00B86B3C" w:rsidRPr="00FB6901" w:rsidRDefault="00182D6A" w:rsidP="00B86B3C">
      <w:pPr>
        <w:pStyle w:val="Title"/>
        <w:jc w:val="center"/>
        <w:rPr>
          <w:rFonts w:asciiTheme="minorHAnsi" w:hAnsiTheme="minorHAnsi"/>
          <w:b/>
          <w:sz w:val="48"/>
          <w:lang w:val="fr-FR"/>
        </w:rPr>
      </w:pPr>
      <w:r w:rsidRPr="00FB6901">
        <w:rPr>
          <w:rFonts w:asciiTheme="minorHAnsi" w:hAnsiTheme="minorHAnsi"/>
          <w:b/>
          <w:sz w:val="48"/>
          <w:lang w:val="fr-FR"/>
        </w:rPr>
        <w:t xml:space="preserve">Central </w:t>
      </w:r>
      <w:proofErr w:type="spellStart"/>
      <w:r w:rsidRPr="00FB6901">
        <w:rPr>
          <w:rFonts w:asciiTheme="minorHAnsi" w:hAnsiTheme="minorHAnsi"/>
          <w:b/>
          <w:sz w:val="48"/>
          <w:lang w:val="fr-FR"/>
        </w:rPr>
        <w:t>Venous</w:t>
      </w:r>
      <w:proofErr w:type="spellEnd"/>
      <w:r w:rsidRPr="00FB6901">
        <w:rPr>
          <w:rFonts w:asciiTheme="minorHAnsi" w:hAnsiTheme="minorHAnsi"/>
          <w:b/>
          <w:sz w:val="48"/>
          <w:lang w:val="fr-FR"/>
        </w:rPr>
        <w:t xml:space="preserve"> </w:t>
      </w:r>
      <w:proofErr w:type="spellStart"/>
      <w:r w:rsidRPr="00FB6901">
        <w:rPr>
          <w:rFonts w:asciiTheme="minorHAnsi" w:hAnsiTheme="minorHAnsi"/>
          <w:b/>
          <w:sz w:val="48"/>
          <w:lang w:val="fr-FR"/>
        </w:rPr>
        <w:t>Catheter</w:t>
      </w:r>
      <w:proofErr w:type="spellEnd"/>
      <w:r w:rsidRPr="00FB6901">
        <w:rPr>
          <w:rFonts w:asciiTheme="minorHAnsi" w:hAnsiTheme="minorHAnsi"/>
          <w:b/>
          <w:sz w:val="48"/>
          <w:lang w:val="fr-FR"/>
        </w:rPr>
        <w:t xml:space="preserve"> </w:t>
      </w:r>
      <w:r w:rsidR="009634C8" w:rsidRPr="00FB6901">
        <w:rPr>
          <w:rFonts w:asciiTheme="minorHAnsi" w:hAnsiTheme="minorHAnsi"/>
          <w:b/>
          <w:sz w:val="48"/>
          <w:lang w:val="fr-FR"/>
        </w:rPr>
        <w:t xml:space="preserve">Maintenance </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3261"/>
      </w:tblGrid>
      <w:tr w:rsidR="009831B1" w:rsidRPr="00A177C8" w14:paraId="3F3A4419" w14:textId="55E75453" w:rsidTr="008A07DE">
        <w:trPr>
          <w:cantSplit/>
          <w:trHeight w:val="146"/>
          <w:tblHeader/>
        </w:trPr>
        <w:tc>
          <w:tcPr>
            <w:tcW w:w="6655" w:type="dxa"/>
            <w:tcBorders>
              <w:top w:val="single" w:sz="4" w:space="0" w:color="auto"/>
              <w:left w:val="single" w:sz="4" w:space="0" w:color="auto"/>
              <w:bottom w:val="single" w:sz="4" w:space="0" w:color="auto"/>
              <w:right w:val="single" w:sz="4" w:space="0" w:color="auto"/>
            </w:tcBorders>
          </w:tcPr>
          <w:p w14:paraId="6E90AC98" w14:textId="77777777" w:rsidR="009831B1" w:rsidRPr="00A177C8" w:rsidRDefault="009831B1" w:rsidP="009831B1">
            <w:pPr>
              <w:autoSpaceDE w:val="0"/>
              <w:autoSpaceDN w:val="0"/>
              <w:adjustRightInd w:val="0"/>
              <w:spacing w:after="0" w:line="240" w:lineRule="auto"/>
              <w:jc w:val="center"/>
              <w:rPr>
                <w:rFonts w:cs="Calibri"/>
                <w:b/>
                <w:kern w:val="24"/>
                <w:sz w:val="24"/>
                <w:szCs w:val="24"/>
              </w:rPr>
            </w:pPr>
            <w:r w:rsidRPr="00A177C8">
              <w:rPr>
                <w:rFonts w:cs="Calibri"/>
                <w:b/>
                <w:kern w:val="24"/>
                <w:sz w:val="24"/>
                <w:szCs w:val="24"/>
              </w:rPr>
              <w:t>Facilitator Guide</w:t>
            </w:r>
          </w:p>
        </w:tc>
        <w:tc>
          <w:tcPr>
            <w:tcW w:w="3261" w:type="dxa"/>
            <w:tcBorders>
              <w:top w:val="single" w:sz="4" w:space="0" w:color="auto"/>
              <w:left w:val="single" w:sz="4" w:space="0" w:color="auto"/>
              <w:bottom w:val="single" w:sz="4" w:space="0" w:color="auto"/>
              <w:right w:val="single" w:sz="4" w:space="0" w:color="auto"/>
            </w:tcBorders>
          </w:tcPr>
          <w:p w14:paraId="269AD8DC" w14:textId="388F4BFC" w:rsidR="009831B1" w:rsidRPr="00A177C8" w:rsidRDefault="009831B1" w:rsidP="009831B1">
            <w:pPr>
              <w:autoSpaceDE w:val="0"/>
              <w:autoSpaceDN w:val="0"/>
              <w:adjustRightInd w:val="0"/>
              <w:spacing w:after="0" w:line="240" w:lineRule="auto"/>
              <w:jc w:val="center"/>
              <w:rPr>
                <w:rFonts w:cs="Calibri"/>
                <w:b/>
                <w:kern w:val="24"/>
                <w:sz w:val="24"/>
                <w:szCs w:val="24"/>
              </w:rPr>
            </w:pPr>
            <w:r w:rsidRPr="00A177C8">
              <w:rPr>
                <w:b/>
              </w:rPr>
              <w:t>Slide Number and Image</w:t>
            </w:r>
          </w:p>
        </w:tc>
      </w:tr>
      <w:tr w:rsidR="009634C8" w14:paraId="2A131DBA" w14:textId="1D7E2832" w:rsidTr="00EF0F0E">
        <w:trPr>
          <w:cantSplit/>
          <w:trHeight w:val="2663"/>
        </w:trPr>
        <w:tc>
          <w:tcPr>
            <w:tcW w:w="6655" w:type="dxa"/>
            <w:tcBorders>
              <w:top w:val="single" w:sz="4" w:space="0" w:color="auto"/>
              <w:left w:val="single" w:sz="4" w:space="0" w:color="auto"/>
              <w:bottom w:val="single" w:sz="4" w:space="0" w:color="auto"/>
              <w:right w:val="single" w:sz="4" w:space="0" w:color="auto"/>
            </w:tcBorders>
          </w:tcPr>
          <w:p w14:paraId="4FB0B646" w14:textId="1AA5296B" w:rsidR="009634C8" w:rsidRDefault="009634C8" w:rsidP="009634C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This module, titled Central Venous Catheter Maintenance, is part of the Agency for Healthcare Research and Quality’s Safety Program for </w:t>
            </w:r>
            <w:r w:rsidR="00323B8A">
              <w:rPr>
                <w:rFonts w:ascii="Calibri" w:hAnsi="Calibri" w:cs="Calibri"/>
                <w:kern w:val="24"/>
                <w:sz w:val="24"/>
                <w:szCs w:val="24"/>
              </w:rPr>
              <w:t>I</w:t>
            </w:r>
            <w:r>
              <w:rPr>
                <w:rFonts w:ascii="Calibri" w:hAnsi="Calibri" w:cs="Calibri"/>
                <w:kern w:val="24"/>
                <w:sz w:val="24"/>
                <w:szCs w:val="24"/>
              </w:rPr>
              <w:t xml:space="preserve">ntensive </w:t>
            </w:r>
            <w:r w:rsidR="00323B8A">
              <w:rPr>
                <w:rFonts w:ascii="Calibri" w:hAnsi="Calibri" w:cs="Calibri"/>
                <w:kern w:val="24"/>
                <w:sz w:val="24"/>
                <w:szCs w:val="24"/>
              </w:rPr>
              <w:t>C</w:t>
            </w:r>
            <w:r>
              <w:rPr>
                <w:rFonts w:ascii="Calibri" w:hAnsi="Calibri" w:cs="Calibri"/>
                <w:kern w:val="24"/>
                <w:sz w:val="24"/>
                <w:szCs w:val="24"/>
              </w:rPr>
              <w:t xml:space="preserve">are </w:t>
            </w:r>
            <w:r w:rsidR="00323B8A">
              <w:rPr>
                <w:rFonts w:ascii="Calibri" w:hAnsi="Calibri" w:cs="Calibri"/>
                <w:kern w:val="24"/>
                <w:sz w:val="24"/>
                <w:szCs w:val="24"/>
              </w:rPr>
              <w:t>U</w:t>
            </w:r>
            <w:r>
              <w:rPr>
                <w:rFonts w:ascii="Calibri" w:hAnsi="Calibri" w:cs="Calibri"/>
                <w:kern w:val="24"/>
                <w:sz w:val="24"/>
                <w:szCs w:val="24"/>
              </w:rPr>
              <w:t xml:space="preserve">nits (ICUs) and addresses central line-associated bloodstream infections, also known as CLABSIs. </w:t>
            </w:r>
          </w:p>
          <w:p w14:paraId="494D6F33" w14:textId="77777777" w:rsidR="009634C8" w:rsidRDefault="009634C8" w:rsidP="009634C8">
            <w:pPr>
              <w:autoSpaceDE w:val="0"/>
              <w:autoSpaceDN w:val="0"/>
              <w:adjustRightInd w:val="0"/>
              <w:spacing w:after="0" w:line="240" w:lineRule="auto"/>
              <w:rPr>
                <w:rFonts w:ascii="Calibri" w:hAnsi="Calibri" w:cs="Calibri"/>
                <w:kern w:val="24"/>
                <w:sz w:val="24"/>
                <w:szCs w:val="24"/>
              </w:rPr>
            </w:pPr>
          </w:p>
          <w:p w14:paraId="1A221F2F" w14:textId="292488BF" w:rsidR="009634C8" w:rsidRPr="00EF0F0E" w:rsidRDefault="009634C8" w:rsidP="00EF0F0E">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This module will review the interventions in a central venous catheter maintenance bundle and will also explain the importance of proper care of a central venous catheter (CVC) </w:t>
            </w:r>
            <w:proofErr w:type="gramStart"/>
            <w:r>
              <w:rPr>
                <w:rFonts w:ascii="Calibri" w:hAnsi="Calibri" w:cs="Calibri"/>
                <w:kern w:val="24"/>
                <w:sz w:val="24"/>
                <w:szCs w:val="24"/>
              </w:rPr>
              <w:t>as a means to</w:t>
            </w:r>
            <w:proofErr w:type="gramEnd"/>
            <w:r>
              <w:rPr>
                <w:rFonts w:ascii="Calibri" w:hAnsi="Calibri" w:cs="Calibri"/>
                <w:kern w:val="24"/>
                <w:sz w:val="24"/>
                <w:szCs w:val="24"/>
              </w:rPr>
              <w:t xml:space="preserve"> prevent infection.</w:t>
            </w:r>
          </w:p>
        </w:tc>
        <w:tc>
          <w:tcPr>
            <w:tcW w:w="3261" w:type="dxa"/>
            <w:tcBorders>
              <w:top w:val="single" w:sz="4" w:space="0" w:color="auto"/>
              <w:left w:val="single" w:sz="4" w:space="0" w:color="auto"/>
              <w:bottom w:val="single" w:sz="4" w:space="0" w:color="auto"/>
              <w:right w:val="single" w:sz="4" w:space="0" w:color="auto"/>
            </w:tcBorders>
          </w:tcPr>
          <w:p w14:paraId="23B6E14A" w14:textId="77777777" w:rsidR="009634C8" w:rsidRDefault="009634C8" w:rsidP="009634C8">
            <w:r>
              <w:t>Slide 1</w:t>
            </w:r>
          </w:p>
          <w:p w14:paraId="0BD8C974" w14:textId="46BA493D" w:rsidR="009634C8" w:rsidRPr="00C171DB" w:rsidRDefault="00FB6901" w:rsidP="00EF0F0E">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78AEF2B3" wp14:editId="66134628">
                  <wp:extent cx="1885950" cy="1457325"/>
                  <wp:effectExtent l="19050" t="19050" r="19050" b="285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457325"/>
                          </a:xfrm>
                          <a:prstGeom prst="rect">
                            <a:avLst/>
                          </a:prstGeom>
                          <a:noFill/>
                          <a:ln>
                            <a:solidFill>
                              <a:schemeClr val="tx1"/>
                            </a:solidFill>
                          </a:ln>
                        </pic:spPr>
                      </pic:pic>
                    </a:graphicData>
                  </a:graphic>
                </wp:inline>
              </w:drawing>
            </w:r>
          </w:p>
        </w:tc>
      </w:tr>
      <w:tr w:rsidR="009634C8" w14:paraId="457FCC22" w14:textId="16B51EF7" w:rsidTr="00EF0F0E">
        <w:trPr>
          <w:cantSplit/>
          <w:trHeight w:val="2744"/>
        </w:trPr>
        <w:tc>
          <w:tcPr>
            <w:tcW w:w="6655" w:type="dxa"/>
            <w:tcBorders>
              <w:top w:val="single" w:sz="4" w:space="0" w:color="auto"/>
              <w:left w:val="single" w:sz="4" w:space="0" w:color="auto"/>
              <w:bottom w:val="single" w:sz="4" w:space="0" w:color="auto"/>
              <w:right w:val="single" w:sz="4" w:space="0" w:color="auto"/>
            </w:tcBorders>
          </w:tcPr>
          <w:p w14:paraId="77A0AB89" w14:textId="60191723" w:rsidR="009634C8" w:rsidRDefault="009634C8" w:rsidP="009634C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Let’s get started by revisiting the life</w:t>
            </w:r>
            <w:r w:rsidR="00084F26">
              <w:rPr>
                <w:rFonts w:ascii="Calibri" w:hAnsi="Calibri" w:cs="Calibri"/>
                <w:kern w:val="24"/>
                <w:sz w:val="24"/>
                <w:szCs w:val="24"/>
              </w:rPr>
              <w:t xml:space="preserve"> </w:t>
            </w:r>
            <w:r>
              <w:rPr>
                <w:rFonts w:ascii="Calibri" w:hAnsi="Calibri" w:cs="Calibri"/>
                <w:kern w:val="24"/>
                <w:sz w:val="24"/>
                <w:szCs w:val="24"/>
              </w:rPr>
              <w:t xml:space="preserve">cycle of the catheter. In cases of a CVC, maintaining awareness and proper care of the catheter is critical to preventing a CLABSI. </w:t>
            </w:r>
          </w:p>
          <w:p w14:paraId="69E19D9B" w14:textId="77777777" w:rsidR="009634C8" w:rsidRDefault="009634C8" w:rsidP="009634C8">
            <w:pPr>
              <w:autoSpaceDE w:val="0"/>
              <w:autoSpaceDN w:val="0"/>
              <w:adjustRightInd w:val="0"/>
              <w:spacing w:after="0" w:line="240" w:lineRule="auto"/>
              <w:rPr>
                <w:rFonts w:ascii="Calibri" w:hAnsi="Calibri" w:cs="Calibri"/>
                <w:kern w:val="24"/>
                <w:sz w:val="24"/>
                <w:szCs w:val="24"/>
              </w:rPr>
            </w:pPr>
          </w:p>
          <w:p w14:paraId="29ABF918" w14:textId="7661D7BF" w:rsidR="009634C8" w:rsidRPr="00EF0F0E" w:rsidRDefault="009634C8" w:rsidP="009634C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In this module, we will focus on </w:t>
            </w:r>
            <w:r w:rsidR="00323B8A">
              <w:rPr>
                <w:rFonts w:ascii="Calibri" w:hAnsi="Calibri" w:cs="Calibri"/>
                <w:kern w:val="24"/>
                <w:sz w:val="24"/>
                <w:szCs w:val="24"/>
              </w:rPr>
              <w:t>s</w:t>
            </w:r>
            <w:r>
              <w:rPr>
                <w:rFonts w:ascii="Calibri" w:hAnsi="Calibri" w:cs="Calibri"/>
                <w:kern w:val="24"/>
                <w:sz w:val="24"/>
                <w:szCs w:val="24"/>
              </w:rPr>
              <w:t>tep 2</w:t>
            </w:r>
            <w:r w:rsidR="00084F26">
              <w:rPr>
                <w:rFonts w:ascii="Calibri" w:hAnsi="Calibri" w:cs="Calibri"/>
                <w:kern w:val="24"/>
                <w:sz w:val="24"/>
                <w:szCs w:val="24"/>
              </w:rPr>
              <w:t xml:space="preserve"> on the slide</w:t>
            </w:r>
            <w:r w:rsidR="00323B8A">
              <w:rPr>
                <w:rFonts w:ascii="Calibri" w:hAnsi="Calibri" w:cs="Calibri"/>
                <w:kern w:val="24"/>
                <w:sz w:val="24"/>
                <w:szCs w:val="24"/>
              </w:rPr>
              <w:t>, m</w:t>
            </w:r>
            <w:r>
              <w:rPr>
                <w:rFonts w:ascii="Calibri" w:hAnsi="Calibri" w:cs="Calibri"/>
                <w:kern w:val="24"/>
                <w:sz w:val="24"/>
                <w:szCs w:val="24"/>
              </w:rPr>
              <w:t xml:space="preserve">aintain </w:t>
            </w:r>
            <w:r w:rsidR="00323B8A">
              <w:rPr>
                <w:rFonts w:ascii="Calibri" w:hAnsi="Calibri" w:cs="Calibri"/>
                <w:kern w:val="24"/>
                <w:sz w:val="24"/>
                <w:szCs w:val="24"/>
              </w:rPr>
              <w:t>a</w:t>
            </w:r>
            <w:r>
              <w:rPr>
                <w:rFonts w:ascii="Calibri" w:hAnsi="Calibri" w:cs="Calibri"/>
                <w:kern w:val="24"/>
                <w:sz w:val="24"/>
                <w:szCs w:val="24"/>
              </w:rPr>
              <w:t xml:space="preserve">wareness and </w:t>
            </w:r>
            <w:r w:rsidR="00323B8A">
              <w:rPr>
                <w:rFonts w:ascii="Calibri" w:hAnsi="Calibri" w:cs="Calibri"/>
                <w:kern w:val="24"/>
                <w:sz w:val="24"/>
                <w:szCs w:val="24"/>
              </w:rPr>
              <w:t>p</w:t>
            </w:r>
            <w:r>
              <w:rPr>
                <w:rFonts w:ascii="Calibri" w:hAnsi="Calibri" w:cs="Calibri"/>
                <w:kern w:val="24"/>
                <w:sz w:val="24"/>
                <w:szCs w:val="24"/>
              </w:rPr>
              <w:t xml:space="preserve">roper </w:t>
            </w:r>
            <w:r w:rsidR="00323B8A">
              <w:rPr>
                <w:rFonts w:ascii="Calibri" w:hAnsi="Calibri" w:cs="Calibri"/>
                <w:kern w:val="24"/>
                <w:sz w:val="24"/>
                <w:szCs w:val="24"/>
              </w:rPr>
              <w:t>c</w:t>
            </w:r>
            <w:r>
              <w:rPr>
                <w:rFonts w:ascii="Calibri" w:hAnsi="Calibri" w:cs="Calibri"/>
                <w:kern w:val="24"/>
                <w:sz w:val="24"/>
                <w:szCs w:val="24"/>
              </w:rPr>
              <w:t xml:space="preserve">are of </w:t>
            </w:r>
            <w:r w:rsidR="00323B8A">
              <w:rPr>
                <w:rFonts w:ascii="Calibri" w:hAnsi="Calibri" w:cs="Calibri"/>
                <w:kern w:val="24"/>
                <w:sz w:val="24"/>
                <w:szCs w:val="24"/>
              </w:rPr>
              <w:t>c</w:t>
            </w:r>
            <w:r>
              <w:rPr>
                <w:rFonts w:ascii="Calibri" w:hAnsi="Calibri" w:cs="Calibri"/>
                <w:kern w:val="24"/>
                <w:sz w:val="24"/>
                <w:szCs w:val="24"/>
              </w:rPr>
              <w:t xml:space="preserve">atheters in </w:t>
            </w:r>
            <w:r w:rsidR="00323B8A">
              <w:rPr>
                <w:rFonts w:ascii="Calibri" w:hAnsi="Calibri" w:cs="Calibri"/>
                <w:kern w:val="24"/>
                <w:sz w:val="24"/>
                <w:szCs w:val="24"/>
              </w:rPr>
              <w:t>p</w:t>
            </w:r>
            <w:r>
              <w:rPr>
                <w:rFonts w:ascii="Calibri" w:hAnsi="Calibri" w:cs="Calibri"/>
                <w:kern w:val="24"/>
                <w:sz w:val="24"/>
                <w:szCs w:val="24"/>
              </w:rPr>
              <w:t>lace, which is an important part of this life</w:t>
            </w:r>
            <w:r w:rsidR="00084F26">
              <w:rPr>
                <w:rFonts w:ascii="Calibri" w:hAnsi="Calibri" w:cs="Calibri"/>
                <w:kern w:val="24"/>
                <w:sz w:val="24"/>
                <w:szCs w:val="24"/>
              </w:rPr>
              <w:t xml:space="preserve"> </w:t>
            </w:r>
            <w:r>
              <w:rPr>
                <w:rFonts w:ascii="Calibri" w:hAnsi="Calibri" w:cs="Calibri"/>
                <w:kern w:val="24"/>
                <w:sz w:val="24"/>
                <w:szCs w:val="24"/>
              </w:rPr>
              <w:t>cycle.</w:t>
            </w:r>
          </w:p>
        </w:tc>
        <w:tc>
          <w:tcPr>
            <w:tcW w:w="3261" w:type="dxa"/>
            <w:tcBorders>
              <w:top w:val="single" w:sz="4" w:space="0" w:color="auto"/>
              <w:left w:val="single" w:sz="4" w:space="0" w:color="auto"/>
              <w:bottom w:val="single" w:sz="4" w:space="0" w:color="auto"/>
              <w:right w:val="single" w:sz="4" w:space="0" w:color="auto"/>
            </w:tcBorders>
          </w:tcPr>
          <w:p w14:paraId="57004D2C" w14:textId="77777777" w:rsidR="009634C8" w:rsidRDefault="009634C8" w:rsidP="009634C8">
            <w:r>
              <w:t>Slide 2</w:t>
            </w:r>
          </w:p>
          <w:p w14:paraId="3D71A992" w14:textId="41B99ACF" w:rsidR="009634C8" w:rsidRDefault="00FB6901" w:rsidP="00EF0F0E">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672AEDA8" wp14:editId="56966131">
                  <wp:extent cx="1895475" cy="1466850"/>
                  <wp:effectExtent l="19050" t="19050" r="28575" b="190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1466850"/>
                          </a:xfrm>
                          <a:prstGeom prst="rect">
                            <a:avLst/>
                          </a:prstGeom>
                          <a:noFill/>
                          <a:ln>
                            <a:solidFill>
                              <a:schemeClr val="tx1"/>
                            </a:solidFill>
                          </a:ln>
                        </pic:spPr>
                      </pic:pic>
                    </a:graphicData>
                  </a:graphic>
                </wp:inline>
              </w:drawing>
            </w:r>
          </w:p>
        </w:tc>
      </w:tr>
      <w:tr w:rsidR="009634C8" w14:paraId="4BC051C6" w14:textId="77777777" w:rsidTr="00EF0F0E">
        <w:trPr>
          <w:cantSplit/>
          <w:trHeight w:val="2852"/>
        </w:trPr>
        <w:tc>
          <w:tcPr>
            <w:tcW w:w="6655" w:type="dxa"/>
            <w:tcBorders>
              <w:top w:val="single" w:sz="4" w:space="0" w:color="auto"/>
              <w:left w:val="single" w:sz="4" w:space="0" w:color="auto"/>
              <w:bottom w:val="single" w:sz="4" w:space="0" w:color="auto"/>
              <w:right w:val="single" w:sz="4" w:space="0" w:color="auto"/>
            </w:tcBorders>
          </w:tcPr>
          <w:p w14:paraId="706D33B2" w14:textId="7223769D" w:rsidR="009634C8" w:rsidRDefault="009634C8" w:rsidP="009634C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To start this discussion, let’s first consider a case study. Mrs. Dunn is admitted to the ICU for urosepsis, and a </w:t>
            </w:r>
            <w:r w:rsidR="00323B8A">
              <w:rPr>
                <w:rFonts w:ascii="Calibri" w:hAnsi="Calibri" w:cs="Calibri"/>
                <w:kern w:val="24"/>
                <w:sz w:val="24"/>
                <w:szCs w:val="24"/>
              </w:rPr>
              <w:t>CVC</w:t>
            </w:r>
            <w:r>
              <w:rPr>
                <w:rFonts w:ascii="Calibri" w:hAnsi="Calibri" w:cs="Calibri"/>
                <w:kern w:val="24"/>
                <w:sz w:val="24"/>
                <w:szCs w:val="24"/>
              </w:rPr>
              <w:t xml:space="preserve"> is placed for hemodynamic monitoring and vasoactive medication administration. The CVC insertion bundle is used, and no breaches of technique are noted. Over the next few days, Mrs. Dunn improves, and the vasoactive medications and intensive monitoring are no longer necessary. Because Mrs. Dunn’s acuity has decreased, the nurses have been assigned to care for other patients at the same time. The central venous catheter continues to be used for antibiotics and for blood withdrawal for lab testing.</w:t>
            </w:r>
          </w:p>
        </w:tc>
        <w:tc>
          <w:tcPr>
            <w:tcW w:w="3261" w:type="dxa"/>
            <w:tcBorders>
              <w:top w:val="single" w:sz="4" w:space="0" w:color="auto"/>
              <w:left w:val="single" w:sz="4" w:space="0" w:color="auto"/>
              <w:bottom w:val="single" w:sz="4" w:space="0" w:color="auto"/>
              <w:right w:val="single" w:sz="4" w:space="0" w:color="auto"/>
            </w:tcBorders>
          </w:tcPr>
          <w:p w14:paraId="08E20950" w14:textId="77777777" w:rsidR="009634C8" w:rsidRDefault="009634C8" w:rsidP="009634C8">
            <w:r>
              <w:t>Slide 3</w:t>
            </w:r>
          </w:p>
          <w:p w14:paraId="2865281B" w14:textId="3916E777" w:rsidR="009634C8" w:rsidRDefault="00FB6901" w:rsidP="00EF0F0E">
            <w:pPr>
              <w:spacing w:after="120" w:line="240" w:lineRule="auto"/>
            </w:pPr>
            <w:r>
              <w:rPr>
                <w:noProof/>
              </w:rPr>
              <w:drawing>
                <wp:inline distT="0" distB="0" distL="0" distR="0" wp14:anchorId="5270AD3F" wp14:editId="7ACD68AE">
                  <wp:extent cx="1895475" cy="1466850"/>
                  <wp:effectExtent l="19050" t="19050" r="28575" b="1905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1466850"/>
                          </a:xfrm>
                          <a:prstGeom prst="rect">
                            <a:avLst/>
                          </a:prstGeom>
                          <a:noFill/>
                          <a:ln>
                            <a:solidFill>
                              <a:schemeClr val="tx1"/>
                            </a:solidFill>
                          </a:ln>
                        </pic:spPr>
                      </pic:pic>
                    </a:graphicData>
                  </a:graphic>
                </wp:inline>
              </w:drawing>
            </w:r>
          </w:p>
        </w:tc>
      </w:tr>
    </w:tbl>
    <w:p w14:paraId="561FCFA0" w14:textId="0E64359D" w:rsidR="006C26D8" w:rsidRDefault="006C26D8">
      <w:pPr>
        <w:sectPr w:rsidR="006C26D8" w:rsidSect="00276CA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0" w:gutter="0"/>
          <w:cols w:space="720"/>
          <w:titlePg/>
          <w:docGrid w:linePitch="360"/>
        </w:sect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3240"/>
      </w:tblGrid>
      <w:tr w:rsidR="00EF0F0E" w14:paraId="65B02794" w14:textId="77777777" w:rsidTr="00EF0F0E">
        <w:trPr>
          <w:cantSplit/>
          <w:trHeight w:val="170"/>
          <w:tblHeader/>
        </w:trPr>
        <w:tc>
          <w:tcPr>
            <w:tcW w:w="6655" w:type="dxa"/>
            <w:tcBorders>
              <w:top w:val="single" w:sz="4" w:space="0" w:color="auto"/>
              <w:left w:val="single" w:sz="4" w:space="0" w:color="auto"/>
              <w:bottom w:val="single" w:sz="4" w:space="0" w:color="auto"/>
              <w:right w:val="single" w:sz="4" w:space="0" w:color="auto"/>
            </w:tcBorders>
          </w:tcPr>
          <w:p w14:paraId="74DBD451" w14:textId="4B3DED85" w:rsidR="00EF0F0E" w:rsidRDefault="00EF0F0E" w:rsidP="00EF0F0E">
            <w:pPr>
              <w:autoSpaceDE w:val="0"/>
              <w:autoSpaceDN w:val="0"/>
              <w:adjustRightInd w:val="0"/>
              <w:spacing w:after="0" w:line="240" w:lineRule="auto"/>
              <w:jc w:val="center"/>
              <w:rPr>
                <w:rFonts w:ascii="Calibri" w:hAnsi="Calibri" w:cs="Calibri"/>
                <w:kern w:val="24"/>
                <w:sz w:val="24"/>
                <w:szCs w:val="24"/>
              </w:rPr>
            </w:pPr>
            <w:r w:rsidRPr="00A177C8">
              <w:rPr>
                <w:rFonts w:cs="Calibri"/>
                <w:b/>
                <w:kern w:val="24"/>
                <w:sz w:val="24"/>
                <w:szCs w:val="24"/>
              </w:rPr>
              <w:lastRenderedPageBreak/>
              <w:t>Facilitator Guide</w:t>
            </w:r>
          </w:p>
        </w:tc>
        <w:tc>
          <w:tcPr>
            <w:tcW w:w="3240" w:type="dxa"/>
            <w:tcBorders>
              <w:top w:val="single" w:sz="4" w:space="0" w:color="auto"/>
              <w:left w:val="single" w:sz="4" w:space="0" w:color="auto"/>
              <w:bottom w:val="single" w:sz="4" w:space="0" w:color="auto"/>
              <w:right w:val="single" w:sz="4" w:space="0" w:color="auto"/>
            </w:tcBorders>
          </w:tcPr>
          <w:p w14:paraId="306D21A3" w14:textId="21CDD2EC" w:rsidR="00EF0F0E" w:rsidRDefault="00EF0F0E" w:rsidP="00EF0F0E">
            <w:pPr>
              <w:spacing w:after="0"/>
              <w:jc w:val="center"/>
            </w:pPr>
            <w:r w:rsidRPr="00A177C8">
              <w:rPr>
                <w:b/>
              </w:rPr>
              <w:t>Slide Number and Image</w:t>
            </w:r>
          </w:p>
        </w:tc>
      </w:tr>
      <w:tr w:rsidR="003C2C2B" w14:paraId="728A8871" w14:textId="3DD0E18F" w:rsidTr="003C2C2B">
        <w:trPr>
          <w:trHeight w:val="3230"/>
        </w:trPr>
        <w:tc>
          <w:tcPr>
            <w:tcW w:w="6655" w:type="dxa"/>
            <w:tcBorders>
              <w:top w:val="single" w:sz="4" w:space="0" w:color="auto"/>
              <w:left w:val="single" w:sz="4" w:space="0" w:color="auto"/>
              <w:bottom w:val="single" w:sz="4" w:space="0" w:color="auto"/>
              <w:right w:val="single" w:sz="4" w:space="0" w:color="auto"/>
            </w:tcBorders>
          </w:tcPr>
          <w:p w14:paraId="7FBC1CD1" w14:textId="6FAC901C" w:rsidR="00A058AF" w:rsidRDefault="00A058AF" w:rsidP="00A058AF">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On day 7, Mrs. Dunn becomes febrile again and is diagnosed with a CLABSI due to another organism</w:t>
            </w:r>
            <w:r>
              <w:rPr>
                <w:rFonts w:ascii="Calibri" w:hAnsi="Calibri" w:cs="Calibri"/>
                <w:i/>
                <w:iCs/>
                <w:kern w:val="24"/>
                <w:sz w:val="24"/>
                <w:szCs w:val="24"/>
              </w:rPr>
              <w:t xml:space="preserve">. </w:t>
            </w:r>
            <w:r>
              <w:rPr>
                <w:rFonts w:ascii="Calibri" w:hAnsi="Calibri" w:cs="Calibri"/>
                <w:kern w:val="24"/>
                <w:sz w:val="24"/>
                <w:szCs w:val="24"/>
              </w:rPr>
              <w:t xml:space="preserve">The physicians and nurses in the ICU </w:t>
            </w:r>
            <w:r w:rsidR="00E23E04">
              <w:rPr>
                <w:rFonts w:ascii="Calibri" w:hAnsi="Calibri" w:cs="Calibri"/>
                <w:kern w:val="24"/>
                <w:sz w:val="24"/>
                <w:szCs w:val="24"/>
              </w:rPr>
              <w:t xml:space="preserve">realize </w:t>
            </w:r>
            <w:r>
              <w:rPr>
                <w:rFonts w:ascii="Calibri" w:hAnsi="Calibri" w:cs="Calibri"/>
                <w:kern w:val="24"/>
                <w:sz w:val="24"/>
                <w:szCs w:val="24"/>
              </w:rPr>
              <w:t>that her central venous catheter could have been removed days earlier, which would have prevented her from developing the CLABSI. The staff also mention that they changed the central line dressing every day despite the site being clean, dry</w:t>
            </w:r>
            <w:r w:rsidR="00323B8A">
              <w:rPr>
                <w:rFonts w:ascii="Calibri" w:hAnsi="Calibri" w:cs="Calibri"/>
                <w:kern w:val="24"/>
                <w:sz w:val="24"/>
                <w:szCs w:val="24"/>
              </w:rPr>
              <w:t>,</w:t>
            </w:r>
            <w:r>
              <w:rPr>
                <w:rFonts w:ascii="Calibri" w:hAnsi="Calibri" w:cs="Calibri"/>
                <w:kern w:val="24"/>
                <w:sz w:val="24"/>
                <w:szCs w:val="24"/>
              </w:rPr>
              <w:t xml:space="preserve"> and intact.</w:t>
            </w:r>
          </w:p>
          <w:p w14:paraId="6EAA8638" w14:textId="77777777" w:rsidR="00A058AF" w:rsidRDefault="00A058AF" w:rsidP="00A058AF">
            <w:pPr>
              <w:autoSpaceDE w:val="0"/>
              <w:autoSpaceDN w:val="0"/>
              <w:adjustRightInd w:val="0"/>
              <w:spacing w:after="0" w:line="240" w:lineRule="auto"/>
              <w:rPr>
                <w:rFonts w:ascii="Calibri" w:hAnsi="Calibri" w:cs="Calibri"/>
                <w:kern w:val="24"/>
                <w:sz w:val="24"/>
                <w:szCs w:val="24"/>
              </w:rPr>
            </w:pPr>
          </w:p>
          <w:p w14:paraId="12E19129" w14:textId="5EAB8D8A" w:rsidR="00C6661B" w:rsidRPr="008A07DE" w:rsidRDefault="00CB0CAE" w:rsidP="008A07DE">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A</w:t>
            </w:r>
            <w:r w:rsidR="00A058AF">
              <w:rPr>
                <w:rFonts w:ascii="Calibri" w:hAnsi="Calibri" w:cs="Calibri"/>
                <w:kern w:val="24"/>
                <w:sz w:val="24"/>
                <w:szCs w:val="24"/>
              </w:rPr>
              <w:t xml:space="preserve"> number of challenges identified in this case scenario can be addressed by consistently using a central venous catheter maintenance bundle checklist. Before discussing the checklist, it is important to address one the biggest challenges that occurred in late 2019 – the COVID-19 pandemic and its impact on CLABSI.  </w:t>
            </w:r>
          </w:p>
        </w:tc>
        <w:tc>
          <w:tcPr>
            <w:tcW w:w="3240" w:type="dxa"/>
            <w:tcBorders>
              <w:top w:val="single" w:sz="4" w:space="0" w:color="auto"/>
              <w:left w:val="single" w:sz="4" w:space="0" w:color="auto"/>
              <w:bottom w:val="single" w:sz="4" w:space="0" w:color="auto"/>
              <w:right w:val="single" w:sz="4" w:space="0" w:color="auto"/>
            </w:tcBorders>
          </w:tcPr>
          <w:p w14:paraId="5BB091BB" w14:textId="3FF5CC58" w:rsidR="003C2C2B" w:rsidRDefault="003C2C2B" w:rsidP="003C2C2B"/>
          <w:p w14:paraId="1169F62E" w14:textId="53AD3458" w:rsidR="003C2C2B" w:rsidRDefault="003C2C2B" w:rsidP="003C2C2B">
            <w:pPr>
              <w:autoSpaceDE w:val="0"/>
              <w:autoSpaceDN w:val="0"/>
              <w:adjustRightInd w:val="0"/>
              <w:spacing w:after="0" w:line="240" w:lineRule="auto"/>
              <w:rPr>
                <w:rFonts w:cs="Calibri"/>
                <w:kern w:val="24"/>
                <w:sz w:val="24"/>
                <w:szCs w:val="24"/>
              </w:rPr>
            </w:pPr>
          </w:p>
        </w:tc>
      </w:tr>
      <w:tr w:rsidR="003C2C2B" w14:paraId="3B470F6B" w14:textId="29160446" w:rsidTr="00EF0F0E">
        <w:trPr>
          <w:trHeight w:val="2870"/>
        </w:trPr>
        <w:tc>
          <w:tcPr>
            <w:tcW w:w="6655" w:type="dxa"/>
            <w:tcBorders>
              <w:top w:val="single" w:sz="4" w:space="0" w:color="auto"/>
              <w:left w:val="single" w:sz="4" w:space="0" w:color="auto"/>
              <w:bottom w:val="single" w:sz="4" w:space="0" w:color="auto"/>
              <w:right w:val="single" w:sz="4" w:space="0" w:color="auto"/>
            </w:tcBorders>
          </w:tcPr>
          <w:p w14:paraId="0D7ACE3F" w14:textId="20B889ED" w:rsidR="003C2C2B" w:rsidRPr="003C2C2B" w:rsidRDefault="00C6661B" w:rsidP="003C2C2B">
            <w:pPr>
              <w:autoSpaceDE w:val="0"/>
              <w:autoSpaceDN w:val="0"/>
              <w:adjustRightInd w:val="0"/>
              <w:spacing w:after="0" w:line="240" w:lineRule="auto"/>
              <w:rPr>
                <w:rFonts w:ascii="Calibri" w:hAnsi="Calibri" w:cs="Calibri"/>
                <w:bCs/>
                <w:kern w:val="24"/>
              </w:rPr>
            </w:pPr>
            <w:r>
              <w:rPr>
                <w:rFonts w:ascii="Calibri" w:hAnsi="Calibri" w:cs="Calibri"/>
                <w:kern w:val="24"/>
                <w:sz w:val="24"/>
                <w:szCs w:val="24"/>
              </w:rPr>
              <w:t>Analysis of N</w:t>
            </w:r>
            <w:r w:rsidR="00323B8A">
              <w:rPr>
                <w:rFonts w:ascii="Calibri" w:hAnsi="Calibri" w:cs="Calibri"/>
                <w:kern w:val="24"/>
                <w:sz w:val="24"/>
                <w:szCs w:val="24"/>
              </w:rPr>
              <w:t xml:space="preserve">ational </w:t>
            </w:r>
            <w:r>
              <w:rPr>
                <w:rFonts w:ascii="Calibri" w:hAnsi="Calibri" w:cs="Calibri"/>
                <w:kern w:val="24"/>
                <w:sz w:val="24"/>
                <w:szCs w:val="24"/>
              </w:rPr>
              <w:t>H</w:t>
            </w:r>
            <w:r w:rsidR="00323B8A">
              <w:rPr>
                <w:rFonts w:ascii="Calibri" w:hAnsi="Calibri" w:cs="Calibri"/>
                <w:kern w:val="24"/>
                <w:sz w:val="24"/>
                <w:szCs w:val="24"/>
              </w:rPr>
              <w:t xml:space="preserve">ealthcare </w:t>
            </w:r>
            <w:r>
              <w:rPr>
                <w:rFonts w:ascii="Calibri" w:hAnsi="Calibri" w:cs="Calibri"/>
                <w:kern w:val="24"/>
                <w:sz w:val="24"/>
                <w:szCs w:val="24"/>
              </w:rPr>
              <w:t>S</w:t>
            </w:r>
            <w:r w:rsidR="00323B8A">
              <w:rPr>
                <w:rFonts w:ascii="Calibri" w:hAnsi="Calibri" w:cs="Calibri"/>
                <w:kern w:val="24"/>
                <w:sz w:val="24"/>
                <w:szCs w:val="24"/>
              </w:rPr>
              <w:t xml:space="preserve">afety </w:t>
            </w:r>
            <w:r>
              <w:rPr>
                <w:rFonts w:ascii="Calibri" w:hAnsi="Calibri" w:cs="Calibri"/>
                <w:kern w:val="24"/>
                <w:sz w:val="24"/>
                <w:szCs w:val="24"/>
              </w:rPr>
              <w:t>N</w:t>
            </w:r>
            <w:r w:rsidR="00323B8A">
              <w:rPr>
                <w:rFonts w:ascii="Calibri" w:hAnsi="Calibri" w:cs="Calibri"/>
                <w:kern w:val="24"/>
                <w:sz w:val="24"/>
                <w:szCs w:val="24"/>
              </w:rPr>
              <w:t>etwork</w:t>
            </w:r>
            <w:r>
              <w:rPr>
                <w:rFonts w:ascii="Calibri" w:hAnsi="Calibri" w:cs="Calibri"/>
                <w:kern w:val="24"/>
                <w:sz w:val="24"/>
                <w:szCs w:val="24"/>
              </w:rPr>
              <w:t xml:space="preserve"> CLABSI standard infection ratios from 936 hospitals reported </w:t>
            </w:r>
            <w:r w:rsidR="00A65121">
              <w:rPr>
                <w:rFonts w:ascii="Calibri" w:hAnsi="Calibri" w:cs="Calibri"/>
                <w:kern w:val="24"/>
                <w:sz w:val="24"/>
                <w:szCs w:val="24"/>
              </w:rPr>
              <w:t xml:space="preserve">that </w:t>
            </w:r>
            <w:r>
              <w:rPr>
                <w:rFonts w:ascii="Calibri" w:hAnsi="Calibri" w:cs="Calibri"/>
                <w:kern w:val="24"/>
                <w:sz w:val="24"/>
                <w:szCs w:val="24"/>
              </w:rPr>
              <w:t>a 28</w:t>
            </w:r>
            <w:r w:rsidR="00A65121">
              <w:rPr>
                <w:rFonts w:ascii="Calibri" w:hAnsi="Calibri" w:cs="Calibri"/>
                <w:kern w:val="24"/>
                <w:sz w:val="24"/>
                <w:szCs w:val="24"/>
              </w:rPr>
              <w:t xml:space="preserve"> percent</w:t>
            </w:r>
            <w:r>
              <w:rPr>
                <w:rFonts w:ascii="Calibri" w:hAnsi="Calibri" w:cs="Calibri"/>
                <w:kern w:val="24"/>
                <w:sz w:val="24"/>
                <w:szCs w:val="24"/>
              </w:rPr>
              <w:t xml:space="preserve"> (95% </w:t>
            </w:r>
            <w:r w:rsidR="00A65121">
              <w:rPr>
                <w:rFonts w:ascii="Calibri" w:hAnsi="Calibri" w:cs="Calibri"/>
                <w:kern w:val="24"/>
                <w:sz w:val="24"/>
                <w:szCs w:val="24"/>
              </w:rPr>
              <w:t>confidence interval</w:t>
            </w:r>
            <w:r>
              <w:rPr>
                <w:rFonts w:ascii="Calibri" w:hAnsi="Calibri" w:cs="Calibri"/>
                <w:kern w:val="24"/>
                <w:sz w:val="24"/>
                <w:szCs w:val="24"/>
              </w:rPr>
              <w:t>: 20</w:t>
            </w:r>
            <w:r w:rsidR="00A65121">
              <w:rPr>
                <w:rFonts w:ascii="Calibri" w:hAnsi="Calibri" w:cs="Calibri"/>
                <w:kern w:val="24"/>
                <w:sz w:val="24"/>
                <w:szCs w:val="24"/>
              </w:rPr>
              <w:t xml:space="preserve"> to </w:t>
            </w:r>
            <w:r>
              <w:rPr>
                <w:rFonts w:ascii="Calibri" w:hAnsi="Calibri" w:cs="Calibri"/>
                <w:kern w:val="24"/>
                <w:sz w:val="24"/>
                <w:szCs w:val="24"/>
              </w:rPr>
              <w:t xml:space="preserve">33.6%) increase was observed in quarter 2 of 2020 compared </w:t>
            </w:r>
            <w:r w:rsidR="00A65121">
              <w:rPr>
                <w:rFonts w:ascii="Calibri" w:hAnsi="Calibri" w:cs="Calibri"/>
                <w:kern w:val="24"/>
                <w:sz w:val="24"/>
                <w:szCs w:val="24"/>
              </w:rPr>
              <w:t>with</w:t>
            </w:r>
            <w:r>
              <w:rPr>
                <w:rFonts w:ascii="Calibri" w:hAnsi="Calibri" w:cs="Calibri"/>
                <w:kern w:val="24"/>
                <w:sz w:val="24"/>
                <w:szCs w:val="24"/>
              </w:rPr>
              <w:t xml:space="preserve"> quarter 2 of 2019.  Increases in device utilization, reduced contact between staff and isolated patients that could impact catheter maintenance, increased use of prone positioning in ICUs, and an overall increase in patient complexity and acuity were likely drivers of this increase. This may have led to lapses in infection prevention best practices. There is a need within our ICUs to reset or reboot our infection prevention culture and get back to the basics of line prevention care. </w:t>
            </w:r>
          </w:p>
        </w:tc>
        <w:tc>
          <w:tcPr>
            <w:tcW w:w="3240" w:type="dxa"/>
            <w:tcBorders>
              <w:top w:val="single" w:sz="4" w:space="0" w:color="auto"/>
              <w:left w:val="single" w:sz="4" w:space="0" w:color="auto"/>
              <w:bottom w:val="single" w:sz="4" w:space="0" w:color="auto"/>
              <w:right w:val="single" w:sz="4" w:space="0" w:color="auto"/>
            </w:tcBorders>
          </w:tcPr>
          <w:p w14:paraId="5B723B4F" w14:textId="77777777" w:rsidR="003C2C2B" w:rsidRDefault="003C2C2B" w:rsidP="003C2C2B">
            <w:r>
              <w:t>Slide 4</w:t>
            </w:r>
          </w:p>
          <w:p w14:paraId="4CAEC8CC" w14:textId="548A24E1" w:rsidR="003C2C2B" w:rsidRDefault="00FB6901" w:rsidP="003C2C2B">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2FEFE0B" wp14:editId="17CBF179">
                  <wp:extent cx="1885950" cy="1457325"/>
                  <wp:effectExtent l="19050" t="19050" r="19050" b="2857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5950" cy="1457325"/>
                          </a:xfrm>
                          <a:prstGeom prst="rect">
                            <a:avLst/>
                          </a:prstGeom>
                          <a:noFill/>
                          <a:ln>
                            <a:solidFill>
                              <a:schemeClr val="tx1"/>
                            </a:solidFill>
                          </a:ln>
                        </pic:spPr>
                      </pic:pic>
                    </a:graphicData>
                  </a:graphic>
                </wp:inline>
              </w:drawing>
            </w:r>
          </w:p>
        </w:tc>
      </w:tr>
      <w:tr w:rsidR="003C2C2B" w14:paraId="25D68096" w14:textId="685A0C01" w:rsidTr="00512653">
        <w:trPr>
          <w:trHeight w:val="800"/>
        </w:trPr>
        <w:tc>
          <w:tcPr>
            <w:tcW w:w="6655" w:type="dxa"/>
            <w:tcBorders>
              <w:top w:val="single" w:sz="4" w:space="0" w:color="auto"/>
              <w:left w:val="single" w:sz="4" w:space="0" w:color="auto"/>
              <w:bottom w:val="single" w:sz="4" w:space="0" w:color="auto"/>
              <w:right w:val="single" w:sz="4" w:space="0" w:color="auto"/>
            </w:tcBorders>
          </w:tcPr>
          <w:p w14:paraId="2C687C7F" w14:textId="4F62485F" w:rsidR="00484716" w:rsidRDefault="00484716" w:rsidP="0048471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The fundamental care and maintenance of the central line is critical in preventing infection. It is recognized that COVID</w:t>
            </w:r>
            <w:r w:rsidR="00A65121">
              <w:rPr>
                <w:rFonts w:ascii="Calibri" w:hAnsi="Calibri" w:cs="Calibri"/>
                <w:kern w:val="24"/>
                <w:sz w:val="24"/>
                <w:szCs w:val="24"/>
              </w:rPr>
              <w:t>-19</w:t>
            </w:r>
            <w:r>
              <w:rPr>
                <w:rFonts w:ascii="Calibri" w:hAnsi="Calibri" w:cs="Calibri"/>
                <w:kern w:val="24"/>
                <w:sz w:val="24"/>
                <w:szCs w:val="24"/>
              </w:rPr>
              <w:t xml:space="preserve"> created circumstances that</w:t>
            </w:r>
            <w:r w:rsidR="005572D5">
              <w:rPr>
                <w:rFonts w:ascii="Calibri" w:hAnsi="Calibri" w:cs="Calibri"/>
                <w:kern w:val="24"/>
                <w:sz w:val="24"/>
                <w:szCs w:val="24"/>
              </w:rPr>
              <w:t xml:space="preserve"> even</w:t>
            </w:r>
            <w:r>
              <w:rPr>
                <w:rFonts w:ascii="Calibri" w:hAnsi="Calibri" w:cs="Calibri"/>
                <w:kern w:val="24"/>
                <w:sz w:val="24"/>
                <w:szCs w:val="24"/>
              </w:rPr>
              <w:t xml:space="preserve"> impacted practices that </w:t>
            </w:r>
            <w:r w:rsidR="005572D5">
              <w:rPr>
                <w:rFonts w:ascii="Calibri" w:hAnsi="Calibri" w:cs="Calibri"/>
                <w:kern w:val="24"/>
                <w:sz w:val="24"/>
                <w:szCs w:val="24"/>
              </w:rPr>
              <w:t>had been</w:t>
            </w:r>
            <w:r>
              <w:rPr>
                <w:rFonts w:ascii="Calibri" w:hAnsi="Calibri" w:cs="Calibri"/>
                <w:kern w:val="24"/>
                <w:sz w:val="24"/>
                <w:szCs w:val="24"/>
              </w:rPr>
              <w:t xml:space="preserve"> hardwired due to </w:t>
            </w:r>
            <w:r w:rsidRPr="00CE5B85">
              <w:rPr>
                <w:rFonts w:ascii="Calibri" w:hAnsi="Calibri" w:cs="Calibri"/>
                <w:kern w:val="24"/>
                <w:sz w:val="24"/>
                <w:szCs w:val="24"/>
              </w:rPr>
              <w:t>overcrowding, staffing shortages, movement of patients to nontraditional COVID units</w:t>
            </w:r>
            <w:r w:rsidR="00A65121">
              <w:rPr>
                <w:rFonts w:ascii="Calibri" w:hAnsi="Calibri" w:cs="Calibri"/>
                <w:kern w:val="24"/>
                <w:sz w:val="24"/>
                <w:szCs w:val="24"/>
              </w:rPr>
              <w:t>,</w:t>
            </w:r>
            <w:r w:rsidRPr="00CE5B85">
              <w:rPr>
                <w:rFonts w:ascii="Calibri" w:hAnsi="Calibri" w:cs="Calibri"/>
                <w:kern w:val="24"/>
                <w:sz w:val="24"/>
                <w:szCs w:val="24"/>
              </w:rPr>
              <w:t xml:space="preserve"> and use of </w:t>
            </w:r>
            <w:r w:rsidR="00B848A2">
              <w:rPr>
                <w:rFonts w:ascii="Calibri" w:hAnsi="Calibri" w:cs="Calibri"/>
                <w:kern w:val="24"/>
                <w:sz w:val="24"/>
                <w:szCs w:val="24"/>
              </w:rPr>
              <w:t>temporary</w:t>
            </w:r>
            <w:r w:rsidRPr="00CE5B85">
              <w:rPr>
                <w:rFonts w:ascii="Calibri" w:hAnsi="Calibri" w:cs="Calibri"/>
                <w:kern w:val="24"/>
                <w:sz w:val="24"/>
                <w:szCs w:val="24"/>
              </w:rPr>
              <w:t xml:space="preserve"> and float staff</w:t>
            </w:r>
            <w:r>
              <w:rPr>
                <w:rFonts w:ascii="Calibri" w:hAnsi="Calibri" w:cs="Calibri"/>
                <w:kern w:val="24"/>
                <w:sz w:val="24"/>
                <w:szCs w:val="24"/>
              </w:rPr>
              <w:t>.</w:t>
            </w:r>
          </w:p>
          <w:p w14:paraId="11B2188E" w14:textId="4765EE01" w:rsidR="00484716" w:rsidRDefault="00484716" w:rsidP="00484716">
            <w:pPr>
              <w:autoSpaceDE w:val="0"/>
              <w:autoSpaceDN w:val="0"/>
              <w:adjustRightInd w:val="0"/>
              <w:spacing w:after="0" w:line="240" w:lineRule="auto"/>
              <w:rPr>
                <w:rFonts w:ascii="Calibri" w:hAnsi="Calibri" w:cs="Calibri"/>
                <w:kern w:val="24"/>
                <w:sz w:val="24"/>
                <w:szCs w:val="24"/>
              </w:rPr>
            </w:pPr>
          </w:p>
          <w:p w14:paraId="2ADAC579" w14:textId="5253372D" w:rsidR="003C2C2B" w:rsidRDefault="00484716" w:rsidP="003C2C2B">
            <w:pPr>
              <w:autoSpaceDE w:val="0"/>
              <w:autoSpaceDN w:val="0"/>
              <w:adjustRightInd w:val="0"/>
              <w:spacing w:after="0" w:line="240" w:lineRule="auto"/>
            </w:pPr>
            <w:r>
              <w:rPr>
                <w:rFonts w:ascii="Calibri" w:hAnsi="Calibri" w:cs="Calibri"/>
                <w:kern w:val="24"/>
                <w:sz w:val="24"/>
                <w:szCs w:val="24"/>
              </w:rPr>
              <w:t>The ICU team must refocus efforts on the basic components of the maintenance bundle</w:t>
            </w:r>
            <w:r w:rsidR="00CB0CAE">
              <w:rPr>
                <w:rFonts w:ascii="Calibri" w:hAnsi="Calibri" w:cs="Calibri"/>
                <w:kern w:val="24"/>
                <w:sz w:val="24"/>
                <w:szCs w:val="24"/>
              </w:rPr>
              <w:t>,</w:t>
            </w:r>
            <w:r>
              <w:rPr>
                <w:rFonts w:ascii="Calibri" w:hAnsi="Calibri" w:cs="Calibri"/>
                <w:kern w:val="24"/>
                <w:sz w:val="24"/>
                <w:szCs w:val="24"/>
              </w:rPr>
              <w:t xml:space="preserve"> which includes</w:t>
            </w:r>
            <w:r w:rsidR="00CB0CAE">
              <w:rPr>
                <w:rFonts w:ascii="Calibri" w:hAnsi="Calibri" w:cs="Calibri"/>
                <w:kern w:val="24"/>
                <w:sz w:val="24"/>
                <w:szCs w:val="24"/>
              </w:rPr>
              <w:t>:</w:t>
            </w:r>
            <w:r>
              <w:rPr>
                <w:rFonts w:ascii="Calibri" w:hAnsi="Calibri" w:cs="Calibri"/>
                <w:kern w:val="24"/>
                <w:sz w:val="24"/>
                <w:szCs w:val="24"/>
              </w:rPr>
              <w:t xml:space="preserve"> discussion of daily need in shift handoff and multidisciplinary rounds, </w:t>
            </w:r>
            <w:r w:rsidR="00CB0CAE">
              <w:rPr>
                <w:rFonts w:ascii="Calibri" w:hAnsi="Calibri" w:cs="Calibri"/>
                <w:kern w:val="24"/>
                <w:sz w:val="24"/>
                <w:szCs w:val="24"/>
              </w:rPr>
              <w:t>e</w:t>
            </w:r>
            <w:r>
              <w:rPr>
                <w:rFonts w:ascii="Calibri" w:hAnsi="Calibri" w:cs="Calibri"/>
                <w:kern w:val="24"/>
                <w:sz w:val="24"/>
                <w:szCs w:val="24"/>
              </w:rPr>
              <w:t xml:space="preserve">nsuring the dressing is occlusive </w:t>
            </w:r>
            <w:r w:rsidR="00CB0CAE">
              <w:rPr>
                <w:rFonts w:ascii="Calibri" w:hAnsi="Calibri" w:cs="Calibri"/>
                <w:kern w:val="24"/>
                <w:sz w:val="24"/>
                <w:szCs w:val="24"/>
              </w:rPr>
              <w:t>and</w:t>
            </w:r>
            <w:r>
              <w:rPr>
                <w:rFonts w:ascii="Calibri" w:hAnsi="Calibri" w:cs="Calibri"/>
                <w:kern w:val="24"/>
                <w:sz w:val="24"/>
                <w:szCs w:val="24"/>
              </w:rPr>
              <w:t xml:space="preserve"> not soiled, performing a CHG bath on all patients in the ICU unless they are allergic, correct process to access the CVC line to minimize the risk for infection</w:t>
            </w:r>
            <w:r w:rsidR="00CB0CAE">
              <w:rPr>
                <w:rFonts w:ascii="Calibri" w:hAnsi="Calibri" w:cs="Calibri"/>
                <w:kern w:val="24"/>
                <w:sz w:val="24"/>
                <w:szCs w:val="24"/>
              </w:rPr>
              <w:t>,</w:t>
            </w:r>
            <w:r>
              <w:rPr>
                <w:rFonts w:ascii="Calibri" w:hAnsi="Calibri" w:cs="Calibri"/>
                <w:kern w:val="24"/>
                <w:sz w:val="24"/>
                <w:szCs w:val="24"/>
              </w:rPr>
              <w:t xml:space="preserve"> and lastly, changing the administration sets and tubing according to hospital policy.</w:t>
            </w:r>
          </w:p>
        </w:tc>
        <w:tc>
          <w:tcPr>
            <w:tcW w:w="3240" w:type="dxa"/>
            <w:tcBorders>
              <w:top w:val="single" w:sz="4" w:space="0" w:color="auto"/>
              <w:left w:val="single" w:sz="4" w:space="0" w:color="auto"/>
              <w:bottom w:val="single" w:sz="4" w:space="0" w:color="auto"/>
              <w:right w:val="single" w:sz="4" w:space="0" w:color="auto"/>
            </w:tcBorders>
          </w:tcPr>
          <w:p w14:paraId="59AC2A07" w14:textId="77777777" w:rsidR="003C2C2B" w:rsidRDefault="003C2C2B" w:rsidP="003C2C2B">
            <w:r>
              <w:t>Slide 5</w:t>
            </w:r>
          </w:p>
          <w:p w14:paraId="618B70A8" w14:textId="7A9BAC17" w:rsidR="003C2C2B" w:rsidRDefault="00FB6901" w:rsidP="003C2C2B">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0D4DDB8" wp14:editId="5B77008E">
                  <wp:extent cx="1885950" cy="1457325"/>
                  <wp:effectExtent l="19050" t="19050" r="19050" b="2857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5950" cy="1457325"/>
                          </a:xfrm>
                          <a:prstGeom prst="rect">
                            <a:avLst/>
                          </a:prstGeom>
                          <a:noFill/>
                          <a:ln>
                            <a:solidFill>
                              <a:schemeClr val="tx1"/>
                            </a:solidFill>
                          </a:ln>
                        </pic:spPr>
                      </pic:pic>
                    </a:graphicData>
                  </a:graphic>
                </wp:inline>
              </w:drawing>
            </w:r>
          </w:p>
        </w:tc>
      </w:tr>
      <w:tr w:rsidR="003C2C2B" w14:paraId="3AB67BAC" w14:textId="3D6DC542" w:rsidTr="00512653">
        <w:trPr>
          <w:trHeight w:val="800"/>
        </w:trPr>
        <w:tc>
          <w:tcPr>
            <w:tcW w:w="6655" w:type="dxa"/>
            <w:tcBorders>
              <w:top w:val="single" w:sz="4" w:space="0" w:color="auto"/>
              <w:left w:val="single" w:sz="4" w:space="0" w:color="auto"/>
              <w:bottom w:val="single" w:sz="4" w:space="0" w:color="auto"/>
              <w:right w:val="single" w:sz="4" w:space="0" w:color="auto"/>
            </w:tcBorders>
          </w:tcPr>
          <w:p w14:paraId="268B1346" w14:textId="09E6AD85" w:rsidR="00484716" w:rsidRDefault="00484716" w:rsidP="0048471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One way to assure we consistently follow key risk reduction strategies is to include a discussion of the necessity of the central venous catheter as a standard item in the daily team rounding </w:t>
            </w:r>
            <w:r>
              <w:rPr>
                <w:rFonts w:ascii="Calibri" w:hAnsi="Calibri" w:cs="Calibri"/>
                <w:kern w:val="24"/>
                <w:sz w:val="24"/>
                <w:szCs w:val="24"/>
              </w:rPr>
              <w:lastRenderedPageBreak/>
              <w:t>process. It is important to take advantage of the expertise of the entire team when assessing whether the central line is needed a</w:t>
            </w:r>
            <w:r w:rsidR="005572D5">
              <w:rPr>
                <w:rFonts w:ascii="Calibri" w:hAnsi="Calibri" w:cs="Calibri"/>
                <w:kern w:val="24"/>
                <w:sz w:val="24"/>
                <w:szCs w:val="24"/>
              </w:rPr>
              <w:t xml:space="preserve">s well as </w:t>
            </w:r>
            <w:r w:rsidR="00B848A2">
              <w:rPr>
                <w:rFonts w:ascii="Calibri" w:hAnsi="Calibri" w:cs="Calibri"/>
                <w:kern w:val="24"/>
                <w:sz w:val="24"/>
                <w:szCs w:val="24"/>
              </w:rPr>
              <w:t>considering</w:t>
            </w:r>
            <w:r w:rsidR="005572D5">
              <w:rPr>
                <w:rFonts w:ascii="Calibri" w:hAnsi="Calibri" w:cs="Calibri"/>
                <w:kern w:val="24"/>
                <w:sz w:val="24"/>
                <w:szCs w:val="24"/>
              </w:rPr>
              <w:t xml:space="preserve"> the</w:t>
            </w:r>
            <w:r>
              <w:rPr>
                <w:rFonts w:ascii="Calibri" w:hAnsi="Calibri" w:cs="Calibri"/>
                <w:kern w:val="24"/>
                <w:sz w:val="24"/>
                <w:szCs w:val="24"/>
              </w:rPr>
              <w:t xml:space="preserve"> risk associated with both keeping the line in and removing the central venous catheter. </w:t>
            </w:r>
          </w:p>
          <w:p w14:paraId="406F356D" w14:textId="77777777" w:rsidR="00484716" w:rsidRDefault="00484716" w:rsidP="00484716">
            <w:pPr>
              <w:autoSpaceDE w:val="0"/>
              <w:autoSpaceDN w:val="0"/>
              <w:adjustRightInd w:val="0"/>
              <w:spacing w:after="0" w:line="240" w:lineRule="auto"/>
              <w:rPr>
                <w:rFonts w:ascii="Calibri" w:hAnsi="Calibri" w:cs="Calibri"/>
                <w:kern w:val="24"/>
                <w:sz w:val="24"/>
                <w:szCs w:val="24"/>
              </w:rPr>
            </w:pPr>
          </w:p>
          <w:p w14:paraId="05617E01" w14:textId="719B77CB" w:rsidR="00484716" w:rsidRDefault="00484716" w:rsidP="0048471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Use of a rounding checklist ensures that all important items are covered in the daily rounds. </w:t>
            </w:r>
            <w:r w:rsidR="00A65121">
              <w:rPr>
                <w:rFonts w:ascii="Calibri" w:hAnsi="Calibri" w:cs="Calibri"/>
                <w:kern w:val="24"/>
                <w:sz w:val="24"/>
                <w:szCs w:val="24"/>
              </w:rPr>
              <w:t>E</w:t>
            </w:r>
            <w:r>
              <w:rPr>
                <w:rFonts w:ascii="Calibri" w:hAnsi="Calibri" w:cs="Calibri"/>
                <w:kern w:val="24"/>
                <w:sz w:val="24"/>
                <w:szCs w:val="24"/>
              </w:rPr>
              <w:t>lectronic medical record</w:t>
            </w:r>
            <w:r w:rsidR="00A65121">
              <w:rPr>
                <w:rFonts w:ascii="Calibri" w:hAnsi="Calibri" w:cs="Calibri"/>
                <w:kern w:val="24"/>
                <w:sz w:val="24"/>
                <w:szCs w:val="24"/>
              </w:rPr>
              <w:t xml:space="preserve"> (EMR</w:t>
            </w:r>
            <w:r>
              <w:rPr>
                <w:rFonts w:ascii="Calibri" w:hAnsi="Calibri" w:cs="Calibri"/>
                <w:kern w:val="24"/>
                <w:sz w:val="24"/>
                <w:szCs w:val="24"/>
              </w:rPr>
              <w:t>) prompts can also help highlight assessment criteria, ensure accurate documentation of necessity, and support monitoring of adherence to best practice. You may also post or print and share checklists for CVC indications to use as a guide during the daily assessment. The use of these indications should become part of your daily patient care, so discuss with your team members how best to integrate this knowledge and practice into your daily routines and processes.</w:t>
            </w:r>
          </w:p>
          <w:p w14:paraId="082B92F5" w14:textId="77777777" w:rsidR="00484716" w:rsidRDefault="00484716" w:rsidP="00484716">
            <w:pPr>
              <w:autoSpaceDE w:val="0"/>
              <w:autoSpaceDN w:val="0"/>
              <w:adjustRightInd w:val="0"/>
              <w:spacing w:after="0" w:line="240" w:lineRule="auto"/>
              <w:rPr>
                <w:rFonts w:ascii="Calibri" w:hAnsi="Calibri" w:cs="Calibri"/>
                <w:kern w:val="24"/>
                <w:sz w:val="24"/>
                <w:szCs w:val="24"/>
              </w:rPr>
            </w:pPr>
          </w:p>
          <w:p w14:paraId="741A9441" w14:textId="0E08E9F4" w:rsidR="003C2C2B" w:rsidRPr="00EF0F0E" w:rsidRDefault="00484716" w:rsidP="003C2C2B">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For patients </w:t>
            </w:r>
            <w:r w:rsidR="00CB0CAE">
              <w:rPr>
                <w:rFonts w:ascii="Calibri" w:hAnsi="Calibri" w:cs="Calibri"/>
                <w:kern w:val="24"/>
                <w:sz w:val="24"/>
                <w:szCs w:val="24"/>
              </w:rPr>
              <w:t>who</w:t>
            </w:r>
            <w:r>
              <w:rPr>
                <w:rFonts w:ascii="Calibri" w:hAnsi="Calibri" w:cs="Calibri"/>
                <w:kern w:val="24"/>
                <w:sz w:val="24"/>
                <w:szCs w:val="24"/>
              </w:rPr>
              <w:t xml:space="preserve"> have been assessed and continue to meet the indications for CVC necessity, evidence-based care strategies should be implemented by properly trained clinicians. These strategies include daily bathing with a </w:t>
            </w:r>
            <w:r w:rsidR="00CB0CAE">
              <w:rPr>
                <w:rFonts w:ascii="Calibri" w:hAnsi="Calibri" w:cs="Calibri"/>
                <w:kern w:val="24"/>
                <w:sz w:val="24"/>
                <w:szCs w:val="24"/>
              </w:rPr>
              <w:t>CHG</w:t>
            </w:r>
            <w:r>
              <w:rPr>
                <w:rFonts w:ascii="Calibri" w:hAnsi="Calibri" w:cs="Calibri"/>
                <w:kern w:val="24"/>
                <w:sz w:val="24"/>
                <w:szCs w:val="24"/>
              </w:rPr>
              <w:t xml:space="preserve"> preparation and following essential CVC maintenance procedures</w:t>
            </w:r>
            <w:r w:rsidR="00CB0CAE">
              <w:rPr>
                <w:rFonts w:ascii="Calibri" w:hAnsi="Calibri" w:cs="Calibri"/>
                <w:kern w:val="24"/>
                <w:sz w:val="24"/>
                <w:szCs w:val="24"/>
              </w:rPr>
              <w:t>,</w:t>
            </w:r>
            <w:r>
              <w:rPr>
                <w:rFonts w:ascii="Calibri" w:hAnsi="Calibri" w:cs="Calibri"/>
                <w:kern w:val="24"/>
                <w:sz w:val="24"/>
                <w:szCs w:val="24"/>
              </w:rPr>
              <w:t xml:space="preserve"> which we will discuss next.</w:t>
            </w:r>
          </w:p>
        </w:tc>
        <w:tc>
          <w:tcPr>
            <w:tcW w:w="3240" w:type="dxa"/>
            <w:tcBorders>
              <w:top w:val="single" w:sz="4" w:space="0" w:color="auto"/>
              <w:left w:val="single" w:sz="4" w:space="0" w:color="auto"/>
              <w:bottom w:val="single" w:sz="4" w:space="0" w:color="auto"/>
              <w:right w:val="single" w:sz="4" w:space="0" w:color="auto"/>
            </w:tcBorders>
          </w:tcPr>
          <w:p w14:paraId="6AD78DC5" w14:textId="77777777" w:rsidR="003C2C2B" w:rsidRDefault="003C2C2B" w:rsidP="003C2C2B">
            <w:r>
              <w:lastRenderedPageBreak/>
              <w:t>Slide 6</w:t>
            </w:r>
          </w:p>
          <w:p w14:paraId="605ADFED" w14:textId="143D2C07" w:rsidR="003C2C2B" w:rsidRDefault="00FA7F7C" w:rsidP="003C2C2B">
            <w:pPr>
              <w:autoSpaceDE w:val="0"/>
              <w:autoSpaceDN w:val="0"/>
              <w:adjustRightInd w:val="0"/>
              <w:spacing w:after="0" w:line="240" w:lineRule="auto"/>
              <w:rPr>
                <w:rFonts w:cs="Calibri"/>
                <w:kern w:val="24"/>
                <w:sz w:val="24"/>
                <w:szCs w:val="24"/>
              </w:rPr>
            </w:pPr>
            <w:r>
              <w:rPr>
                <w:rFonts w:cs="Calibri"/>
                <w:noProof/>
                <w:kern w:val="24"/>
                <w:sz w:val="24"/>
                <w:szCs w:val="24"/>
              </w:rPr>
              <w:lastRenderedPageBreak/>
              <w:drawing>
                <wp:inline distT="0" distB="0" distL="0" distR="0" wp14:anchorId="27C162CA" wp14:editId="335C41C9">
                  <wp:extent cx="1895475" cy="1466850"/>
                  <wp:effectExtent l="19050" t="19050" r="28575" b="1905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5475" cy="1466850"/>
                          </a:xfrm>
                          <a:prstGeom prst="rect">
                            <a:avLst/>
                          </a:prstGeom>
                          <a:noFill/>
                          <a:ln>
                            <a:solidFill>
                              <a:schemeClr val="tx1"/>
                            </a:solidFill>
                          </a:ln>
                        </pic:spPr>
                      </pic:pic>
                    </a:graphicData>
                  </a:graphic>
                </wp:inline>
              </w:drawing>
            </w:r>
          </w:p>
          <w:p w14:paraId="373541DB" w14:textId="6D6BEC73" w:rsidR="00C80CF5" w:rsidRDefault="00C80CF5" w:rsidP="003C2C2B">
            <w:pPr>
              <w:autoSpaceDE w:val="0"/>
              <w:autoSpaceDN w:val="0"/>
              <w:adjustRightInd w:val="0"/>
              <w:spacing w:after="0" w:line="240" w:lineRule="auto"/>
              <w:rPr>
                <w:rFonts w:cs="Calibri"/>
                <w:kern w:val="24"/>
                <w:sz w:val="24"/>
                <w:szCs w:val="24"/>
              </w:rPr>
            </w:pPr>
          </w:p>
        </w:tc>
      </w:tr>
      <w:tr w:rsidR="003C2C2B" w14:paraId="10EDD68D" w14:textId="112C2FF9" w:rsidTr="00512653">
        <w:trPr>
          <w:trHeight w:val="800"/>
        </w:trPr>
        <w:tc>
          <w:tcPr>
            <w:tcW w:w="6655" w:type="dxa"/>
            <w:tcBorders>
              <w:top w:val="single" w:sz="4" w:space="0" w:color="auto"/>
              <w:left w:val="single" w:sz="4" w:space="0" w:color="auto"/>
              <w:bottom w:val="single" w:sz="4" w:space="0" w:color="auto"/>
              <w:right w:val="single" w:sz="4" w:space="0" w:color="auto"/>
            </w:tcBorders>
          </w:tcPr>
          <w:p w14:paraId="3F393688" w14:textId="0703ED64" w:rsidR="003C2C2B" w:rsidRPr="00EF0F0E" w:rsidRDefault="00484716" w:rsidP="003C2C2B">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lastRenderedPageBreak/>
              <w:t>Here is an example of a central line maintenance bundle. Care bundles are groupings of best practices for a disease or care process in which each practice can improve care, but when “bundled” together, can result in substantially greater improvement. It is essentially a checklist with elements of an effective central venous catheter maintenance bundle</w:t>
            </w:r>
            <w:r w:rsidR="00CB0CAE">
              <w:rPr>
                <w:rFonts w:ascii="Calibri" w:hAnsi="Calibri" w:cs="Calibri"/>
                <w:kern w:val="24"/>
                <w:sz w:val="24"/>
                <w:szCs w:val="24"/>
              </w:rPr>
              <w:t>,</w:t>
            </w:r>
            <w:r>
              <w:rPr>
                <w:rFonts w:ascii="Calibri" w:hAnsi="Calibri" w:cs="Calibri"/>
                <w:kern w:val="24"/>
                <w:sz w:val="24"/>
                <w:szCs w:val="24"/>
              </w:rPr>
              <w:t xml:space="preserve"> includ</w:t>
            </w:r>
            <w:r w:rsidR="00CB0CAE">
              <w:rPr>
                <w:rFonts w:ascii="Calibri" w:hAnsi="Calibri" w:cs="Calibri"/>
                <w:kern w:val="24"/>
                <w:sz w:val="24"/>
                <w:szCs w:val="24"/>
              </w:rPr>
              <w:t>ing</w:t>
            </w:r>
            <w:r>
              <w:rPr>
                <w:rFonts w:ascii="Calibri" w:hAnsi="Calibri" w:cs="Calibri"/>
                <w:kern w:val="24"/>
                <w:sz w:val="24"/>
                <w:szCs w:val="24"/>
              </w:rPr>
              <w:t xml:space="preserve"> a daily assessment for CVC necessity, and having a standardized central line entry, dressing care, and tubing change procedure. So, let’s discuss these four components of the central venous catheter maintenance bundle in more detail.</w:t>
            </w:r>
          </w:p>
        </w:tc>
        <w:tc>
          <w:tcPr>
            <w:tcW w:w="3240" w:type="dxa"/>
            <w:tcBorders>
              <w:top w:val="single" w:sz="4" w:space="0" w:color="auto"/>
              <w:left w:val="single" w:sz="4" w:space="0" w:color="auto"/>
              <w:bottom w:val="single" w:sz="4" w:space="0" w:color="auto"/>
              <w:right w:val="single" w:sz="4" w:space="0" w:color="auto"/>
            </w:tcBorders>
          </w:tcPr>
          <w:p w14:paraId="77F9432B" w14:textId="77777777" w:rsidR="003C2C2B" w:rsidRDefault="003C2C2B" w:rsidP="003C2C2B">
            <w:r>
              <w:t>Slide 7</w:t>
            </w:r>
          </w:p>
          <w:p w14:paraId="67392CE2" w14:textId="12208116" w:rsidR="003C2C2B" w:rsidRDefault="00FA7F7C" w:rsidP="003C2C2B">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535709A5" wp14:editId="5226A578">
                  <wp:extent cx="1895475" cy="1466850"/>
                  <wp:effectExtent l="19050" t="19050" r="28575" b="1905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5475" cy="1466850"/>
                          </a:xfrm>
                          <a:prstGeom prst="rect">
                            <a:avLst/>
                          </a:prstGeom>
                          <a:noFill/>
                          <a:ln>
                            <a:solidFill>
                              <a:schemeClr val="tx1"/>
                            </a:solidFill>
                          </a:ln>
                        </pic:spPr>
                      </pic:pic>
                    </a:graphicData>
                  </a:graphic>
                </wp:inline>
              </w:drawing>
            </w:r>
          </w:p>
        </w:tc>
      </w:tr>
      <w:tr w:rsidR="003C2C2B" w14:paraId="18AA956C" w14:textId="177BDA9B" w:rsidTr="00512653">
        <w:trPr>
          <w:trHeight w:val="800"/>
        </w:trPr>
        <w:tc>
          <w:tcPr>
            <w:tcW w:w="6655" w:type="dxa"/>
            <w:tcBorders>
              <w:top w:val="single" w:sz="4" w:space="0" w:color="auto"/>
              <w:left w:val="single" w:sz="4" w:space="0" w:color="auto"/>
              <w:bottom w:val="single" w:sz="4" w:space="0" w:color="auto"/>
              <w:right w:val="single" w:sz="4" w:space="0" w:color="auto"/>
            </w:tcBorders>
          </w:tcPr>
          <w:p w14:paraId="752E9F85" w14:textId="3CB6CE33" w:rsidR="003C2C2B" w:rsidRPr="00EF0F0E" w:rsidRDefault="00CB0CAE" w:rsidP="003C2C2B">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A</w:t>
            </w:r>
            <w:r w:rsidR="00484716">
              <w:rPr>
                <w:rFonts w:ascii="Calibri" w:hAnsi="Calibri" w:cs="Calibri"/>
                <w:kern w:val="24"/>
                <w:sz w:val="24"/>
                <w:szCs w:val="24"/>
              </w:rPr>
              <w:t xml:space="preserve"> variety of checklists </w:t>
            </w:r>
            <w:r>
              <w:rPr>
                <w:rFonts w:ascii="Calibri" w:hAnsi="Calibri" w:cs="Calibri"/>
                <w:kern w:val="24"/>
                <w:sz w:val="24"/>
                <w:szCs w:val="24"/>
              </w:rPr>
              <w:t xml:space="preserve">is </w:t>
            </w:r>
            <w:r w:rsidR="00484716">
              <w:rPr>
                <w:rFonts w:ascii="Calibri" w:hAnsi="Calibri" w:cs="Calibri"/>
                <w:kern w:val="24"/>
                <w:sz w:val="24"/>
                <w:szCs w:val="24"/>
              </w:rPr>
              <w:t xml:space="preserve">available. The </w:t>
            </w:r>
            <w:r w:rsidR="00322F3A">
              <w:rPr>
                <w:rFonts w:ascii="Calibri" w:hAnsi="Calibri" w:cs="Calibri"/>
                <w:kern w:val="24"/>
                <w:sz w:val="24"/>
                <w:szCs w:val="24"/>
              </w:rPr>
              <w:t>slide shows part of a checklist</w:t>
            </w:r>
            <w:r w:rsidR="00484716">
              <w:rPr>
                <w:rFonts w:ascii="Calibri" w:hAnsi="Calibri" w:cs="Calibri"/>
                <w:kern w:val="24"/>
                <w:sz w:val="24"/>
                <w:szCs w:val="24"/>
              </w:rPr>
              <w:t xml:space="preserve"> from the </w:t>
            </w:r>
            <w:r w:rsidR="00322F3A">
              <w:rPr>
                <w:rFonts w:ascii="Calibri" w:hAnsi="Calibri" w:cs="Calibri"/>
                <w:kern w:val="24"/>
                <w:sz w:val="24"/>
                <w:szCs w:val="24"/>
              </w:rPr>
              <w:t>Centers for Disease Control and Prevention (</w:t>
            </w:r>
            <w:r w:rsidR="00484716">
              <w:rPr>
                <w:rFonts w:ascii="Calibri" w:hAnsi="Calibri" w:cs="Calibri"/>
                <w:kern w:val="24"/>
                <w:sz w:val="24"/>
                <w:szCs w:val="24"/>
              </w:rPr>
              <w:t>CDC</w:t>
            </w:r>
            <w:r w:rsidR="00322F3A">
              <w:rPr>
                <w:rFonts w:ascii="Calibri" w:hAnsi="Calibri" w:cs="Calibri"/>
                <w:kern w:val="24"/>
                <w:sz w:val="24"/>
                <w:szCs w:val="24"/>
              </w:rPr>
              <w:t>)</w:t>
            </w:r>
            <w:r w:rsidR="00484716">
              <w:rPr>
                <w:rFonts w:ascii="Calibri" w:hAnsi="Calibri" w:cs="Calibri"/>
                <w:kern w:val="24"/>
                <w:sz w:val="24"/>
                <w:szCs w:val="24"/>
              </w:rPr>
              <w:t xml:space="preserve"> and highlights various maintenance strategies. Some highlights from this 2011 CDC Guideline for CLABSI Prevention Checklist include hand hygiene compliance, daily bathing with CHG, and use of aseptic technique for dressing changes. The following slide will address more on dressing care. </w:t>
            </w:r>
          </w:p>
        </w:tc>
        <w:tc>
          <w:tcPr>
            <w:tcW w:w="3240" w:type="dxa"/>
            <w:tcBorders>
              <w:top w:val="single" w:sz="4" w:space="0" w:color="auto"/>
              <w:left w:val="single" w:sz="4" w:space="0" w:color="auto"/>
              <w:bottom w:val="single" w:sz="4" w:space="0" w:color="auto"/>
              <w:right w:val="single" w:sz="4" w:space="0" w:color="auto"/>
            </w:tcBorders>
          </w:tcPr>
          <w:p w14:paraId="6D15EF5A" w14:textId="77777777" w:rsidR="003C2C2B" w:rsidRDefault="003C2C2B" w:rsidP="003C2C2B">
            <w:r>
              <w:t>Slide 8</w:t>
            </w:r>
          </w:p>
          <w:p w14:paraId="057E337F" w14:textId="4C114F32" w:rsidR="003C2C2B" w:rsidRPr="00EF0F0E" w:rsidRDefault="00FA7F7C" w:rsidP="00EF0F0E">
            <w:pPr>
              <w:autoSpaceDE w:val="0"/>
              <w:autoSpaceDN w:val="0"/>
              <w:adjustRightInd w:val="0"/>
              <w:spacing w:after="120" w:line="240" w:lineRule="auto"/>
            </w:pPr>
            <w:r>
              <w:rPr>
                <w:noProof/>
              </w:rPr>
              <w:drawing>
                <wp:inline distT="0" distB="0" distL="0" distR="0" wp14:anchorId="18A47682" wp14:editId="0EEAA458">
                  <wp:extent cx="1885950" cy="1457325"/>
                  <wp:effectExtent l="19050" t="19050" r="19050" b="2857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5950" cy="1457325"/>
                          </a:xfrm>
                          <a:prstGeom prst="rect">
                            <a:avLst/>
                          </a:prstGeom>
                          <a:noFill/>
                          <a:ln>
                            <a:solidFill>
                              <a:schemeClr val="tx1"/>
                            </a:solidFill>
                          </a:ln>
                        </pic:spPr>
                      </pic:pic>
                    </a:graphicData>
                  </a:graphic>
                </wp:inline>
              </w:drawing>
            </w:r>
          </w:p>
        </w:tc>
      </w:tr>
      <w:tr w:rsidR="003C2C2B" w14:paraId="3389B792" w14:textId="558A31AD" w:rsidTr="00512653">
        <w:trPr>
          <w:trHeight w:val="800"/>
        </w:trPr>
        <w:tc>
          <w:tcPr>
            <w:tcW w:w="6655" w:type="dxa"/>
            <w:tcBorders>
              <w:top w:val="single" w:sz="4" w:space="0" w:color="auto"/>
              <w:left w:val="single" w:sz="4" w:space="0" w:color="auto"/>
              <w:bottom w:val="single" w:sz="4" w:space="0" w:color="auto"/>
              <w:right w:val="single" w:sz="4" w:space="0" w:color="auto"/>
            </w:tcBorders>
          </w:tcPr>
          <w:p w14:paraId="1A14227B" w14:textId="5A30BB06" w:rsidR="00484716" w:rsidRPr="00923419" w:rsidRDefault="00484716" w:rsidP="0048471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lastRenderedPageBreak/>
              <w:t>Maintaining a clean and intact central line dressing is an important part of central venous catheter care. Clinicians should conduct a daily assessment of the CVC dressing and should replace all dressings that become damp, loosened, or soiled. For short-term central venous catheters, unless soiled, damp, or loose, both the CDC and Infusion Nurses Society recommend changing the gauze dressings every 2 days, and to change transparent dressings every 7 days.</w:t>
            </w:r>
          </w:p>
          <w:p w14:paraId="117B8B00" w14:textId="77777777" w:rsidR="00484716" w:rsidRDefault="00484716" w:rsidP="00484716">
            <w:pPr>
              <w:autoSpaceDE w:val="0"/>
              <w:autoSpaceDN w:val="0"/>
              <w:adjustRightInd w:val="0"/>
              <w:spacing w:after="0" w:line="240" w:lineRule="auto"/>
              <w:rPr>
                <w:rFonts w:ascii="Calibri" w:hAnsi="Calibri" w:cs="Calibri"/>
                <w:kern w:val="24"/>
                <w:sz w:val="24"/>
                <w:szCs w:val="24"/>
              </w:rPr>
            </w:pPr>
          </w:p>
          <w:p w14:paraId="4B9028F6" w14:textId="1A83C9C5" w:rsidR="00484716" w:rsidRDefault="00484716" w:rsidP="0048471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Clinicians should use aseptic technique when performing dressing changes. This includes wearing sterile gloves, mask, and performing appropriate skin antisepsis with a </w:t>
            </w:r>
            <w:r w:rsidR="00322F3A">
              <w:rPr>
                <w:rFonts w:ascii="Calibri" w:hAnsi="Calibri" w:cs="Calibri"/>
                <w:kern w:val="24"/>
                <w:sz w:val="24"/>
                <w:szCs w:val="24"/>
              </w:rPr>
              <w:t>CHG</w:t>
            </w:r>
            <w:r>
              <w:rPr>
                <w:rFonts w:ascii="Calibri" w:hAnsi="Calibri" w:cs="Calibri"/>
                <w:kern w:val="24"/>
                <w:sz w:val="24"/>
                <w:szCs w:val="24"/>
              </w:rPr>
              <w:t xml:space="preserve"> solution.</w:t>
            </w:r>
          </w:p>
          <w:p w14:paraId="7480346A" w14:textId="77777777" w:rsidR="00484716" w:rsidRDefault="00484716" w:rsidP="00484716">
            <w:pPr>
              <w:autoSpaceDE w:val="0"/>
              <w:autoSpaceDN w:val="0"/>
              <w:adjustRightInd w:val="0"/>
              <w:spacing w:after="0" w:line="240" w:lineRule="auto"/>
              <w:rPr>
                <w:rFonts w:ascii="Calibri" w:hAnsi="Calibri" w:cs="Calibri"/>
                <w:kern w:val="24"/>
                <w:sz w:val="24"/>
                <w:szCs w:val="24"/>
              </w:rPr>
            </w:pPr>
          </w:p>
          <w:p w14:paraId="7567B88C" w14:textId="4CE05652" w:rsidR="00484716" w:rsidRDefault="00484716" w:rsidP="0048471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Clear documentation of the date changed, or change due date (as facility policy dictates), also facilitates timely interventions, as well as auditing for compliance. It important to not disturb or change a clean, dry, intact dressing until the </w:t>
            </w:r>
            <w:r w:rsidR="00322F3A">
              <w:rPr>
                <w:rFonts w:ascii="Calibri" w:hAnsi="Calibri" w:cs="Calibri"/>
                <w:kern w:val="24"/>
                <w:sz w:val="24"/>
                <w:szCs w:val="24"/>
              </w:rPr>
              <w:t>recommended</w:t>
            </w:r>
            <w:r>
              <w:rPr>
                <w:rFonts w:ascii="Calibri" w:hAnsi="Calibri" w:cs="Calibri"/>
                <w:kern w:val="24"/>
                <w:sz w:val="24"/>
                <w:szCs w:val="24"/>
              </w:rPr>
              <w:t xml:space="preserve"> date. Consider the case study at the beginning of this module and the unnecessarily frequent dressing changes. Changing CVC dressings too frequently can increase the risk of introducing bacteria to the entry site, as we saw in the case</w:t>
            </w:r>
            <w:r w:rsidR="00322F3A">
              <w:rPr>
                <w:rFonts w:ascii="Calibri" w:hAnsi="Calibri" w:cs="Calibri"/>
                <w:kern w:val="24"/>
                <w:sz w:val="24"/>
                <w:szCs w:val="24"/>
              </w:rPr>
              <w:t xml:space="preserve"> study</w:t>
            </w:r>
            <w:r>
              <w:rPr>
                <w:rFonts w:ascii="Calibri" w:hAnsi="Calibri" w:cs="Calibri"/>
                <w:kern w:val="24"/>
                <w:sz w:val="24"/>
                <w:szCs w:val="24"/>
              </w:rPr>
              <w:t>.</w:t>
            </w:r>
          </w:p>
          <w:p w14:paraId="271FBE62" w14:textId="77777777" w:rsidR="00484716" w:rsidRDefault="00484716" w:rsidP="00484716">
            <w:pPr>
              <w:autoSpaceDE w:val="0"/>
              <w:autoSpaceDN w:val="0"/>
              <w:adjustRightInd w:val="0"/>
              <w:spacing w:after="0" w:line="240" w:lineRule="auto"/>
              <w:rPr>
                <w:rFonts w:ascii="Calibri" w:hAnsi="Calibri" w:cs="Calibri"/>
                <w:kern w:val="24"/>
                <w:sz w:val="24"/>
                <w:szCs w:val="24"/>
              </w:rPr>
            </w:pPr>
          </w:p>
          <w:p w14:paraId="61F9499B" w14:textId="35B00F7C" w:rsidR="003C2C2B" w:rsidRPr="00EF0F0E" w:rsidRDefault="00484716" w:rsidP="003C2C2B">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Performing dressing changes with a standardized kit helps to</w:t>
            </w:r>
            <w:r w:rsidR="00B848A2">
              <w:rPr>
                <w:rFonts w:ascii="Calibri" w:hAnsi="Calibri" w:cs="Calibri"/>
                <w:kern w:val="24"/>
                <w:sz w:val="24"/>
                <w:szCs w:val="24"/>
              </w:rPr>
              <w:t xml:space="preserve"> set up the users to follow </w:t>
            </w:r>
            <w:r>
              <w:rPr>
                <w:rFonts w:ascii="Calibri" w:hAnsi="Calibri" w:cs="Calibri"/>
                <w:kern w:val="24"/>
                <w:sz w:val="24"/>
                <w:szCs w:val="24"/>
              </w:rPr>
              <w:t>the correct steps to ensure an evidence-based dressing change each time.</w:t>
            </w:r>
            <w:r w:rsidR="00B848A2">
              <w:rPr>
                <w:rFonts w:ascii="Calibri" w:hAnsi="Calibri" w:cs="Calibri"/>
                <w:kern w:val="24"/>
                <w:sz w:val="24"/>
                <w:szCs w:val="24"/>
              </w:rPr>
              <w:t xml:space="preserve"> This is called force functioning since the only products available are the ones recommended.</w:t>
            </w:r>
          </w:p>
        </w:tc>
        <w:tc>
          <w:tcPr>
            <w:tcW w:w="3240" w:type="dxa"/>
            <w:tcBorders>
              <w:top w:val="single" w:sz="4" w:space="0" w:color="auto"/>
              <w:left w:val="single" w:sz="4" w:space="0" w:color="auto"/>
              <w:bottom w:val="single" w:sz="4" w:space="0" w:color="auto"/>
              <w:right w:val="single" w:sz="4" w:space="0" w:color="auto"/>
            </w:tcBorders>
          </w:tcPr>
          <w:p w14:paraId="3E88970D" w14:textId="77777777" w:rsidR="003C2C2B" w:rsidRDefault="003C2C2B" w:rsidP="003C2C2B">
            <w:r>
              <w:t>Slide 9</w:t>
            </w:r>
          </w:p>
          <w:p w14:paraId="31A0AFF0" w14:textId="0397EEB3" w:rsidR="003C2C2B" w:rsidRDefault="00FA7F7C" w:rsidP="003C2C2B">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5030C10" wp14:editId="11B6924F">
                  <wp:extent cx="1885950" cy="1457325"/>
                  <wp:effectExtent l="19050" t="19050" r="19050" b="2857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5950" cy="1457325"/>
                          </a:xfrm>
                          <a:prstGeom prst="rect">
                            <a:avLst/>
                          </a:prstGeom>
                          <a:noFill/>
                          <a:ln>
                            <a:solidFill>
                              <a:schemeClr val="tx1"/>
                            </a:solidFill>
                          </a:ln>
                        </pic:spPr>
                      </pic:pic>
                    </a:graphicData>
                  </a:graphic>
                </wp:inline>
              </w:drawing>
            </w:r>
          </w:p>
        </w:tc>
      </w:tr>
      <w:tr w:rsidR="003C2C2B" w14:paraId="6DBBFB0D" w14:textId="7C8A47DA" w:rsidTr="00512653">
        <w:trPr>
          <w:trHeight w:val="800"/>
        </w:trPr>
        <w:tc>
          <w:tcPr>
            <w:tcW w:w="6655" w:type="dxa"/>
            <w:tcBorders>
              <w:top w:val="single" w:sz="4" w:space="0" w:color="auto"/>
              <w:left w:val="single" w:sz="4" w:space="0" w:color="auto"/>
              <w:bottom w:val="single" w:sz="4" w:space="0" w:color="auto"/>
              <w:right w:val="single" w:sz="4" w:space="0" w:color="auto"/>
            </w:tcBorders>
          </w:tcPr>
          <w:p w14:paraId="5E13A5C4" w14:textId="4ACB9A38" w:rsidR="00484716" w:rsidRDefault="00484716" w:rsidP="0048471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CHG bathing has been shown to reduce CLABSI in large cluster randomized trails from 29</w:t>
            </w:r>
            <w:r w:rsidR="00322F3A">
              <w:rPr>
                <w:rFonts w:ascii="Calibri" w:hAnsi="Calibri" w:cs="Calibri"/>
                <w:kern w:val="24"/>
                <w:sz w:val="24"/>
                <w:szCs w:val="24"/>
              </w:rPr>
              <w:t xml:space="preserve"> percent</w:t>
            </w:r>
            <w:r>
              <w:rPr>
                <w:rFonts w:ascii="Calibri" w:hAnsi="Calibri" w:cs="Calibri"/>
                <w:kern w:val="24"/>
                <w:sz w:val="24"/>
                <w:szCs w:val="24"/>
              </w:rPr>
              <w:t xml:space="preserve"> to 40</w:t>
            </w:r>
            <w:r w:rsidR="00322F3A">
              <w:rPr>
                <w:rFonts w:ascii="Calibri" w:hAnsi="Calibri" w:cs="Calibri"/>
                <w:kern w:val="24"/>
                <w:sz w:val="24"/>
                <w:szCs w:val="24"/>
              </w:rPr>
              <w:t xml:space="preserve"> percent</w:t>
            </w:r>
            <w:r>
              <w:rPr>
                <w:rFonts w:ascii="Calibri" w:hAnsi="Calibri" w:cs="Calibri"/>
                <w:kern w:val="24"/>
                <w:sz w:val="24"/>
                <w:szCs w:val="24"/>
              </w:rPr>
              <w:t xml:space="preserve"> and should be integrated into overall prevention practice within the ICU.</w:t>
            </w:r>
          </w:p>
          <w:p w14:paraId="32CB41B8" w14:textId="77777777" w:rsidR="00484716" w:rsidRDefault="00484716" w:rsidP="00484716">
            <w:pPr>
              <w:autoSpaceDE w:val="0"/>
              <w:autoSpaceDN w:val="0"/>
              <w:adjustRightInd w:val="0"/>
              <w:spacing w:after="0" w:line="240" w:lineRule="auto"/>
              <w:rPr>
                <w:rFonts w:ascii="Calibri" w:hAnsi="Calibri" w:cs="Calibri"/>
                <w:kern w:val="24"/>
                <w:sz w:val="24"/>
                <w:szCs w:val="24"/>
              </w:rPr>
            </w:pPr>
          </w:p>
          <w:p w14:paraId="3AA510CD" w14:textId="090ED271" w:rsidR="00484716" w:rsidRDefault="00322F3A" w:rsidP="0048471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A</w:t>
            </w:r>
            <w:r w:rsidR="00484716">
              <w:rPr>
                <w:rFonts w:ascii="Calibri" w:hAnsi="Calibri" w:cs="Calibri"/>
                <w:kern w:val="24"/>
                <w:sz w:val="24"/>
                <w:szCs w:val="24"/>
              </w:rPr>
              <w:t xml:space="preserve">n article written by the lead author on the MRSA trials in the ICU and medical-surgical area provided guidance around CHG bathing. The method of application and training to do the bath correctly is essential.  </w:t>
            </w:r>
          </w:p>
          <w:p w14:paraId="698263F5" w14:textId="77777777" w:rsidR="00484716" w:rsidRDefault="00484716" w:rsidP="0048471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Key points include:</w:t>
            </w:r>
          </w:p>
          <w:p w14:paraId="4A41A5E4" w14:textId="14FFDB57" w:rsidR="00484716" w:rsidRDefault="00484716" w:rsidP="0048471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The CHG bath is an actual bath rather than a topical application</w:t>
            </w:r>
            <w:r w:rsidR="00FF5758">
              <w:rPr>
                <w:rFonts w:ascii="Calibri" w:hAnsi="Calibri" w:cs="Calibri"/>
                <w:kern w:val="24"/>
                <w:sz w:val="24"/>
                <w:szCs w:val="24"/>
              </w:rPr>
              <w:t>.</w:t>
            </w:r>
          </w:p>
          <w:p w14:paraId="5385E748" w14:textId="77777777" w:rsidR="00484716" w:rsidRDefault="00484716" w:rsidP="0048471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 Commonly missed areas included the neck, back of the knees, and between fingers and toes. </w:t>
            </w:r>
          </w:p>
          <w:p w14:paraId="3D274421" w14:textId="780A9D61" w:rsidR="00484716" w:rsidRDefault="00484716" w:rsidP="0048471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It is importan</w:t>
            </w:r>
            <w:r w:rsidR="00FF5758">
              <w:rPr>
                <w:rFonts w:ascii="Calibri" w:hAnsi="Calibri" w:cs="Calibri"/>
                <w:kern w:val="24"/>
                <w:sz w:val="24"/>
                <w:szCs w:val="24"/>
              </w:rPr>
              <w:t>t</w:t>
            </w:r>
            <w:r>
              <w:rPr>
                <w:rFonts w:ascii="Calibri" w:hAnsi="Calibri" w:cs="Calibri"/>
                <w:kern w:val="24"/>
                <w:sz w:val="24"/>
                <w:szCs w:val="24"/>
              </w:rPr>
              <w:t xml:space="preserve"> to leave CHG on the skin and not rinse </w:t>
            </w:r>
            <w:r w:rsidR="00FF5758">
              <w:rPr>
                <w:rFonts w:ascii="Calibri" w:hAnsi="Calibri" w:cs="Calibri"/>
                <w:kern w:val="24"/>
                <w:sz w:val="24"/>
                <w:szCs w:val="24"/>
              </w:rPr>
              <w:t xml:space="preserve">it </w:t>
            </w:r>
            <w:r>
              <w:rPr>
                <w:rFonts w:ascii="Calibri" w:hAnsi="Calibri" w:cs="Calibri"/>
                <w:kern w:val="24"/>
                <w:sz w:val="24"/>
                <w:szCs w:val="24"/>
              </w:rPr>
              <w:t>off</w:t>
            </w:r>
            <w:r w:rsidR="00FF5758">
              <w:rPr>
                <w:rFonts w:ascii="Calibri" w:hAnsi="Calibri" w:cs="Calibri"/>
                <w:kern w:val="24"/>
                <w:sz w:val="24"/>
                <w:szCs w:val="24"/>
              </w:rPr>
              <w:t>, t</w:t>
            </w:r>
            <w:r>
              <w:rPr>
                <w:rFonts w:ascii="Calibri" w:hAnsi="Calibri" w:cs="Calibri"/>
                <w:kern w:val="24"/>
                <w:sz w:val="24"/>
                <w:szCs w:val="24"/>
              </w:rPr>
              <w:t xml:space="preserve">o achieve the </w:t>
            </w:r>
            <w:r w:rsidR="00FF5758">
              <w:rPr>
                <w:rFonts w:ascii="Calibri" w:hAnsi="Calibri" w:cs="Calibri"/>
                <w:kern w:val="24"/>
                <w:sz w:val="24"/>
                <w:szCs w:val="24"/>
              </w:rPr>
              <w:t xml:space="preserve">full </w:t>
            </w:r>
            <w:r>
              <w:rPr>
                <w:rFonts w:ascii="Calibri" w:hAnsi="Calibri" w:cs="Calibri"/>
                <w:kern w:val="24"/>
                <w:sz w:val="24"/>
                <w:szCs w:val="24"/>
              </w:rPr>
              <w:t>effect of its</w:t>
            </w:r>
            <w:r w:rsidR="00B848A2">
              <w:rPr>
                <w:rFonts w:ascii="Calibri" w:hAnsi="Calibri" w:cs="Calibri"/>
                <w:kern w:val="24"/>
                <w:sz w:val="24"/>
                <w:szCs w:val="24"/>
              </w:rPr>
              <w:t xml:space="preserve"> disinfectant ability through</w:t>
            </w:r>
            <w:r>
              <w:rPr>
                <w:rFonts w:ascii="Calibri" w:hAnsi="Calibri" w:cs="Calibri"/>
                <w:kern w:val="24"/>
                <w:sz w:val="24"/>
                <w:szCs w:val="24"/>
              </w:rPr>
              <w:t xml:space="preserve"> persistent activity</w:t>
            </w:r>
            <w:r w:rsidR="00EF0F0E">
              <w:rPr>
                <w:rFonts w:ascii="Calibri" w:hAnsi="Calibri" w:cs="Calibri"/>
                <w:kern w:val="24"/>
                <w:sz w:val="24"/>
                <w:szCs w:val="24"/>
              </w:rPr>
              <w:t>.</w:t>
            </w:r>
          </w:p>
          <w:p w14:paraId="4A448A0C" w14:textId="77777777" w:rsidR="00EF0F0E" w:rsidRDefault="00EF0F0E" w:rsidP="00484716">
            <w:pPr>
              <w:autoSpaceDE w:val="0"/>
              <w:autoSpaceDN w:val="0"/>
              <w:adjustRightInd w:val="0"/>
              <w:spacing w:after="0" w:line="240" w:lineRule="auto"/>
              <w:rPr>
                <w:rFonts w:ascii="Calibri" w:hAnsi="Calibri" w:cs="Calibri"/>
                <w:kern w:val="24"/>
                <w:sz w:val="24"/>
                <w:szCs w:val="24"/>
              </w:rPr>
            </w:pPr>
          </w:p>
          <w:p w14:paraId="266D7903" w14:textId="32C194C7" w:rsidR="00484716" w:rsidRDefault="00322F3A" w:rsidP="0048471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lastRenderedPageBreak/>
              <w:t>Application with c</w:t>
            </w:r>
            <w:r w:rsidR="00484716">
              <w:rPr>
                <w:rFonts w:ascii="Calibri" w:hAnsi="Calibri" w:cs="Calibri"/>
                <w:kern w:val="24"/>
                <w:sz w:val="24"/>
                <w:szCs w:val="24"/>
              </w:rPr>
              <w:t>otton materials should be avoided since the CHG can bind with the cotton rather than remain on the skin</w:t>
            </w:r>
            <w:r w:rsidR="00FF5758">
              <w:rPr>
                <w:rFonts w:ascii="Calibri" w:hAnsi="Calibri" w:cs="Calibri"/>
                <w:kern w:val="24"/>
                <w:sz w:val="24"/>
                <w:szCs w:val="24"/>
              </w:rPr>
              <w:t>.</w:t>
            </w:r>
          </w:p>
          <w:p w14:paraId="50C82575" w14:textId="77777777" w:rsidR="00484716" w:rsidRDefault="00484716" w:rsidP="0048471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  </w:t>
            </w:r>
          </w:p>
          <w:p w14:paraId="2951CA47" w14:textId="47756F75" w:rsidR="00484716" w:rsidRDefault="00484716" w:rsidP="0048471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Several lotions and creams in the hospital can negate the benefits of CHG</w:t>
            </w:r>
            <w:r w:rsidR="00FF5758">
              <w:rPr>
                <w:rFonts w:ascii="Calibri" w:hAnsi="Calibri" w:cs="Calibri"/>
                <w:kern w:val="24"/>
                <w:sz w:val="24"/>
                <w:szCs w:val="24"/>
              </w:rPr>
              <w:t>.</w:t>
            </w:r>
            <w:r>
              <w:rPr>
                <w:rFonts w:ascii="Calibri" w:hAnsi="Calibri" w:cs="Calibri"/>
                <w:kern w:val="24"/>
                <w:sz w:val="24"/>
                <w:szCs w:val="24"/>
              </w:rPr>
              <w:t xml:space="preserve"> </w:t>
            </w:r>
          </w:p>
          <w:p w14:paraId="41C9D84A" w14:textId="77777777" w:rsidR="00484716" w:rsidRDefault="00484716" w:rsidP="0048471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 It is important to check for compatibility. </w:t>
            </w:r>
          </w:p>
          <w:p w14:paraId="4F4D90E2" w14:textId="4270D948" w:rsidR="003C2C2B" w:rsidRPr="00EF0F0E" w:rsidRDefault="00484716" w:rsidP="003C2C2B">
            <w:pPr>
              <w:autoSpaceDE w:val="0"/>
              <w:autoSpaceDN w:val="0"/>
              <w:adjustRightInd w:val="0"/>
              <w:spacing w:after="0" w:line="240" w:lineRule="auto"/>
              <w:rPr>
                <w:rFonts w:ascii="Arial" w:hAnsi="Arial" w:cs="Arial"/>
              </w:rPr>
            </w:pPr>
            <w:r>
              <w:rPr>
                <w:rFonts w:ascii="Calibri" w:hAnsi="Calibri" w:cs="Calibri"/>
                <w:kern w:val="24"/>
                <w:sz w:val="24"/>
                <w:szCs w:val="24"/>
              </w:rPr>
              <w:t xml:space="preserve">Practitioners are often skeptical about washing </w:t>
            </w:r>
            <w:r w:rsidRPr="00286496">
              <w:rPr>
                <w:rFonts w:ascii="Calibri" w:hAnsi="Calibri" w:cs="Calibri"/>
                <w:kern w:val="24"/>
                <w:sz w:val="24"/>
                <w:szCs w:val="24"/>
              </w:rPr>
              <w:t xml:space="preserve">clean wounds </w:t>
            </w:r>
            <w:r>
              <w:rPr>
                <w:rFonts w:ascii="Calibri" w:hAnsi="Calibri" w:cs="Calibri"/>
                <w:kern w:val="24"/>
                <w:sz w:val="24"/>
                <w:szCs w:val="24"/>
              </w:rPr>
              <w:t xml:space="preserve">with CHG if not dressed. The research demonstrated that it is safe and </w:t>
            </w:r>
            <w:r w:rsidR="00FF5758">
              <w:rPr>
                <w:rFonts w:ascii="Calibri" w:hAnsi="Calibri" w:cs="Calibri"/>
                <w:kern w:val="24"/>
                <w:sz w:val="24"/>
                <w:szCs w:val="24"/>
              </w:rPr>
              <w:t xml:space="preserve">that </w:t>
            </w:r>
            <w:r>
              <w:rPr>
                <w:rFonts w:ascii="Calibri" w:hAnsi="Calibri" w:cs="Calibri"/>
                <w:kern w:val="24"/>
                <w:sz w:val="24"/>
                <w:szCs w:val="24"/>
              </w:rPr>
              <w:t>the wounds can be a source of bacteria. Part of the bath procedure requires wiping over line dressings and cleaning within 6 inches of the catheter. It is important to clean the perineum as well as the face, especially around the nose and mouth</w:t>
            </w:r>
            <w:r w:rsidR="00FF5758">
              <w:rPr>
                <w:rFonts w:ascii="Calibri" w:hAnsi="Calibri" w:cs="Calibri"/>
                <w:kern w:val="24"/>
                <w:sz w:val="24"/>
                <w:szCs w:val="24"/>
              </w:rPr>
              <w:t>,</w:t>
            </w:r>
            <w:r>
              <w:rPr>
                <w:rFonts w:ascii="Calibri" w:hAnsi="Calibri" w:cs="Calibri"/>
                <w:kern w:val="24"/>
                <w:sz w:val="24"/>
                <w:szCs w:val="24"/>
              </w:rPr>
              <w:t xml:space="preserve"> because of the heavy colonization in those areas. However, it is important to avoid the eyes and ears</w:t>
            </w:r>
            <w:r w:rsidR="00FF5758">
              <w:rPr>
                <w:rFonts w:ascii="Calibri" w:hAnsi="Calibri" w:cs="Calibri"/>
                <w:kern w:val="24"/>
                <w:sz w:val="24"/>
                <w:szCs w:val="24"/>
              </w:rPr>
              <w:t xml:space="preserve"> because s</w:t>
            </w:r>
            <w:r>
              <w:rPr>
                <w:rFonts w:ascii="Calibri" w:hAnsi="Calibri" w:cs="Calibri"/>
                <w:kern w:val="24"/>
                <w:sz w:val="24"/>
                <w:szCs w:val="24"/>
              </w:rPr>
              <w:t xml:space="preserve">tudies have shown that CHG can cause </w:t>
            </w:r>
            <w:r w:rsidR="00B848A2">
              <w:rPr>
                <w:rFonts w:ascii="Calibri" w:hAnsi="Calibri" w:cs="Calibri"/>
                <w:kern w:val="24"/>
                <w:sz w:val="24"/>
                <w:szCs w:val="24"/>
              </w:rPr>
              <w:t>damage to them</w:t>
            </w:r>
            <w:r>
              <w:rPr>
                <w:rFonts w:ascii="Calibri" w:hAnsi="Calibri" w:cs="Calibri"/>
                <w:kern w:val="24"/>
                <w:sz w:val="24"/>
                <w:szCs w:val="24"/>
              </w:rPr>
              <w:t>.</w:t>
            </w:r>
          </w:p>
        </w:tc>
        <w:tc>
          <w:tcPr>
            <w:tcW w:w="3240" w:type="dxa"/>
            <w:tcBorders>
              <w:top w:val="single" w:sz="4" w:space="0" w:color="auto"/>
              <w:left w:val="single" w:sz="4" w:space="0" w:color="auto"/>
              <w:bottom w:val="single" w:sz="4" w:space="0" w:color="auto"/>
              <w:right w:val="single" w:sz="4" w:space="0" w:color="auto"/>
            </w:tcBorders>
          </w:tcPr>
          <w:p w14:paraId="48878305" w14:textId="77777777" w:rsidR="003C2C2B" w:rsidRDefault="003C2C2B" w:rsidP="003C2C2B">
            <w:r>
              <w:lastRenderedPageBreak/>
              <w:t>Slide 10</w:t>
            </w:r>
          </w:p>
          <w:p w14:paraId="11B7FC5A" w14:textId="2A19061E" w:rsidR="003C2C2B" w:rsidRDefault="00FA7F7C" w:rsidP="003C2C2B">
            <w:pPr>
              <w:autoSpaceDE w:val="0"/>
              <w:autoSpaceDN w:val="0"/>
              <w:adjustRightInd w:val="0"/>
              <w:spacing w:after="0" w:line="240" w:lineRule="auto"/>
            </w:pPr>
            <w:r>
              <w:rPr>
                <w:noProof/>
              </w:rPr>
              <w:drawing>
                <wp:inline distT="0" distB="0" distL="0" distR="0" wp14:anchorId="357619A4" wp14:editId="18D58C92">
                  <wp:extent cx="1895475" cy="1466850"/>
                  <wp:effectExtent l="19050" t="19050" r="28575" b="1905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5475" cy="1466850"/>
                          </a:xfrm>
                          <a:prstGeom prst="rect">
                            <a:avLst/>
                          </a:prstGeom>
                          <a:noFill/>
                          <a:ln>
                            <a:solidFill>
                              <a:schemeClr val="tx1"/>
                            </a:solidFill>
                          </a:ln>
                        </pic:spPr>
                      </pic:pic>
                    </a:graphicData>
                  </a:graphic>
                </wp:inline>
              </w:drawing>
            </w:r>
          </w:p>
          <w:p w14:paraId="5FF362D7" w14:textId="6A747BA3" w:rsidR="00C80CF5" w:rsidRDefault="00C80CF5" w:rsidP="003C2C2B">
            <w:pPr>
              <w:autoSpaceDE w:val="0"/>
              <w:autoSpaceDN w:val="0"/>
              <w:adjustRightInd w:val="0"/>
              <w:spacing w:after="0" w:line="240" w:lineRule="auto"/>
              <w:rPr>
                <w:rFonts w:cs="Calibri"/>
                <w:kern w:val="24"/>
                <w:sz w:val="24"/>
                <w:szCs w:val="24"/>
              </w:rPr>
            </w:pPr>
          </w:p>
        </w:tc>
      </w:tr>
      <w:tr w:rsidR="003C2C2B" w14:paraId="31293E6B" w14:textId="1723BAA2" w:rsidTr="00512653">
        <w:trPr>
          <w:trHeight w:val="800"/>
        </w:trPr>
        <w:tc>
          <w:tcPr>
            <w:tcW w:w="6655" w:type="dxa"/>
            <w:tcBorders>
              <w:top w:val="single" w:sz="4" w:space="0" w:color="auto"/>
              <w:left w:val="single" w:sz="4" w:space="0" w:color="auto"/>
              <w:bottom w:val="single" w:sz="4" w:space="0" w:color="auto"/>
              <w:right w:val="single" w:sz="4" w:space="0" w:color="auto"/>
            </w:tcBorders>
          </w:tcPr>
          <w:p w14:paraId="52C9DB85" w14:textId="77777777" w:rsidR="008D57B5" w:rsidRDefault="008D57B5" w:rsidP="008D57B5">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lastRenderedPageBreak/>
              <w:t>In much the same way, risk can be lessened by reducing the number of times that the central line is accessed and consistently following proper procedures when entering a central venous catheter. When we enter or access a central venous line, we should remember that every entry increases the risk of a CLABSI. You should consider opportunities to reduce central line entries as much as possible. This could include converting IV (intravenous) medications to PO (oral), and consolidating lab draws.</w:t>
            </w:r>
          </w:p>
          <w:p w14:paraId="24F753C9" w14:textId="77777777" w:rsidR="008D57B5" w:rsidRDefault="008D57B5" w:rsidP="008D57B5">
            <w:pPr>
              <w:autoSpaceDE w:val="0"/>
              <w:autoSpaceDN w:val="0"/>
              <w:adjustRightInd w:val="0"/>
              <w:spacing w:after="0" w:line="240" w:lineRule="auto"/>
              <w:rPr>
                <w:rFonts w:ascii="Calibri" w:hAnsi="Calibri" w:cs="Calibri"/>
                <w:kern w:val="24"/>
                <w:sz w:val="24"/>
                <w:szCs w:val="24"/>
              </w:rPr>
            </w:pPr>
          </w:p>
          <w:p w14:paraId="3F561106" w14:textId="1BCC57D2" w:rsidR="008D57B5" w:rsidRDefault="008D57B5" w:rsidP="008D57B5">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Disinfecting the connection site prior to accessing the central line reduces any external contamination and lessens the risk of transfer of pathogens to the internal lumen of the central venous catheter. Before accessing catheter hubs, needleless connectors, or injection ports, vigorously apply mechanical friction or “scrub the hub” for no less than 5 seconds with an antiseptic such as alcoholic </w:t>
            </w:r>
            <w:r w:rsidR="00394F55">
              <w:rPr>
                <w:rFonts w:ascii="Calibri" w:hAnsi="Calibri" w:cs="Calibri"/>
                <w:kern w:val="24"/>
                <w:sz w:val="24"/>
                <w:szCs w:val="24"/>
              </w:rPr>
              <w:t>CHG</w:t>
            </w:r>
            <w:r>
              <w:rPr>
                <w:rFonts w:ascii="Calibri" w:hAnsi="Calibri" w:cs="Calibri"/>
                <w:kern w:val="24"/>
                <w:sz w:val="24"/>
                <w:szCs w:val="24"/>
              </w:rPr>
              <w:t xml:space="preserve"> preparation, 70 percent alcohol, or povidone-iodine. In recent years, port devices like alcohol-impregnated port protector caps have become widely used. If using these devices</w:t>
            </w:r>
            <w:r w:rsidR="00394F55">
              <w:rPr>
                <w:rFonts w:ascii="Calibri" w:hAnsi="Calibri" w:cs="Calibri"/>
                <w:kern w:val="24"/>
                <w:sz w:val="24"/>
                <w:szCs w:val="24"/>
              </w:rPr>
              <w:t>,</w:t>
            </w:r>
            <w:r>
              <w:rPr>
                <w:rFonts w:ascii="Calibri" w:hAnsi="Calibri" w:cs="Calibri"/>
                <w:kern w:val="24"/>
                <w:sz w:val="24"/>
                <w:szCs w:val="24"/>
              </w:rPr>
              <w:t xml:space="preserve"> make sure to follow the manufacturer’s recommendation for proper use. Hubs, connectors, or ports should be changed at least as frequently as the administration set, but no more frequently than every 72 hours, unless specified by manufacturer recommendation.</w:t>
            </w:r>
          </w:p>
          <w:p w14:paraId="63D7E633" w14:textId="77777777" w:rsidR="008D57B5" w:rsidRDefault="008D57B5" w:rsidP="008D57B5">
            <w:pPr>
              <w:autoSpaceDE w:val="0"/>
              <w:autoSpaceDN w:val="0"/>
              <w:adjustRightInd w:val="0"/>
              <w:spacing w:after="0" w:line="240" w:lineRule="auto"/>
              <w:rPr>
                <w:rFonts w:ascii="Calibri" w:hAnsi="Calibri" w:cs="Calibri"/>
                <w:kern w:val="24"/>
                <w:sz w:val="24"/>
                <w:szCs w:val="24"/>
              </w:rPr>
            </w:pPr>
          </w:p>
          <w:p w14:paraId="6CA71641" w14:textId="77777777" w:rsidR="008D57B5" w:rsidRDefault="008D57B5" w:rsidP="008D57B5">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And as always, hand hygiene should be performed before and after all central line care, including accessing or changing any hub, connector, or injection components. </w:t>
            </w:r>
          </w:p>
          <w:p w14:paraId="610DB2BF" w14:textId="77777777" w:rsidR="008D57B5" w:rsidRDefault="008D57B5" w:rsidP="008D57B5">
            <w:pPr>
              <w:autoSpaceDE w:val="0"/>
              <w:autoSpaceDN w:val="0"/>
              <w:adjustRightInd w:val="0"/>
              <w:spacing w:after="0" w:line="240" w:lineRule="auto"/>
              <w:rPr>
                <w:rFonts w:ascii="Calibri" w:hAnsi="Calibri" w:cs="Calibri"/>
                <w:kern w:val="24"/>
                <w:sz w:val="24"/>
                <w:szCs w:val="24"/>
              </w:rPr>
            </w:pPr>
          </w:p>
          <w:p w14:paraId="658F4265" w14:textId="08C986DE" w:rsidR="008D57B5" w:rsidRDefault="008D57B5" w:rsidP="008D57B5">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As we discussed, improper disinfection procedure of hubs, connectors</w:t>
            </w:r>
            <w:r w:rsidR="00394F55">
              <w:rPr>
                <w:rFonts w:ascii="Calibri" w:hAnsi="Calibri" w:cs="Calibri"/>
                <w:kern w:val="24"/>
                <w:sz w:val="24"/>
                <w:szCs w:val="24"/>
              </w:rPr>
              <w:t>,</w:t>
            </w:r>
            <w:r>
              <w:rPr>
                <w:rFonts w:ascii="Calibri" w:hAnsi="Calibri" w:cs="Calibri"/>
                <w:kern w:val="24"/>
                <w:sz w:val="24"/>
                <w:szCs w:val="24"/>
              </w:rPr>
              <w:t xml:space="preserve"> or ports can increase the risk of infection, but can also impact other aspects of care, including contributing to contaminated blood cultures. Units may consider auditing central line entry processes for fluid, and medication administration and blood culture specimen collection, and provide that feedback to key stakeholders and frontline staff to enhance quality improvement efforts and improve staff knowledge and compliance with hospital policy.</w:t>
            </w:r>
          </w:p>
          <w:p w14:paraId="43F303F1" w14:textId="77777777" w:rsidR="008D57B5" w:rsidRDefault="008D57B5" w:rsidP="008D57B5">
            <w:pPr>
              <w:autoSpaceDE w:val="0"/>
              <w:autoSpaceDN w:val="0"/>
              <w:adjustRightInd w:val="0"/>
              <w:spacing w:after="0" w:line="240" w:lineRule="auto"/>
              <w:rPr>
                <w:rFonts w:ascii="Calibri" w:hAnsi="Calibri" w:cs="Calibri"/>
                <w:kern w:val="24"/>
                <w:sz w:val="24"/>
                <w:szCs w:val="24"/>
              </w:rPr>
            </w:pPr>
          </w:p>
          <w:p w14:paraId="5CEB19ED" w14:textId="6CEFC500" w:rsidR="008D57B5" w:rsidRDefault="008D57B5" w:rsidP="008D57B5">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If a line infection is suspected, both a peripheral and a central line specimen should be collected. Bloods </w:t>
            </w:r>
            <w:r w:rsidR="00B848A2">
              <w:rPr>
                <w:rFonts w:ascii="Calibri" w:hAnsi="Calibri" w:cs="Calibri"/>
                <w:kern w:val="24"/>
                <w:sz w:val="24"/>
                <w:szCs w:val="24"/>
              </w:rPr>
              <w:t xml:space="preserve">samples </w:t>
            </w:r>
            <w:r>
              <w:rPr>
                <w:rFonts w:ascii="Calibri" w:hAnsi="Calibri" w:cs="Calibri"/>
                <w:kern w:val="24"/>
                <w:sz w:val="24"/>
                <w:szCs w:val="24"/>
              </w:rPr>
              <w:t>drawn from a central line need to be clearly labeled.</w:t>
            </w:r>
          </w:p>
          <w:p w14:paraId="424E9015" w14:textId="77777777" w:rsidR="008D57B5" w:rsidRDefault="008D57B5" w:rsidP="008D57B5">
            <w:pPr>
              <w:autoSpaceDE w:val="0"/>
              <w:autoSpaceDN w:val="0"/>
              <w:adjustRightInd w:val="0"/>
              <w:spacing w:after="0" w:line="240" w:lineRule="auto"/>
              <w:rPr>
                <w:rFonts w:ascii="Calibri" w:hAnsi="Calibri" w:cs="Calibri"/>
                <w:kern w:val="24"/>
                <w:sz w:val="24"/>
                <w:szCs w:val="24"/>
              </w:rPr>
            </w:pPr>
          </w:p>
          <w:p w14:paraId="02F5F79F" w14:textId="7E4C80B6" w:rsidR="003C2C2B" w:rsidRPr="00EF0F0E" w:rsidRDefault="008D57B5" w:rsidP="003C2C2B">
            <w:pPr>
              <w:autoSpaceDE w:val="0"/>
              <w:autoSpaceDN w:val="0"/>
              <w:adjustRightInd w:val="0"/>
              <w:spacing w:after="0" w:line="240" w:lineRule="auto"/>
              <w:rPr>
                <w:rFonts w:ascii="Arial" w:hAnsi="Arial" w:cs="Arial"/>
              </w:rPr>
            </w:pPr>
            <w:r>
              <w:rPr>
                <w:rFonts w:ascii="Calibri" w:hAnsi="Calibri" w:cs="Calibri"/>
                <w:kern w:val="24"/>
                <w:sz w:val="24"/>
                <w:szCs w:val="24"/>
              </w:rPr>
              <w:t>Care needs to be taken with the choice of connectors. A wrong connector can lead to CLABSI.</w:t>
            </w:r>
          </w:p>
        </w:tc>
        <w:tc>
          <w:tcPr>
            <w:tcW w:w="3240" w:type="dxa"/>
            <w:tcBorders>
              <w:top w:val="single" w:sz="4" w:space="0" w:color="auto"/>
              <w:left w:val="single" w:sz="4" w:space="0" w:color="auto"/>
              <w:bottom w:val="single" w:sz="4" w:space="0" w:color="auto"/>
              <w:right w:val="single" w:sz="4" w:space="0" w:color="auto"/>
            </w:tcBorders>
          </w:tcPr>
          <w:p w14:paraId="3EBA521F" w14:textId="77777777" w:rsidR="003C2C2B" w:rsidRDefault="003C2C2B" w:rsidP="003C2C2B">
            <w:r>
              <w:lastRenderedPageBreak/>
              <w:t>Slide 11</w:t>
            </w:r>
          </w:p>
          <w:p w14:paraId="7EDC6DA3" w14:textId="4059D411" w:rsidR="003C2C2B" w:rsidRDefault="00FA7F7C" w:rsidP="003C2C2B">
            <w:pPr>
              <w:autoSpaceDE w:val="0"/>
              <w:autoSpaceDN w:val="0"/>
              <w:adjustRightInd w:val="0"/>
              <w:spacing w:after="0" w:line="240" w:lineRule="auto"/>
            </w:pPr>
            <w:r>
              <w:rPr>
                <w:noProof/>
              </w:rPr>
              <w:drawing>
                <wp:inline distT="0" distB="0" distL="0" distR="0" wp14:anchorId="65609E1B" wp14:editId="1109A47A">
                  <wp:extent cx="1895475" cy="1466850"/>
                  <wp:effectExtent l="19050" t="19050" r="28575" b="1905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466850"/>
                          </a:xfrm>
                          <a:prstGeom prst="rect">
                            <a:avLst/>
                          </a:prstGeom>
                          <a:noFill/>
                          <a:ln>
                            <a:solidFill>
                              <a:schemeClr val="tx1"/>
                            </a:solidFill>
                          </a:ln>
                        </pic:spPr>
                      </pic:pic>
                    </a:graphicData>
                  </a:graphic>
                </wp:inline>
              </w:drawing>
            </w:r>
          </w:p>
          <w:p w14:paraId="50BB9B3D" w14:textId="2B7D3EBC" w:rsidR="00C80CF5" w:rsidRDefault="00C80CF5" w:rsidP="003C2C2B">
            <w:pPr>
              <w:autoSpaceDE w:val="0"/>
              <w:autoSpaceDN w:val="0"/>
              <w:adjustRightInd w:val="0"/>
              <w:spacing w:after="0" w:line="240" w:lineRule="auto"/>
              <w:rPr>
                <w:rFonts w:cs="Calibri"/>
                <w:kern w:val="24"/>
                <w:sz w:val="24"/>
                <w:szCs w:val="24"/>
              </w:rPr>
            </w:pPr>
          </w:p>
        </w:tc>
      </w:tr>
      <w:tr w:rsidR="003C2C2B" w14:paraId="6AC3DF10" w14:textId="483F4A74" w:rsidTr="00512653">
        <w:trPr>
          <w:trHeight w:val="800"/>
        </w:trPr>
        <w:tc>
          <w:tcPr>
            <w:tcW w:w="6655" w:type="dxa"/>
            <w:tcBorders>
              <w:top w:val="single" w:sz="4" w:space="0" w:color="auto"/>
              <w:left w:val="single" w:sz="4" w:space="0" w:color="auto"/>
              <w:bottom w:val="single" w:sz="4" w:space="0" w:color="auto"/>
              <w:right w:val="single" w:sz="4" w:space="0" w:color="auto"/>
            </w:tcBorders>
          </w:tcPr>
          <w:p w14:paraId="504224D0" w14:textId="77777777" w:rsidR="008D57B5" w:rsidRDefault="008D57B5" w:rsidP="008D57B5">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Now let’s discuss care of the CVC administration tubing sets. It is important to perform hand hygiene before changing the tubing. It is also important to reduce the number of times the central line is opened. Whenever possible, it is preferable to change all tubing and add-ons at the same time. Keep in mind that add-on devices (such as stopcocks, extension tubing, and connectors) may increase the risk of contamination, misuse, and disconnection of the central line, so discuss among the team the risks and benefits of such add-ons, and make sure your policies are written to reflect the best option for your ICU and the patients. </w:t>
            </w:r>
          </w:p>
          <w:p w14:paraId="148B288A" w14:textId="77777777" w:rsidR="008D57B5" w:rsidRDefault="008D57B5" w:rsidP="008D57B5">
            <w:pPr>
              <w:autoSpaceDE w:val="0"/>
              <w:autoSpaceDN w:val="0"/>
              <w:adjustRightInd w:val="0"/>
              <w:spacing w:after="0" w:line="240" w:lineRule="auto"/>
              <w:rPr>
                <w:rFonts w:ascii="Calibri" w:hAnsi="Calibri" w:cs="Calibri"/>
                <w:kern w:val="24"/>
                <w:sz w:val="24"/>
                <w:szCs w:val="24"/>
              </w:rPr>
            </w:pPr>
          </w:p>
          <w:p w14:paraId="1C079AA1" w14:textId="57F2B2FD" w:rsidR="003C2C2B" w:rsidRPr="00EF0F0E" w:rsidRDefault="008D57B5" w:rsidP="003C2C2B">
            <w:pPr>
              <w:autoSpaceDE w:val="0"/>
              <w:autoSpaceDN w:val="0"/>
              <w:adjustRightInd w:val="0"/>
              <w:spacing w:after="0" w:line="240" w:lineRule="auto"/>
              <w:rPr>
                <w:rFonts w:ascii="Arial" w:hAnsi="Arial" w:cs="Arial"/>
              </w:rPr>
            </w:pPr>
            <w:r>
              <w:rPr>
                <w:rFonts w:ascii="Calibri" w:hAnsi="Calibri" w:cs="Calibri"/>
                <w:kern w:val="24"/>
                <w:sz w:val="24"/>
                <w:szCs w:val="24"/>
              </w:rPr>
              <w:t xml:space="preserve">Recommendations for administrative tubing set change frequency are based on the likelihood and rate of bacterial growth known to be associated with different fluids. </w:t>
            </w:r>
            <w:r w:rsidR="002D25CD">
              <w:rPr>
                <w:rFonts w:ascii="Calibri" w:hAnsi="Calibri" w:cs="Calibri"/>
                <w:kern w:val="24"/>
                <w:sz w:val="24"/>
                <w:szCs w:val="24"/>
              </w:rPr>
              <w:t>According to The Joint Commission, a</w:t>
            </w:r>
            <w:r>
              <w:rPr>
                <w:rFonts w:ascii="Calibri" w:hAnsi="Calibri" w:cs="Calibri"/>
                <w:kern w:val="24"/>
                <w:sz w:val="24"/>
                <w:szCs w:val="24"/>
              </w:rPr>
              <w:t xml:space="preserve">dministration sets that do not use blood, blood products, or lipids should be changed no more frequently than </w:t>
            </w:r>
            <w:r w:rsidR="00394F55">
              <w:rPr>
                <w:rFonts w:ascii="Calibri" w:hAnsi="Calibri" w:cs="Calibri"/>
                <w:kern w:val="24"/>
                <w:sz w:val="24"/>
                <w:szCs w:val="24"/>
              </w:rPr>
              <w:t xml:space="preserve">at </w:t>
            </w:r>
            <w:r>
              <w:rPr>
                <w:rFonts w:ascii="Calibri" w:hAnsi="Calibri" w:cs="Calibri"/>
                <w:kern w:val="24"/>
                <w:sz w:val="24"/>
                <w:szCs w:val="24"/>
              </w:rPr>
              <w:t>96-hour intervals. For other fluids, like blood and lipids, hospitals should review current guidelines to determine the frequency and impact of these fluids on tubing change frequency.</w:t>
            </w:r>
          </w:p>
        </w:tc>
        <w:tc>
          <w:tcPr>
            <w:tcW w:w="3240" w:type="dxa"/>
            <w:tcBorders>
              <w:top w:val="single" w:sz="4" w:space="0" w:color="auto"/>
              <w:left w:val="single" w:sz="4" w:space="0" w:color="auto"/>
              <w:bottom w:val="single" w:sz="4" w:space="0" w:color="auto"/>
              <w:right w:val="single" w:sz="4" w:space="0" w:color="auto"/>
            </w:tcBorders>
          </w:tcPr>
          <w:p w14:paraId="3BEA7DF3" w14:textId="77777777" w:rsidR="003C2C2B" w:rsidRDefault="003C2C2B" w:rsidP="003C2C2B">
            <w:r>
              <w:t>Slide 12</w:t>
            </w:r>
          </w:p>
          <w:p w14:paraId="667EAB1C" w14:textId="1DFF37F8" w:rsidR="003C2C2B" w:rsidRDefault="00FA7F7C" w:rsidP="003C2C2B">
            <w:pPr>
              <w:autoSpaceDE w:val="0"/>
              <w:autoSpaceDN w:val="0"/>
              <w:adjustRightInd w:val="0"/>
              <w:spacing w:after="0" w:line="240" w:lineRule="auto"/>
              <w:rPr>
                <w:rFonts w:cstheme="minorHAnsi"/>
              </w:rPr>
            </w:pPr>
            <w:r>
              <w:rPr>
                <w:rFonts w:cstheme="minorHAnsi"/>
                <w:noProof/>
              </w:rPr>
              <w:drawing>
                <wp:inline distT="0" distB="0" distL="0" distR="0" wp14:anchorId="2A503D0B" wp14:editId="628DABF2">
                  <wp:extent cx="1885950" cy="1457325"/>
                  <wp:effectExtent l="19050" t="19050" r="19050" b="2857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85950" cy="1457325"/>
                          </a:xfrm>
                          <a:prstGeom prst="rect">
                            <a:avLst/>
                          </a:prstGeom>
                          <a:noFill/>
                          <a:ln>
                            <a:solidFill>
                              <a:schemeClr val="tx1"/>
                            </a:solidFill>
                          </a:ln>
                        </pic:spPr>
                      </pic:pic>
                    </a:graphicData>
                  </a:graphic>
                </wp:inline>
              </w:drawing>
            </w:r>
          </w:p>
          <w:p w14:paraId="3F180F12" w14:textId="744DC4AA" w:rsidR="00C80CF5" w:rsidRDefault="00C80CF5" w:rsidP="003C2C2B">
            <w:pPr>
              <w:autoSpaceDE w:val="0"/>
              <w:autoSpaceDN w:val="0"/>
              <w:adjustRightInd w:val="0"/>
              <w:spacing w:after="0" w:line="240" w:lineRule="auto"/>
              <w:rPr>
                <w:rFonts w:cs="Calibri"/>
                <w:kern w:val="24"/>
                <w:sz w:val="24"/>
                <w:szCs w:val="24"/>
              </w:rPr>
            </w:pPr>
          </w:p>
        </w:tc>
      </w:tr>
      <w:tr w:rsidR="003C2C2B" w14:paraId="74F9D9F8" w14:textId="1906F198" w:rsidTr="00512653">
        <w:trPr>
          <w:trHeight w:val="800"/>
        </w:trPr>
        <w:tc>
          <w:tcPr>
            <w:tcW w:w="6655" w:type="dxa"/>
            <w:tcBorders>
              <w:top w:val="single" w:sz="4" w:space="0" w:color="auto"/>
              <w:left w:val="single" w:sz="4" w:space="0" w:color="auto"/>
              <w:bottom w:val="single" w:sz="4" w:space="0" w:color="auto"/>
              <w:right w:val="single" w:sz="4" w:space="0" w:color="auto"/>
            </w:tcBorders>
          </w:tcPr>
          <w:p w14:paraId="5E1CFC3B" w14:textId="77777777" w:rsidR="008D57B5" w:rsidRDefault="008D57B5" w:rsidP="008D57B5">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We have covered a number of best practices that include using a central venous catheter maintenance bundle and highlighting the importance of proper care of a central venous catheter as a means to prevent infection. What are the barriers that may affect you in your individual practice? Or your unit’s overall consistent adherence to these practices? Here are some possible barriers to consider: </w:t>
            </w:r>
          </w:p>
          <w:p w14:paraId="19055C4C" w14:textId="77777777" w:rsidR="008D57B5" w:rsidRDefault="008D57B5" w:rsidP="008D57B5">
            <w:pPr>
              <w:autoSpaceDE w:val="0"/>
              <w:autoSpaceDN w:val="0"/>
              <w:adjustRightInd w:val="0"/>
              <w:spacing w:after="0" w:line="240" w:lineRule="auto"/>
              <w:rPr>
                <w:rFonts w:ascii="Calibri" w:hAnsi="Calibri" w:cs="Calibri"/>
                <w:kern w:val="24"/>
                <w:sz w:val="24"/>
                <w:szCs w:val="24"/>
              </w:rPr>
            </w:pPr>
          </w:p>
          <w:p w14:paraId="5F12F2CF" w14:textId="14C96AE8" w:rsidR="003C2C2B" w:rsidRPr="00EF0F0E" w:rsidRDefault="008D57B5" w:rsidP="003C2C2B">
            <w:pPr>
              <w:autoSpaceDE w:val="0"/>
              <w:autoSpaceDN w:val="0"/>
              <w:adjustRightInd w:val="0"/>
              <w:spacing w:after="0" w:line="240" w:lineRule="auto"/>
              <w:rPr>
                <w:rFonts w:ascii="Arial" w:hAnsi="Arial" w:cs="Arial"/>
              </w:rPr>
            </w:pPr>
            <w:r>
              <w:rPr>
                <w:rFonts w:ascii="Calibri" w:hAnsi="Calibri" w:cs="Calibri"/>
                <w:kern w:val="24"/>
                <w:sz w:val="24"/>
                <w:szCs w:val="24"/>
              </w:rPr>
              <w:t xml:space="preserve">Staff may feel they do not have the knowledge, both initially and on an ongoing basis, in terms of evidence-based practices. Staff may not understand why they need to change behaviors and practices so there is no buy-in. Often teams note that time constraints and staffing impacts their ability to follow specific guidelines, or they may not be able to locate the necessary supplies for CVC maintenance. We also know that the absence of audits of compliance, and feedback concerning processes and outcomes can be barriers to consistent performance of best practices in CVC maintenance. </w:t>
            </w:r>
          </w:p>
        </w:tc>
        <w:tc>
          <w:tcPr>
            <w:tcW w:w="3240" w:type="dxa"/>
            <w:tcBorders>
              <w:top w:val="single" w:sz="4" w:space="0" w:color="auto"/>
              <w:left w:val="single" w:sz="4" w:space="0" w:color="auto"/>
              <w:bottom w:val="single" w:sz="4" w:space="0" w:color="auto"/>
              <w:right w:val="single" w:sz="4" w:space="0" w:color="auto"/>
            </w:tcBorders>
          </w:tcPr>
          <w:p w14:paraId="56C6130B" w14:textId="77777777" w:rsidR="003C2C2B" w:rsidRDefault="003C2C2B" w:rsidP="003C2C2B">
            <w:r>
              <w:lastRenderedPageBreak/>
              <w:t>Slide 13</w:t>
            </w:r>
          </w:p>
          <w:p w14:paraId="3A6F15B5" w14:textId="1F3230E9" w:rsidR="003C2C2B" w:rsidRDefault="00FA7F7C" w:rsidP="003C2C2B">
            <w:pPr>
              <w:autoSpaceDE w:val="0"/>
              <w:autoSpaceDN w:val="0"/>
              <w:adjustRightInd w:val="0"/>
              <w:spacing w:after="0" w:line="240" w:lineRule="auto"/>
              <w:rPr>
                <w:rFonts w:cs="Calibri"/>
                <w:kern w:val="24"/>
                <w:sz w:val="24"/>
                <w:szCs w:val="24"/>
              </w:rPr>
            </w:pPr>
            <w:r>
              <w:rPr>
                <w:rFonts w:cs="Calibri"/>
                <w:noProof/>
                <w:kern w:val="24"/>
                <w:sz w:val="24"/>
                <w:szCs w:val="24"/>
              </w:rPr>
              <w:lastRenderedPageBreak/>
              <w:drawing>
                <wp:inline distT="0" distB="0" distL="0" distR="0" wp14:anchorId="41ABD9D2" wp14:editId="257BC74B">
                  <wp:extent cx="1895475" cy="1466850"/>
                  <wp:effectExtent l="19050" t="19050" r="28575" b="1905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5475" cy="1466850"/>
                          </a:xfrm>
                          <a:prstGeom prst="rect">
                            <a:avLst/>
                          </a:prstGeom>
                          <a:noFill/>
                          <a:ln>
                            <a:solidFill>
                              <a:schemeClr val="tx1"/>
                            </a:solidFill>
                          </a:ln>
                        </pic:spPr>
                      </pic:pic>
                    </a:graphicData>
                  </a:graphic>
                </wp:inline>
              </w:drawing>
            </w:r>
          </w:p>
        </w:tc>
      </w:tr>
      <w:tr w:rsidR="003C2C2B" w14:paraId="686BF200" w14:textId="52A09127" w:rsidTr="00512653">
        <w:trPr>
          <w:trHeight w:val="800"/>
        </w:trPr>
        <w:tc>
          <w:tcPr>
            <w:tcW w:w="6655" w:type="dxa"/>
            <w:tcBorders>
              <w:top w:val="single" w:sz="4" w:space="0" w:color="auto"/>
              <w:left w:val="single" w:sz="4" w:space="0" w:color="auto"/>
              <w:bottom w:val="single" w:sz="4" w:space="0" w:color="auto"/>
              <w:right w:val="single" w:sz="4" w:space="0" w:color="auto"/>
            </w:tcBorders>
          </w:tcPr>
          <w:p w14:paraId="5E716054" w14:textId="53F8F9E8" w:rsidR="008D57B5" w:rsidRDefault="008D57B5" w:rsidP="008D57B5">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lastRenderedPageBreak/>
              <w:t>So</w:t>
            </w:r>
            <w:r w:rsidR="00F02570">
              <w:rPr>
                <w:rFonts w:ascii="Calibri" w:hAnsi="Calibri" w:cs="Calibri"/>
                <w:kern w:val="24"/>
                <w:sz w:val="24"/>
                <w:szCs w:val="24"/>
              </w:rPr>
              <w:t>,</w:t>
            </w:r>
            <w:r>
              <w:rPr>
                <w:rFonts w:ascii="Calibri" w:hAnsi="Calibri" w:cs="Calibri"/>
                <w:kern w:val="24"/>
                <w:sz w:val="24"/>
                <w:szCs w:val="24"/>
              </w:rPr>
              <w:t xml:space="preserve"> how do you overcome the barriers to CVC maintenance? </w:t>
            </w:r>
          </w:p>
          <w:p w14:paraId="39D5EB71" w14:textId="7138F280" w:rsidR="008D57B5" w:rsidRDefault="00B848A2" w:rsidP="008D57B5">
            <w:pPr>
              <w:autoSpaceDE w:val="0"/>
              <w:autoSpaceDN w:val="0"/>
              <w:adjustRightInd w:val="0"/>
              <w:spacing w:after="0" w:line="240" w:lineRule="auto"/>
              <w:rPr>
                <w:rFonts w:ascii="Calibri" w:hAnsi="Calibri" w:cs="Calibri"/>
                <w:kern w:val="24"/>
                <w:sz w:val="24"/>
                <w:szCs w:val="24"/>
              </w:rPr>
            </w:pPr>
            <w:r w:rsidRPr="008A07DE">
              <w:rPr>
                <w:sz w:val="24"/>
                <w:szCs w:val="24"/>
              </w:rPr>
              <w:t>As noted in the tool shown on the slide, the Central Line Maintenance Audit Form from the AHRQ Toolkit for Reducing Central Line-Associated Blood Stream Infections,</w:t>
            </w:r>
            <w:r>
              <w:rPr>
                <w:sz w:val="24"/>
                <w:szCs w:val="24"/>
              </w:rPr>
              <w:t xml:space="preserve"> first</w:t>
            </w:r>
            <w:r w:rsidR="008D57B5">
              <w:rPr>
                <w:rFonts w:ascii="Calibri" w:hAnsi="Calibri" w:cs="Calibri"/>
                <w:kern w:val="24"/>
                <w:sz w:val="24"/>
                <w:szCs w:val="24"/>
              </w:rPr>
              <w:t xml:space="preserve"> take time to identify which barriers may exist in your unit. Talk with the team members and ask what they believe are the barriers and solicit their ideas for solutions to overcome these barriers. Engage them in developing any plans to change processes or practices. Identify staff who are passionate about patient safety as champions and make this work part of already existing work flow. These champions can educate and assist new and seasoned staff to hold everyone accountable. </w:t>
            </w:r>
          </w:p>
          <w:p w14:paraId="5EB610E3" w14:textId="77777777" w:rsidR="008D57B5" w:rsidRDefault="008D57B5" w:rsidP="008D57B5">
            <w:pPr>
              <w:autoSpaceDE w:val="0"/>
              <w:autoSpaceDN w:val="0"/>
              <w:adjustRightInd w:val="0"/>
              <w:spacing w:after="0" w:line="240" w:lineRule="auto"/>
              <w:rPr>
                <w:rFonts w:ascii="Calibri" w:hAnsi="Calibri" w:cs="Calibri"/>
                <w:kern w:val="24"/>
                <w:sz w:val="24"/>
                <w:szCs w:val="24"/>
              </w:rPr>
            </w:pPr>
          </w:p>
          <w:p w14:paraId="09B2AF35" w14:textId="77777777" w:rsidR="008D57B5" w:rsidRDefault="008D57B5" w:rsidP="008D57B5">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Some ideas to consider include—</w:t>
            </w:r>
          </w:p>
          <w:p w14:paraId="26F83675" w14:textId="40833226" w:rsidR="008D57B5" w:rsidRDefault="008D57B5" w:rsidP="008D57B5">
            <w:pPr>
              <w:numPr>
                <w:ilvl w:val="0"/>
                <w:numId w:val="9"/>
              </w:numPr>
              <w:autoSpaceDE w:val="0"/>
              <w:autoSpaceDN w:val="0"/>
              <w:adjustRightInd w:val="0"/>
              <w:spacing w:after="0" w:line="240" w:lineRule="auto"/>
              <w:ind w:left="269" w:hanging="269"/>
              <w:rPr>
                <w:rFonts w:ascii="Calibri" w:hAnsi="Calibri" w:cs="Calibri"/>
                <w:kern w:val="24"/>
                <w:sz w:val="24"/>
                <w:szCs w:val="24"/>
              </w:rPr>
            </w:pPr>
            <w:r>
              <w:rPr>
                <w:rFonts w:ascii="Calibri" w:hAnsi="Calibri" w:cs="Calibri"/>
                <w:kern w:val="24"/>
                <w:sz w:val="24"/>
                <w:szCs w:val="24"/>
              </w:rPr>
              <w:t>Utilizing advanced tools and strategies such as vascular access teams to perform routine maintenance and “just-in-time” education, advice</w:t>
            </w:r>
            <w:r w:rsidR="00F02570">
              <w:rPr>
                <w:rFonts w:ascii="Calibri" w:hAnsi="Calibri" w:cs="Calibri"/>
                <w:kern w:val="24"/>
                <w:sz w:val="24"/>
                <w:szCs w:val="24"/>
              </w:rPr>
              <w:t>,</w:t>
            </w:r>
            <w:r>
              <w:rPr>
                <w:rFonts w:ascii="Calibri" w:hAnsi="Calibri" w:cs="Calibri"/>
                <w:kern w:val="24"/>
                <w:sz w:val="24"/>
                <w:szCs w:val="24"/>
              </w:rPr>
              <w:t xml:space="preserve"> or trouble shooting.</w:t>
            </w:r>
          </w:p>
          <w:p w14:paraId="1B4DF4CE" w14:textId="77777777" w:rsidR="008D57B5" w:rsidRDefault="008D57B5" w:rsidP="008D57B5">
            <w:pPr>
              <w:numPr>
                <w:ilvl w:val="0"/>
                <w:numId w:val="9"/>
              </w:numPr>
              <w:autoSpaceDE w:val="0"/>
              <w:autoSpaceDN w:val="0"/>
              <w:adjustRightInd w:val="0"/>
              <w:spacing w:after="0" w:line="240" w:lineRule="auto"/>
              <w:ind w:left="269" w:hanging="269"/>
              <w:rPr>
                <w:rFonts w:ascii="Calibri" w:hAnsi="Calibri" w:cs="Calibri"/>
                <w:kern w:val="24"/>
                <w:sz w:val="24"/>
                <w:szCs w:val="24"/>
              </w:rPr>
            </w:pPr>
            <w:r>
              <w:rPr>
                <w:rFonts w:ascii="Calibri" w:hAnsi="Calibri" w:cs="Calibri"/>
                <w:kern w:val="24"/>
                <w:sz w:val="24"/>
                <w:szCs w:val="24"/>
              </w:rPr>
              <w:t>Incorporate prompts into existing EMR charting that remind staff to assess for CVC line necessity and remove the central line if indications are not met.</w:t>
            </w:r>
          </w:p>
          <w:p w14:paraId="18B5558F" w14:textId="77777777" w:rsidR="008D57B5" w:rsidRDefault="008D57B5" w:rsidP="008D57B5">
            <w:pPr>
              <w:numPr>
                <w:ilvl w:val="0"/>
                <w:numId w:val="9"/>
              </w:numPr>
              <w:autoSpaceDE w:val="0"/>
              <w:autoSpaceDN w:val="0"/>
              <w:adjustRightInd w:val="0"/>
              <w:spacing w:after="0" w:line="240" w:lineRule="auto"/>
              <w:ind w:left="269" w:hanging="269"/>
              <w:rPr>
                <w:rFonts w:ascii="Calibri" w:hAnsi="Calibri" w:cs="Calibri"/>
                <w:kern w:val="24"/>
                <w:sz w:val="24"/>
                <w:szCs w:val="24"/>
              </w:rPr>
            </w:pPr>
            <w:r>
              <w:rPr>
                <w:rFonts w:ascii="Calibri" w:hAnsi="Calibri" w:cs="Calibri"/>
                <w:kern w:val="24"/>
                <w:sz w:val="24"/>
                <w:szCs w:val="24"/>
              </w:rPr>
              <w:t>Create customized checklists/standardized processes that use evidence-based practices and address any unique cultural issues in your unit.</w:t>
            </w:r>
          </w:p>
          <w:p w14:paraId="7FA016CD" w14:textId="77777777" w:rsidR="008D57B5" w:rsidRDefault="008D57B5" w:rsidP="008D57B5">
            <w:pPr>
              <w:numPr>
                <w:ilvl w:val="0"/>
                <w:numId w:val="9"/>
              </w:numPr>
              <w:autoSpaceDE w:val="0"/>
              <w:autoSpaceDN w:val="0"/>
              <w:adjustRightInd w:val="0"/>
              <w:spacing w:after="0" w:line="240" w:lineRule="auto"/>
              <w:ind w:left="269" w:hanging="269"/>
              <w:rPr>
                <w:rFonts w:ascii="Calibri" w:hAnsi="Calibri" w:cs="Calibri"/>
                <w:kern w:val="24"/>
                <w:sz w:val="24"/>
                <w:szCs w:val="24"/>
              </w:rPr>
            </w:pPr>
            <w:r>
              <w:rPr>
                <w:rFonts w:ascii="Calibri" w:hAnsi="Calibri" w:cs="Calibri"/>
                <w:kern w:val="24"/>
                <w:sz w:val="24"/>
                <w:szCs w:val="24"/>
              </w:rPr>
              <w:t>Use prepackaged dressing change kits to make it easier to access supplies and follow proper procedures.</w:t>
            </w:r>
          </w:p>
          <w:p w14:paraId="3B97BE18" w14:textId="2ECF585B" w:rsidR="008D57B5" w:rsidRDefault="008D57B5" w:rsidP="008D57B5">
            <w:pPr>
              <w:numPr>
                <w:ilvl w:val="0"/>
                <w:numId w:val="9"/>
              </w:numPr>
              <w:autoSpaceDE w:val="0"/>
              <w:autoSpaceDN w:val="0"/>
              <w:adjustRightInd w:val="0"/>
              <w:spacing w:after="0" w:line="240" w:lineRule="auto"/>
              <w:ind w:left="269" w:hanging="269"/>
              <w:rPr>
                <w:rFonts w:ascii="Calibri" w:hAnsi="Calibri" w:cs="Calibri"/>
                <w:kern w:val="24"/>
                <w:sz w:val="24"/>
                <w:szCs w:val="24"/>
              </w:rPr>
            </w:pPr>
            <w:proofErr w:type="gramStart"/>
            <w:r>
              <w:rPr>
                <w:rFonts w:ascii="Calibri" w:hAnsi="Calibri" w:cs="Calibri"/>
                <w:kern w:val="24"/>
                <w:sz w:val="24"/>
                <w:szCs w:val="24"/>
              </w:rPr>
              <w:t>And,</w:t>
            </w:r>
            <w:proofErr w:type="gramEnd"/>
            <w:r>
              <w:rPr>
                <w:rFonts w:ascii="Calibri" w:hAnsi="Calibri" w:cs="Calibri"/>
                <w:kern w:val="24"/>
                <w:sz w:val="24"/>
                <w:szCs w:val="24"/>
              </w:rPr>
              <w:t xml:space="preserve"> conduct audit bundle compliance rounds and provide with “just-in-time” </w:t>
            </w:r>
            <w:hyperlink r:id="rId30" w:history="1">
              <w:r w:rsidRPr="00EF0F0E">
                <w:rPr>
                  <w:rStyle w:val="Hyperlink"/>
                  <w:rFonts w:ascii="Calibri" w:hAnsi="Calibri" w:cs="Calibri"/>
                  <w:kern w:val="24"/>
                  <w:sz w:val="24"/>
                  <w:szCs w:val="24"/>
                </w:rPr>
                <w:t>coaching and feedback</w:t>
              </w:r>
            </w:hyperlink>
            <w:r>
              <w:rPr>
                <w:rFonts w:ascii="Calibri" w:hAnsi="Calibri" w:cs="Calibri"/>
                <w:kern w:val="24"/>
                <w:sz w:val="24"/>
                <w:szCs w:val="24"/>
              </w:rPr>
              <w:t>. Feedback about performance is crucial for us to know what we are doing well, as well as identify opportunities for improvement. Ask champions to assess individual and unit compliance.</w:t>
            </w:r>
          </w:p>
          <w:p w14:paraId="47646FDE" w14:textId="7C8E0AB7" w:rsidR="008D57B5" w:rsidRDefault="008D57B5" w:rsidP="008D57B5">
            <w:pPr>
              <w:numPr>
                <w:ilvl w:val="0"/>
                <w:numId w:val="9"/>
              </w:numPr>
              <w:autoSpaceDE w:val="0"/>
              <w:autoSpaceDN w:val="0"/>
              <w:adjustRightInd w:val="0"/>
              <w:spacing w:after="0" w:line="240" w:lineRule="auto"/>
              <w:ind w:left="269" w:hanging="269"/>
              <w:rPr>
                <w:rFonts w:ascii="Calibri" w:hAnsi="Calibri" w:cs="Calibri"/>
                <w:kern w:val="24"/>
                <w:sz w:val="24"/>
                <w:szCs w:val="24"/>
              </w:rPr>
            </w:pPr>
            <w:r>
              <w:rPr>
                <w:rFonts w:ascii="Calibri" w:hAnsi="Calibri" w:cs="Calibri"/>
                <w:kern w:val="24"/>
                <w:sz w:val="24"/>
                <w:szCs w:val="24"/>
              </w:rPr>
              <w:t xml:space="preserve">Perform an immediate </w:t>
            </w:r>
            <w:hyperlink r:id="rId31" w:history="1">
              <w:r w:rsidR="00F02570" w:rsidRPr="00EF0F0E">
                <w:rPr>
                  <w:rStyle w:val="Hyperlink"/>
                  <w:rFonts w:ascii="Calibri" w:hAnsi="Calibri" w:cs="Calibri"/>
                  <w:kern w:val="24"/>
                  <w:sz w:val="24"/>
                  <w:szCs w:val="24"/>
                </w:rPr>
                <w:t>L</w:t>
              </w:r>
              <w:r w:rsidRPr="00EF0F0E">
                <w:rPr>
                  <w:rStyle w:val="Hyperlink"/>
                  <w:rFonts w:ascii="Calibri" w:hAnsi="Calibri" w:cs="Calibri"/>
                  <w:kern w:val="24"/>
                  <w:sz w:val="24"/>
                  <w:szCs w:val="24"/>
                </w:rPr>
                <w:t xml:space="preserve">earn </w:t>
              </w:r>
              <w:r w:rsidR="00F02570" w:rsidRPr="00EF0F0E">
                <w:rPr>
                  <w:rStyle w:val="Hyperlink"/>
                  <w:rFonts w:ascii="Calibri" w:hAnsi="Calibri" w:cs="Calibri"/>
                  <w:kern w:val="24"/>
                  <w:sz w:val="24"/>
                  <w:szCs w:val="24"/>
                </w:rPr>
                <w:t>F</w:t>
              </w:r>
              <w:r w:rsidRPr="00EF0F0E">
                <w:rPr>
                  <w:rStyle w:val="Hyperlink"/>
                  <w:rFonts w:ascii="Calibri" w:hAnsi="Calibri" w:cs="Calibri"/>
                  <w:kern w:val="24"/>
                  <w:sz w:val="24"/>
                  <w:szCs w:val="24"/>
                </w:rPr>
                <w:t xml:space="preserve">rom </w:t>
              </w:r>
              <w:r w:rsidR="00F02570" w:rsidRPr="00EF0F0E">
                <w:rPr>
                  <w:rStyle w:val="Hyperlink"/>
                  <w:rFonts w:ascii="Calibri" w:hAnsi="Calibri" w:cs="Calibri"/>
                  <w:kern w:val="24"/>
                  <w:sz w:val="24"/>
                  <w:szCs w:val="24"/>
                </w:rPr>
                <w:t>D</w:t>
              </w:r>
              <w:r w:rsidRPr="00EF0F0E">
                <w:rPr>
                  <w:rStyle w:val="Hyperlink"/>
                  <w:rFonts w:ascii="Calibri" w:hAnsi="Calibri" w:cs="Calibri"/>
                  <w:kern w:val="24"/>
                  <w:sz w:val="24"/>
                  <w:szCs w:val="24"/>
                </w:rPr>
                <w:t>efect</w:t>
              </w:r>
              <w:r w:rsidR="00F02570" w:rsidRPr="00EF0F0E">
                <w:rPr>
                  <w:rStyle w:val="Hyperlink"/>
                  <w:rFonts w:ascii="Calibri" w:hAnsi="Calibri" w:cs="Calibri"/>
                  <w:kern w:val="24"/>
                  <w:sz w:val="24"/>
                  <w:szCs w:val="24"/>
                </w:rPr>
                <w:t>s</w:t>
              </w:r>
            </w:hyperlink>
            <w:r>
              <w:rPr>
                <w:rFonts w:ascii="Calibri" w:hAnsi="Calibri" w:cs="Calibri"/>
                <w:kern w:val="24"/>
                <w:sz w:val="24"/>
                <w:szCs w:val="24"/>
              </w:rPr>
              <w:t xml:space="preserve"> to gather trends in missed care to identify performance improvement projects</w:t>
            </w:r>
            <w:r w:rsidR="00F02570">
              <w:rPr>
                <w:rFonts w:ascii="Calibri" w:hAnsi="Calibri" w:cs="Calibri"/>
                <w:kern w:val="24"/>
                <w:sz w:val="24"/>
                <w:szCs w:val="24"/>
              </w:rPr>
              <w:t>.</w:t>
            </w:r>
            <w:r>
              <w:rPr>
                <w:rFonts w:ascii="Calibri" w:hAnsi="Calibri" w:cs="Calibri"/>
                <w:kern w:val="24"/>
                <w:sz w:val="24"/>
                <w:szCs w:val="24"/>
              </w:rPr>
              <w:t xml:space="preserve"> </w:t>
            </w:r>
          </w:p>
          <w:p w14:paraId="7324669F" w14:textId="77777777" w:rsidR="008D57B5" w:rsidRDefault="008D57B5" w:rsidP="008D57B5">
            <w:pPr>
              <w:autoSpaceDE w:val="0"/>
              <w:autoSpaceDN w:val="0"/>
              <w:adjustRightInd w:val="0"/>
              <w:spacing w:after="0" w:line="240" w:lineRule="auto"/>
              <w:rPr>
                <w:rFonts w:ascii="Calibri" w:hAnsi="Calibri" w:cs="Calibri"/>
                <w:kern w:val="24"/>
                <w:sz w:val="24"/>
                <w:szCs w:val="24"/>
              </w:rPr>
            </w:pPr>
          </w:p>
          <w:p w14:paraId="5D3F8205" w14:textId="3C2EC640" w:rsidR="003C2C2B" w:rsidRPr="00DC580D" w:rsidRDefault="008D57B5" w:rsidP="008D57B5">
            <w:pPr>
              <w:autoSpaceDE w:val="0"/>
              <w:autoSpaceDN w:val="0"/>
              <w:adjustRightInd w:val="0"/>
              <w:spacing w:after="0" w:line="240" w:lineRule="auto"/>
              <w:rPr>
                <w:rFonts w:cs="Calibri"/>
                <w:kern w:val="24"/>
                <w:sz w:val="24"/>
                <w:szCs w:val="24"/>
              </w:rPr>
            </w:pPr>
            <w:r>
              <w:rPr>
                <w:rFonts w:ascii="Calibri" w:hAnsi="Calibri" w:cs="Calibri"/>
                <w:kern w:val="24"/>
                <w:sz w:val="24"/>
                <w:szCs w:val="24"/>
              </w:rPr>
              <w:t>These are just a few of the strategies you can use to overcome barriers to CVC maintenance. We know you are balancing many priorities every day. Change is hard, and we need to find ways to make it easy to do the right thing. Give thoughtful consideration to what would work for you and your unit.</w:t>
            </w:r>
          </w:p>
        </w:tc>
        <w:tc>
          <w:tcPr>
            <w:tcW w:w="3240" w:type="dxa"/>
            <w:tcBorders>
              <w:top w:val="single" w:sz="4" w:space="0" w:color="auto"/>
              <w:left w:val="single" w:sz="4" w:space="0" w:color="auto"/>
              <w:bottom w:val="single" w:sz="4" w:space="0" w:color="auto"/>
              <w:right w:val="single" w:sz="4" w:space="0" w:color="auto"/>
            </w:tcBorders>
          </w:tcPr>
          <w:p w14:paraId="3410D935" w14:textId="77777777" w:rsidR="003C2C2B" w:rsidRDefault="003C2C2B" w:rsidP="003C2C2B">
            <w:r>
              <w:lastRenderedPageBreak/>
              <w:t>Slide 14</w:t>
            </w:r>
          </w:p>
          <w:p w14:paraId="74ED5B2F" w14:textId="747F9A5E" w:rsidR="003C2C2B" w:rsidRDefault="00FA7F7C" w:rsidP="003C2C2B">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BC73593" wp14:editId="5DED135D">
                  <wp:extent cx="1895475" cy="1466850"/>
                  <wp:effectExtent l="19050" t="19050" r="28575" b="1905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5475" cy="1466850"/>
                          </a:xfrm>
                          <a:prstGeom prst="rect">
                            <a:avLst/>
                          </a:prstGeom>
                          <a:noFill/>
                          <a:ln>
                            <a:solidFill>
                              <a:schemeClr val="tx1"/>
                            </a:solidFill>
                          </a:ln>
                        </pic:spPr>
                      </pic:pic>
                    </a:graphicData>
                  </a:graphic>
                </wp:inline>
              </w:drawing>
            </w:r>
          </w:p>
        </w:tc>
      </w:tr>
      <w:tr w:rsidR="008D57B5" w14:paraId="2BE97BA2" w14:textId="77777777" w:rsidTr="00512653">
        <w:trPr>
          <w:trHeight w:val="800"/>
        </w:trPr>
        <w:tc>
          <w:tcPr>
            <w:tcW w:w="6655" w:type="dxa"/>
            <w:tcBorders>
              <w:top w:val="single" w:sz="4" w:space="0" w:color="auto"/>
              <w:left w:val="single" w:sz="4" w:space="0" w:color="auto"/>
              <w:bottom w:val="single" w:sz="4" w:space="0" w:color="auto"/>
              <w:right w:val="single" w:sz="4" w:space="0" w:color="auto"/>
            </w:tcBorders>
          </w:tcPr>
          <w:p w14:paraId="0B77BE5A" w14:textId="67E324B4" w:rsidR="008D57B5" w:rsidRDefault="008D57B5" w:rsidP="008D57B5">
            <w:pPr>
              <w:autoSpaceDE w:val="0"/>
              <w:autoSpaceDN w:val="0"/>
              <w:adjustRightInd w:val="0"/>
              <w:spacing w:after="0" w:line="240" w:lineRule="auto"/>
              <w:rPr>
                <w:rFonts w:cstheme="minorHAnsi"/>
                <w:color w:val="212121"/>
                <w:sz w:val="24"/>
                <w:szCs w:val="24"/>
                <w:shd w:val="clear" w:color="auto" w:fill="FFFFFF"/>
              </w:rPr>
            </w:pPr>
            <w:r>
              <w:rPr>
                <w:rFonts w:ascii="Calibri" w:hAnsi="Calibri" w:cs="Calibri"/>
                <w:kern w:val="24"/>
                <w:sz w:val="24"/>
                <w:szCs w:val="24"/>
              </w:rPr>
              <w:t xml:space="preserve">Recommended maintenance strategies have been validated to reduce central line infections. The reference here is a large international meta-analysis of several </w:t>
            </w:r>
            <w:r w:rsidR="00394F55">
              <w:rPr>
                <w:rFonts w:ascii="Calibri" w:hAnsi="Calibri" w:cs="Calibri"/>
                <w:kern w:val="24"/>
                <w:sz w:val="24"/>
                <w:szCs w:val="24"/>
              </w:rPr>
              <w:t>i</w:t>
            </w:r>
            <w:r>
              <w:rPr>
                <w:rFonts w:ascii="Calibri" w:hAnsi="Calibri" w:cs="Calibri"/>
                <w:kern w:val="24"/>
                <w:sz w:val="24"/>
                <w:szCs w:val="24"/>
              </w:rPr>
              <w:t xml:space="preserve">ntensive </w:t>
            </w:r>
            <w:r w:rsidR="00394F55">
              <w:rPr>
                <w:rFonts w:ascii="Calibri" w:hAnsi="Calibri" w:cs="Calibri"/>
                <w:kern w:val="24"/>
                <w:sz w:val="24"/>
                <w:szCs w:val="24"/>
              </w:rPr>
              <w:t>c</w:t>
            </w:r>
            <w:r>
              <w:rPr>
                <w:rFonts w:ascii="Calibri" w:hAnsi="Calibri" w:cs="Calibri"/>
                <w:kern w:val="24"/>
                <w:sz w:val="24"/>
                <w:szCs w:val="24"/>
              </w:rPr>
              <w:t xml:space="preserve">are </w:t>
            </w:r>
            <w:r w:rsidR="00394F55">
              <w:rPr>
                <w:rFonts w:ascii="Calibri" w:hAnsi="Calibri" w:cs="Calibri"/>
                <w:kern w:val="24"/>
                <w:sz w:val="24"/>
                <w:szCs w:val="24"/>
              </w:rPr>
              <w:t>u</w:t>
            </w:r>
            <w:r>
              <w:rPr>
                <w:rFonts w:ascii="Calibri" w:hAnsi="Calibri" w:cs="Calibri"/>
                <w:kern w:val="24"/>
                <w:sz w:val="24"/>
                <w:szCs w:val="24"/>
              </w:rPr>
              <w:t>nits with patients of all ages. The study notes that a large number were from the United States</w:t>
            </w:r>
            <w:r w:rsidRPr="00CE5B85">
              <w:rPr>
                <w:rFonts w:ascii="Calibri" w:hAnsi="Calibri" w:cs="Calibri"/>
                <w:kern w:val="24"/>
                <w:sz w:val="24"/>
                <w:szCs w:val="24"/>
              </w:rPr>
              <w:t>.</w:t>
            </w:r>
            <w:r>
              <w:rPr>
                <w:rFonts w:ascii="Segoe UI" w:hAnsi="Segoe UI" w:cs="Segoe UI"/>
                <w:color w:val="212121"/>
                <w:sz w:val="24"/>
                <w:szCs w:val="24"/>
                <w:shd w:val="clear" w:color="auto" w:fill="FFFFFF"/>
              </w:rPr>
              <w:t xml:space="preserve"> </w:t>
            </w:r>
            <w:r w:rsidRPr="00CE5B85">
              <w:rPr>
                <w:rFonts w:cstheme="minorHAnsi"/>
                <w:color w:val="212121"/>
                <w:sz w:val="24"/>
                <w:szCs w:val="24"/>
                <w:shd w:val="clear" w:color="auto" w:fill="FFFFFF"/>
              </w:rPr>
              <w:t xml:space="preserve">In the meta-analysis the incidence of infections decreased significantly from </w:t>
            </w:r>
            <w:r w:rsidR="008D538D">
              <w:rPr>
                <w:rFonts w:cstheme="minorHAnsi"/>
                <w:color w:val="212121"/>
                <w:sz w:val="24"/>
                <w:szCs w:val="24"/>
                <w:shd w:val="clear" w:color="auto" w:fill="FFFFFF"/>
              </w:rPr>
              <w:t xml:space="preserve">a </w:t>
            </w:r>
            <w:r w:rsidRPr="00CE5B85">
              <w:rPr>
                <w:rFonts w:cstheme="minorHAnsi"/>
                <w:color w:val="212121"/>
                <w:sz w:val="24"/>
                <w:szCs w:val="24"/>
                <w:shd w:val="clear" w:color="auto" w:fill="FFFFFF"/>
              </w:rPr>
              <w:t xml:space="preserve">median </w:t>
            </w:r>
            <w:r w:rsidR="008D538D">
              <w:rPr>
                <w:rFonts w:cstheme="minorHAnsi"/>
                <w:color w:val="212121"/>
                <w:sz w:val="24"/>
                <w:szCs w:val="24"/>
                <w:shd w:val="clear" w:color="auto" w:fill="FFFFFF"/>
              </w:rPr>
              <w:t xml:space="preserve">of </w:t>
            </w:r>
            <w:r w:rsidRPr="00CE5B85">
              <w:rPr>
                <w:rFonts w:cstheme="minorHAnsi"/>
                <w:color w:val="212121"/>
                <w:sz w:val="24"/>
                <w:szCs w:val="24"/>
                <w:shd w:val="clear" w:color="auto" w:fill="FFFFFF"/>
              </w:rPr>
              <w:t>6</w:t>
            </w:r>
            <w:r>
              <w:rPr>
                <w:rFonts w:cstheme="minorHAnsi"/>
                <w:color w:val="212121"/>
                <w:sz w:val="24"/>
                <w:szCs w:val="24"/>
                <w:shd w:val="clear" w:color="auto" w:fill="FFFFFF"/>
              </w:rPr>
              <w:t>.</w:t>
            </w:r>
            <w:r w:rsidRPr="00CE5B85">
              <w:rPr>
                <w:rFonts w:cstheme="minorHAnsi"/>
                <w:color w:val="212121"/>
                <w:sz w:val="24"/>
                <w:szCs w:val="24"/>
                <w:shd w:val="clear" w:color="auto" w:fill="FFFFFF"/>
              </w:rPr>
              <w:t>4 per 1000 catheter-</w:t>
            </w:r>
            <w:r w:rsidRPr="001D1892">
              <w:rPr>
                <w:rFonts w:cstheme="minorHAnsi"/>
                <w:color w:val="212121"/>
                <w:sz w:val="24"/>
                <w:szCs w:val="24"/>
                <w:shd w:val="clear" w:color="auto" w:fill="FFFFFF"/>
              </w:rPr>
              <w:t>days (</w:t>
            </w:r>
            <w:r w:rsidR="00B848A2">
              <w:rPr>
                <w:rFonts w:cstheme="minorHAnsi"/>
                <w:color w:val="212121"/>
                <w:sz w:val="24"/>
                <w:szCs w:val="24"/>
                <w:shd w:val="clear" w:color="auto" w:fill="FFFFFF"/>
              </w:rPr>
              <w:t>interquartile range</w:t>
            </w:r>
            <w:r w:rsidRPr="001D1892">
              <w:rPr>
                <w:rFonts w:cstheme="minorHAnsi"/>
                <w:color w:val="212121"/>
                <w:sz w:val="24"/>
                <w:szCs w:val="24"/>
                <w:shd w:val="clear" w:color="auto" w:fill="FFFFFF"/>
              </w:rPr>
              <w:t xml:space="preserve"> 3</w:t>
            </w:r>
            <w:r>
              <w:rPr>
                <w:rFonts w:cstheme="minorHAnsi"/>
                <w:color w:val="212121"/>
                <w:sz w:val="24"/>
                <w:szCs w:val="24"/>
                <w:shd w:val="clear" w:color="auto" w:fill="FFFFFF"/>
              </w:rPr>
              <w:t>.</w:t>
            </w:r>
            <w:r w:rsidRPr="00CE5B85">
              <w:rPr>
                <w:rFonts w:cstheme="minorHAnsi"/>
                <w:color w:val="212121"/>
                <w:sz w:val="24"/>
                <w:szCs w:val="24"/>
                <w:shd w:val="clear" w:color="auto" w:fill="FFFFFF"/>
              </w:rPr>
              <w:t>8-10</w:t>
            </w:r>
            <w:r>
              <w:rPr>
                <w:rFonts w:cstheme="minorHAnsi"/>
                <w:color w:val="212121"/>
                <w:sz w:val="24"/>
                <w:szCs w:val="24"/>
                <w:shd w:val="clear" w:color="auto" w:fill="FFFFFF"/>
              </w:rPr>
              <w:t>.</w:t>
            </w:r>
            <w:r w:rsidRPr="00CE5B85">
              <w:rPr>
                <w:rFonts w:cstheme="minorHAnsi"/>
                <w:color w:val="212121"/>
                <w:sz w:val="24"/>
                <w:szCs w:val="24"/>
                <w:shd w:val="clear" w:color="auto" w:fill="FFFFFF"/>
              </w:rPr>
              <w:t>9) to 2</w:t>
            </w:r>
            <w:r>
              <w:rPr>
                <w:rFonts w:cstheme="minorHAnsi"/>
                <w:color w:val="212121"/>
                <w:sz w:val="24"/>
                <w:szCs w:val="24"/>
                <w:shd w:val="clear" w:color="auto" w:fill="FFFFFF"/>
              </w:rPr>
              <w:t>.</w:t>
            </w:r>
            <w:r w:rsidRPr="00CE5B85">
              <w:rPr>
                <w:rFonts w:cstheme="minorHAnsi"/>
                <w:color w:val="212121"/>
                <w:sz w:val="24"/>
                <w:szCs w:val="24"/>
                <w:shd w:val="clear" w:color="auto" w:fill="FFFFFF"/>
              </w:rPr>
              <w:t>5 per 1</w:t>
            </w:r>
            <w:r w:rsidR="00394F55">
              <w:rPr>
                <w:rFonts w:cstheme="minorHAnsi"/>
                <w:color w:val="212121"/>
                <w:sz w:val="24"/>
                <w:szCs w:val="24"/>
                <w:shd w:val="clear" w:color="auto" w:fill="FFFFFF"/>
              </w:rPr>
              <w:t>,</w:t>
            </w:r>
            <w:r w:rsidRPr="00CE5B85">
              <w:rPr>
                <w:rFonts w:cstheme="minorHAnsi"/>
                <w:color w:val="212121"/>
                <w:sz w:val="24"/>
                <w:szCs w:val="24"/>
                <w:shd w:val="clear" w:color="auto" w:fill="FFFFFF"/>
              </w:rPr>
              <w:t>000 catheter-days (1</w:t>
            </w:r>
            <w:r>
              <w:rPr>
                <w:rFonts w:cstheme="minorHAnsi"/>
                <w:color w:val="212121"/>
                <w:sz w:val="24"/>
                <w:szCs w:val="24"/>
                <w:shd w:val="clear" w:color="auto" w:fill="FFFFFF"/>
              </w:rPr>
              <w:t>.</w:t>
            </w:r>
            <w:r w:rsidRPr="00CE5B85">
              <w:rPr>
                <w:rFonts w:cstheme="minorHAnsi"/>
                <w:color w:val="212121"/>
                <w:sz w:val="24"/>
                <w:szCs w:val="24"/>
                <w:shd w:val="clear" w:color="auto" w:fill="FFFFFF"/>
              </w:rPr>
              <w:t>4</w:t>
            </w:r>
            <w:r w:rsidR="00394F55">
              <w:rPr>
                <w:rFonts w:cstheme="minorHAnsi"/>
                <w:color w:val="212121"/>
                <w:sz w:val="24"/>
                <w:szCs w:val="24"/>
                <w:shd w:val="clear" w:color="auto" w:fill="FFFFFF"/>
              </w:rPr>
              <w:t xml:space="preserve"> to </w:t>
            </w:r>
            <w:r w:rsidRPr="00CE5B85">
              <w:rPr>
                <w:rFonts w:cstheme="minorHAnsi"/>
                <w:color w:val="212121"/>
                <w:sz w:val="24"/>
                <w:szCs w:val="24"/>
                <w:shd w:val="clear" w:color="auto" w:fill="FFFFFF"/>
              </w:rPr>
              <w:t>4</w:t>
            </w:r>
            <w:r>
              <w:rPr>
                <w:rFonts w:cstheme="minorHAnsi"/>
                <w:color w:val="212121"/>
                <w:sz w:val="24"/>
                <w:szCs w:val="24"/>
                <w:shd w:val="clear" w:color="auto" w:fill="FFFFFF"/>
              </w:rPr>
              <w:t>.</w:t>
            </w:r>
            <w:r w:rsidRPr="00CE5B85">
              <w:rPr>
                <w:rFonts w:cstheme="minorHAnsi"/>
                <w:color w:val="212121"/>
                <w:sz w:val="24"/>
                <w:szCs w:val="24"/>
                <w:shd w:val="clear" w:color="auto" w:fill="FFFFFF"/>
              </w:rPr>
              <w:t>8) after implementation of bundles. Results were statistically significant</w:t>
            </w:r>
            <w:r>
              <w:rPr>
                <w:rFonts w:cstheme="minorHAnsi"/>
                <w:color w:val="212121"/>
                <w:sz w:val="24"/>
                <w:szCs w:val="24"/>
                <w:shd w:val="clear" w:color="auto" w:fill="FFFFFF"/>
              </w:rPr>
              <w:t>.</w:t>
            </w:r>
          </w:p>
          <w:p w14:paraId="0BCE4BD4" w14:textId="77777777" w:rsidR="008D57B5" w:rsidRPr="00CE5B85" w:rsidRDefault="008D57B5" w:rsidP="008D57B5">
            <w:pPr>
              <w:autoSpaceDE w:val="0"/>
              <w:autoSpaceDN w:val="0"/>
              <w:adjustRightInd w:val="0"/>
              <w:spacing w:after="0" w:line="240" w:lineRule="auto"/>
              <w:rPr>
                <w:rFonts w:ascii="Calibri" w:hAnsi="Calibri" w:cs="Calibri"/>
                <w:kern w:val="24"/>
                <w:sz w:val="24"/>
                <w:szCs w:val="24"/>
              </w:rPr>
            </w:pPr>
          </w:p>
          <w:p w14:paraId="387B8C3B" w14:textId="703E0A1C" w:rsidR="008D57B5" w:rsidRDefault="008D57B5" w:rsidP="008D57B5">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A second meta-analysis examined the impact of quality improvement interventions on central line bloodstream infections in adult intensive care units. They found that the implementation of checklists and bundles appeared the strongest risk reductions.</w:t>
            </w:r>
          </w:p>
        </w:tc>
        <w:tc>
          <w:tcPr>
            <w:tcW w:w="3240" w:type="dxa"/>
            <w:tcBorders>
              <w:top w:val="single" w:sz="4" w:space="0" w:color="auto"/>
              <w:left w:val="single" w:sz="4" w:space="0" w:color="auto"/>
              <w:bottom w:val="single" w:sz="4" w:space="0" w:color="auto"/>
              <w:right w:val="single" w:sz="4" w:space="0" w:color="auto"/>
            </w:tcBorders>
          </w:tcPr>
          <w:p w14:paraId="32E7D9B5" w14:textId="00B2E545" w:rsidR="008D57B5" w:rsidRDefault="008D57B5" w:rsidP="003C2C2B">
            <w:r>
              <w:t>Slide 15</w:t>
            </w:r>
          </w:p>
          <w:p w14:paraId="6A124009" w14:textId="17E5FA72" w:rsidR="008D57B5" w:rsidRDefault="008D57B5" w:rsidP="003C2C2B">
            <w:r>
              <w:rPr>
                <w:noProof/>
              </w:rPr>
              <w:drawing>
                <wp:inline distT="0" distB="0" distL="0" distR="0" wp14:anchorId="6CC593FE" wp14:editId="272F69AD">
                  <wp:extent cx="1885950" cy="1452506"/>
                  <wp:effectExtent l="19050" t="19050" r="19050" b="1460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33"/>
                          <a:stretch>
                            <a:fillRect/>
                          </a:stretch>
                        </pic:blipFill>
                        <pic:spPr>
                          <a:xfrm>
                            <a:off x="0" y="0"/>
                            <a:ext cx="1889303" cy="1455088"/>
                          </a:xfrm>
                          <a:prstGeom prst="rect">
                            <a:avLst/>
                          </a:prstGeom>
                          <a:ln>
                            <a:solidFill>
                              <a:schemeClr val="tx1"/>
                            </a:solidFill>
                          </a:ln>
                        </pic:spPr>
                      </pic:pic>
                    </a:graphicData>
                  </a:graphic>
                </wp:inline>
              </w:drawing>
            </w:r>
          </w:p>
          <w:p w14:paraId="76BF81F5" w14:textId="0F971AB2" w:rsidR="008D57B5" w:rsidRDefault="008D57B5" w:rsidP="003C2C2B"/>
        </w:tc>
      </w:tr>
      <w:tr w:rsidR="008D57B5" w14:paraId="175E5E8F" w14:textId="77777777" w:rsidTr="00512653">
        <w:trPr>
          <w:trHeight w:val="800"/>
        </w:trPr>
        <w:tc>
          <w:tcPr>
            <w:tcW w:w="6655" w:type="dxa"/>
            <w:tcBorders>
              <w:top w:val="single" w:sz="4" w:space="0" w:color="auto"/>
              <w:left w:val="single" w:sz="4" w:space="0" w:color="auto"/>
              <w:bottom w:val="single" w:sz="4" w:space="0" w:color="auto"/>
              <w:right w:val="single" w:sz="4" w:space="0" w:color="auto"/>
            </w:tcBorders>
          </w:tcPr>
          <w:p w14:paraId="087DE83E" w14:textId="77777777" w:rsidR="008D57B5" w:rsidRDefault="008D57B5" w:rsidP="008D57B5">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The following are the summary points from this module:</w:t>
            </w:r>
          </w:p>
          <w:p w14:paraId="61433D4E" w14:textId="77777777" w:rsidR="008D57B5" w:rsidRDefault="008D57B5" w:rsidP="008D57B5">
            <w:pPr>
              <w:autoSpaceDE w:val="0"/>
              <w:autoSpaceDN w:val="0"/>
              <w:adjustRightInd w:val="0"/>
              <w:spacing w:after="0" w:line="240" w:lineRule="auto"/>
              <w:rPr>
                <w:rFonts w:ascii="Calibri" w:hAnsi="Calibri" w:cs="Calibri"/>
                <w:kern w:val="24"/>
                <w:sz w:val="24"/>
                <w:szCs w:val="24"/>
              </w:rPr>
            </w:pPr>
          </w:p>
          <w:p w14:paraId="6B93CEAC" w14:textId="77777777" w:rsidR="008D57B5" w:rsidRDefault="008D57B5" w:rsidP="008D57B5">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To help facilitate the consistent implementation of the maintenance bundle elements, checklists can be used to guide clinicians in the appropriate processes to follow. These key processes include reducing unnecessary access to the central venous catheters, appropriate assessment and dressing change procedures, and CHG bathing and proper maintenance of central line tubing and access ports. And remember, it’s really important to perform proper hand hygiene prior to accessing a central line, and be sure to “scrub the hub.”</w:t>
            </w:r>
          </w:p>
          <w:p w14:paraId="206C878F" w14:textId="77777777" w:rsidR="008D57B5" w:rsidRDefault="008D57B5" w:rsidP="008D57B5">
            <w:pPr>
              <w:autoSpaceDE w:val="0"/>
              <w:autoSpaceDN w:val="0"/>
              <w:adjustRightInd w:val="0"/>
              <w:spacing w:after="0" w:line="240" w:lineRule="auto"/>
              <w:rPr>
                <w:rFonts w:ascii="Calibri" w:hAnsi="Calibri" w:cs="Calibri"/>
                <w:kern w:val="24"/>
                <w:sz w:val="24"/>
                <w:szCs w:val="24"/>
              </w:rPr>
            </w:pPr>
          </w:p>
          <w:p w14:paraId="7A540477" w14:textId="1716C94A" w:rsidR="008D57B5" w:rsidRDefault="008D57B5" w:rsidP="008D57B5">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Units should review possible barriers to implementation of these important maintenance bundle elements and apply solutions that will improve consistent application and outcomes. Finally, begin to identify solutions by using a quality improvement cycle such as Plan-Do-Study-Act.</w:t>
            </w:r>
          </w:p>
        </w:tc>
        <w:tc>
          <w:tcPr>
            <w:tcW w:w="3240" w:type="dxa"/>
            <w:tcBorders>
              <w:top w:val="single" w:sz="4" w:space="0" w:color="auto"/>
              <w:left w:val="single" w:sz="4" w:space="0" w:color="auto"/>
              <w:bottom w:val="single" w:sz="4" w:space="0" w:color="auto"/>
              <w:right w:val="single" w:sz="4" w:space="0" w:color="auto"/>
            </w:tcBorders>
          </w:tcPr>
          <w:p w14:paraId="6DB16B57" w14:textId="77777777" w:rsidR="008D57B5" w:rsidRDefault="008D57B5" w:rsidP="003C2C2B">
            <w:r>
              <w:t>Slide 16</w:t>
            </w:r>
          </w:p>
          <w:p w14:paraId="043C4637" w14:textId="21D4FB8C" w:rsidR="008D57B5" w:rsidRDefault="00A6013D" w:rsidP="003C2C2B">
            <w:r>
              <w:rPr>
                <w:noProof/>
              </w:rPr>
              <w:drawing>
                <wp:inline distT="0" distB="0" distL="0" distR="0" wp14:anchorId="7C9C4CA6" wp14:editId="4452A01A">
                  <wp:extent cx="1895475" cy="1466850"/>
                  <wp:effectExtent l="19050" t="19050" r="28575" b="1905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95475" cy="1466850"/>
                          </a:xfrm>
                          <a:prstGeom prst="rect">
                            <a:avLst/>
                          </a:prstGeom>
                          <a:noFill/>
                          <a:ln>
                            <a:solidFill>
                              <a:schemeClr val="tx1"/>
                            </a:solidFill>
                          </a:ln>
                        </pic:spPr>
                      </pic:pic>
                    </a:graphicData>
                  </a:graphic>
                </wp:inline>
              </w:drawing>
            </w:r>
          </w:p>
        </w:tc>
      </w:tr>
      <w:tr w:rsidR="008D57B5" w14:paraId="073837B2" w14:textId="77777777" w:rsidTr="004676C7">
        <w:trPr>
          <w:trHeight w:val="50"/>
        </w:trPr>
        <w:tc>
          <w:tcPr>
            <w:tcW w:w="6655" w:type="dxa"/>
            <w:tcBorders>
              <w:top w:val="single" w:sz="4" w:space="0" w:color="auto"/>
              <w:left w:val="single" w:sz="4" w:space="0" w:color="auto"/>
              <w:bottom w:val="single" w:sz="4" w:space="0" w:color="auto"/>
              <w:right w:val="single" w:sz="4" w:space="0" w:color="auto"/>
            </w:tcBorders>
          </w:tcPr>
          <w:p w14:paraId="04953198" w14:textId="77777777" w:rsidR="008D57B5" w:rsidRDefault="008D57B5" w:rsidP="008D57B5">
            <w:pPr>
              <w:autoSpaceDE w:val="0"/>
              <w:autoSpaceDN w:val="0"/>
              <w:adjustRightInd w:val="0"/>
              <w:spacing w:after="0" w:line="240" w:lineRule="auto"/>
              <w:rPr>
                <w:rFonts w:ascii="Calibri" w:hAnsi="Calibri" w:cs="Calibri"/>
                <w:kern w:val="24"/>
                <w:sz w:val="24"/>
                <w:szCs w:val="24"/>
              </w:rPr>
            </w:pPr>
          </w:p>
        </w:tc>
        <w:tc>
          <w:tcPr>
            <w:tcW w:w="3240" w:type="dxa"/>
            <w:tcBorders>
              <w:top w:val="single" w:sz="4" w:space="0" w:color="auto"/>
              <w:left w:val="single" w:sz="4" w:space="0" w:color="auto"/>
              <w:bottom w:val="single" w:sz="4" w:space="0" w:color="auto"/>
              <w:right w:val="single" w:sz="4" w:space="0" w:color="auto"/>
            </w:tcBorders>
          </w:tcPr>
          <w:p w14:paraId="59F1743C" w14:textId="77777777" w:rsidR="008D57B5" w:rsidRDefault="008D57B5" w:rsidP="003C2C2B">
            <w:r>
              <w:t>Slide 17</w:t>
            </w:r>
          </w:p>
          <w:p w14:paraId="6A9C3F60" w14:textId="128132B9" w:rsidR="008D57B5" w:rsidRDefault="008D57B5" w:rsidP="00EF0F0E">
            <w:pPr>
              <w:spacing w:after="120" w:line="240" w:lineRule="auto"/>
            </w:pPr>
            <w:r>
              <w:rPr>
                <w:noProof/>
              </w:rPr>
              <w:lastRenderedPageBreak/>
              <w:drawing>
                <wp:inline distT="0" distB="0" distL="0" distR="0" wp14:anchorId="01839FD4" wp14:editId="30D4E592">
                  <wp:extent cx="1886319" cy="1447800"/>
                  <wp:effectExtent l="19050" t="19050" r="19050" b="1905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5"/>
                          <a:stretch>
                            <a:fillRect/>
                          </a:stretch>
                        </pic:blipFill>
                        <pic:spPr>
                          <a:xfrm>
                            <a:off x="0" y="0"/>
                            <a:ext cx="1887057" cy="1448367"/>
                          </a:xfrm>
                          <a:prstGeom prst="rect">
                            <a:avLst/>
                          </a:prstGeom>
                          <a:ln>
                            <a:solidFill>
                              <a:schemeClr val="tx1"/>
                            </a:solidFill>
                          </a:ln>
                        </pic:spPr>
                      </pic:pic>
                    </a:graphicData>
                  </a:graphic>
                </wp:inline>
              </w:drawing>
            </w:r>
          </w:p>
        </w:tc>
      </w:tr>
      <w:tr w:rsidR="008D57B5" w14:paraId="35A01982" w14:textId="77777777" w:rsidTr="00512653">
        <w:trPr>
          <w:trHeight w:val="800"/>
        </w:trPr>
        <w:tc>
          <w:tcPr>
            <w:tcW w:w="6655" w:type="dxa"/>
            <w:tcBorders>
              <w:top w:val="single" w:sz="4" w:space="0" w:color="auto"/>
              <w:left w:val="single" w:sz="4" w:space="0" w:color="auto"/>
              <w:bottom w:val="single" w:sz="4" w:space="0" w:color="auto"/>
              <w:right w:val="single" w:sz="4" w:space="0" w:color="auto"/>
            </w:tcBorders>
          </w:tcPr>
          <w:p w14:paraId="09EBA2EB" w14:textId="77777777" w:rsidR="008D57B5" w:rsidRDefault="008D57B5" w:rsidP="008D57B5">
            <w:pPr>
              <w:autoSpaceDE w:val="0"/>
              <w:autoSpaceDN w:val="0"/>
              <w:adjustRightInd w:val="0"/>
              <w:spacing w:after="0" w:line="240" w:lineRule="auto"/>
              <w:rPr>
                <w:rFonts w:ascii="Calibri" w:hAnsi="Calibri" w:cs="Calibri"/>
                <w:kern w:val="24"/>
                <w:sz w:val="24"/>
                <w:szCs w:val="24"/>
              </w:rPr>
            </w:pPr>
          </w:p>
        </w:tc>
        <w:tc>
          <w:tcPr>
            <w:tcW w:w="3240" w:type="dxa"/>
            <w:tcBorders>
              <w:top w:val="single" w:sz="4" w:space="0" w:color="auto"/>
              <w:left w:val="single" w:sz="4" w:space="0" w:color="auto"/>
              <w:bottom w:val="single" w:sz="4" w:space="0" w:color="auto"/>
              <w:right w:val="single" w:sz="4" w:space="0" w:color="auto"/>
            </w:tcBorders>
          </w:tcPr>
          <w:p w14:paraId="33FF47AD" w14:textId="77777777" w:rsidR="008D57B5" w:rsidRDefault="008D57B5" w:rsidP="003C2C2B">
            <w:r>
              <w:t>Slide 18</w:t>
            </w:r>
          </w:p>
          <w:p w14:paraId="2FD5BC28" w14:textId="3EFC8EF2" w:rsidR="008D57B5" w:rsidRDefault="008D57B5" w:rsidP="00EF0F0E">
            <w:pPr>
              <w:spacing w:after="120" w:line="240" w:lineRule="auto"/>
            </w:pPr>
            <w:r>
              <w:rPr>
                <w:noProof/>
              </w:rPr>
              <w:drawing>
                <wp:inline distT="0" distB="0" distL="0" distR="0" wp14:anchorId="7A04AAD5" wp14:editId="7277DE50">
                  <wp:extent cx="1885950" cy="1464979"/>
                  <wp:effectExtent l="19050" t="19050" r="19050" b="2095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36"/>
                          <a:stretch>
                            <a:fillRect/>
                          </a:stretch>
                        </pic:blipFill>
                        <pic:spPr>
                          <a:xfrm>
                            <a:off x="0" y="0"/>
                            <a:ext cx="1886147" cy="1465132"/>
                          </a:xfrm>
                          <a:prstGeom prst="rect">
                            <a:avLst/>
                          </a:prstGeom>
                          <a:ln>
                            <a:solidFill>
                              <a:schemeClr val="tx1"/>
                            </a:solidFill>
                          </a:ln>
                        </pic:spPr>
                      </pic:pic>
                    </a:graphicData>
                  </a:graphic>
                </wp:inline>
              </w:drawing>
            </w:r>
          </w:p>
        </w:tc>
      </w:tr>
    </w:tbl>
    <w:p w14:paraId="0BEF3BB6" w14:textId="42190F80" w:rsidR="006C26D8" w:rsidRDefault="00EF0F0E" w:rsidP="00EF0F0E">
      <w:pPr>
        <w:spacing w:before="6000" w:after="0" w:line="240" w:lineRule="auto"/>
        <w:jc w:val="right"/>
      </w:pPr>
      <w:r>
        <w:t>AHRQ Pub. No. 17(22)-0019</w:t>
      </w:r>
    </w:p>
    <w:p w14:paraId="56748022" w14:textId="7B2FFAD4" w:rsidR="00EF0F0E" w:rsidRPr="00EF0F0E" w:rsidRDefault="00EF0F0E" w:rsidP="00EF0F0E">
      <w:pPr>
        <w:spacing w:after="0" w:line="240" w:lineRule="auto"/>
        <w:jc w:val="right"/>
      </w:pPr>
      <w:r>
        <w:t>April 2022</w:t>
      </w:r>
    </w:p>
    <w:sectPr w:rsidR="00EF0F0E" w:rsidRPr="00EF0F0E" w:rsidSect="00EF0F0E">
      <w:headerReference w:type="first" r:id="rId37"/>
      <w:footerReference w:type="first" r:id="rId38"/>
      <w:pgSz w:w="12240" w:h="15840"/>
      <w:pgMar w:top="1440" w:right="900" w:bottom="1440" w:left="1440" w:header="0"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B88BC" w14:textId="77777777" w:rsidR="0076769A" w:rsidRDefault="0076769A" w:rsidP="00E32D5F">
      <w:pPr>
        <w:spacing w:after="0" w:line="240" w:lineRule="auto"/>
      </w:pPr>
      <w:r>
        <w:separator/>
      </w:r>
    </w:p>
  </w:endnote>
  <w:endnote w:type="continuationSeparator" w:id="0">
    <w:p w14:paraId="157CA4E9" w14:textId="77777777" w:rsidR="0076769A" w:rsidRDefault="0076769A"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502824"/>
      <w:docPartObj>
        <w:docPartGallery w:val="Page Numbers (Bottom of Page)"/>
        <w:docPartUnique/>
      </w:docPartObj>
    </w:sdtPr>
    <w:sdtEndPr>
      <w:rPr>
        <w:rStyle w:val="PageNumber"/>
      </w:rPr>
    </w:sdtEndPr>
    <w:sdtContent>
      <w:p w14:paraId="070785F0" w14:textId="020BBBBA" w:rsidR="00322F3A" w:rsidRDefault="00322F3A" w:rsidP="003B0B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D14A34" w14:textId="77777777" w:rsidR="00322F3A" w:rsidRDefault="00322F3A" w:rsidP="00D627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1FEB" w14:textId="24754C71" w:rsidR="00322F3A" w:rsidRDefault="00322F3A" w:rsidP="00DC580D">
    <w:pPr>
      <w:pStyle w:val="Footer"/>
      <w:framePr w:w="3125" w:h="316" w:hRule="exact" w:wrap="none" w:vAnchor="text" w:hAnchor="page" w:x="9371" w:y="-392"/>
      <w:rPr>
        <w:rStyle w:val="PageNumber"/>
      </w:rPr>
    </w:pPr>
    <w:r>
      <w:rPr>
        <w:rStyle w:val="PageNumber"/>
      </w:rPr>
      <w:t xml:space="preserve">             CVC Maintenance     </w:t>
    </w:r>
    <w:sdt>
      <w:sdtPr>
        <w:rPr>
          <w:rStyle w:val="PageNumber"/>
        </w:rPr>
        <w:id w:val="1520426146"/>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sidR="00383863">
          <w:rPr>
            <w:rStyle w:val="PageNumber"/>
            <w:noProof/>
          </w:rPr>
          <w:t>8</w:t>
        </w:r>
        <w:r>
          <w:rPr>
            <w:rStyle w:val="PageNumber"/>
          </w:rPr>
          <w:fldChar w:fldCharType="end"/>
        </w:r>
      </w:sdtContent>
    </w:sdt>
  </w:p>
  <w:p w14:paraId="715CF71A" w14:textId="2CAEEA02" w:rsidR="00322F3A" w:rsidRDefault="00322F3A" w:rsidP="003B0B26">
    <w:pPr>
      <w:pStyle w:val="Footer"/>
      <w:framePr w:w="6166" w:wrap="none" w:vAnchor="text" w:hAnchor="page" w:x="571" w:y="-779"/>
      <w:ind w:right="36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0DA1" w14:textId="77777777" w:rsidR="00322F3A" w:rsidRDefault="00322F3A">
    <w:pPr>
      <w:pStyle w:val="Footer"/>
    </w:pPr>
    <w:r>
      <w:rPr>
        <w:noProof/>
      </w:rPr>
      <w:drawing>
        <wp:anchor distT="0" distB="0" distL="114300" distR="114300" simplePos="0" relativeHeight="251661312" behindDoc="1" locked="0" layoutInCell="1" allowOverlap="1" wp14:anchorId="0A4CB49E" wp14:editId="592B76F8">
          <wp:simplePos x="0" y="0"/>
          <wp:positionH relativeFrom="page">
            <wp:align>right</wp:align>
          </wp:positionH>
          <wp:positionV relativeFrom="paragraph">
            <wp:posOffset>-660400</wp:posOffset>
          </wp:positionV>
          <wp:extent cx="7773035" cy="822960"/>
          <wp:effectExtent l="0" t="0" r="0" b="0"/>
          <wp:wrapNone/>
          <wp:docPr id="12" name="Picture 12" descr="USA Department of Health &amp; Human Services, AHRQ: Agency for Healthcare Research and Quality, C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USA Department of Health &amp; Human Services, AHRQ: Agency for Healthcare Research and Quality, CU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822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3273001"/>
      <w:docPartObj>
        <w:docPartGallery w:val="Page Numbers (Bottom of Page)"/>
        <w:docPartUnique/>
      </w:docPartObj>
    </w:sdtPr>
    <w:sdtEndPr>
      <w:rPr>
        <w:rStyle w:val="PageNumber"/>
      </w:rPr>
    </w:sdtEndPr>
    <w:sdtContent>
      <w:p w14:paraId="6751C7C4" w14:textId="24369EE9" w:rsidR="00322F3A" w:rsidRDefault="00322F3A" w:rsidP="000E00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0FACBF" w14:textId="087001F8" w:rsidR="00322F3A" w:rsidRDefault="00322F3A" w:rsidP="00EC3394">
    <w:pPr>
      <w:pStyle w:val="Footer"/>
      <w:ind w:right="360"/>
    </w:pPr>
    <w:r>
      <w:rPr>
        <w:noProof/>
      </w:rPr>
      <mc:AlternateContent>
        <mc:Choice Requires="wps">
          <w:drawing>
            <wp:anchor distT="0" distB="0" distL="114300" distR="114300" simplePos="0" relativeHeight="251682816" behindDoc="0" locked="0" layoutInCell="1" allowOverlap="1" wp14:anchorId="3DE1F711" wp14:editId="4C084DC0">
              <wp:simplePos x="0" y="0"/>
              <wp:positionH relativeFrom="column">
                <wp:posOffset>-718820</wp:posOffset>
              </wp:positionH>
              <wp:positionV relativeFrom="paragraph">
                <wp:posOffset>-120015</wp:posOffset>
              </wp:positionV>
              <wp:extent cx="3474720" cy="170180"/>
              <wp:effectExtent l="0" t="0" r="5080" b="7620"/>
              <wp:wrapNone/>
              <wp:docPr id="18" name="Text Box 18"/>
              <wp:cNvGraphicFramePr/>
              <a:graphic xmlns:a="http://schemas.openxmlformats.org/drawingml/2006/main">
                <a:graphicData uri="http://schemas.microsoft.com/office/word/2010/wordprocessingShape">
                  <wps:wsp>
                    <wps:cNvSpPr txBox="1"/>
                    <wps:spPr>
                      <a:xfrm>
                        <a:off x="0" y="0"/>
                        <a:ext cx="3474720" cy="170180"/>
                      </a:xfrm>
                      <a:prstGeom prst="rect">
                        <a:avLst/>
                      </a:prstGeom>
                      <a:noFill/>
                      <a:ln w="6350">
                        <a:noFill/>
                      </a:ln>
                    </wps:spPr>
                    <wps:txbx>
                      <w:txbxContent>
                        <w:p w14:paraId="6AD49087" w14:textId="348CB3DB" w:rsidR="00322F3A" w:rsidRPr="00740E65" w:rsidRDefault="00322F3A">
                          <w:pPr>
                            <w:rPr>
                              <w:rFonts w:cstheme="minorHAnsi"/>
                            </w:rPr>
                          </w:pPr>
                          <w:r w:rsidRPr="00740E65">
                            <w:rPr>
                              <w:rFonts w:cstheme="minorHAnsi"/>
                            </w:rPr>
                            <w:t>AHRQ Safety Program for ICUs: Preventing CLABSI and CAUTI</w:t>
                          </w:r>
                        </w:p>
                        <w:p w14:paraId="4A33BE52" w14:textId="77777777" w:rsidR="00322F3A" w:rsidRDefault="00322F3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E1F711" id="_x0000_t202" coordsize="21600,21600" o:spt="202" path="m,l,21600r21600,l21600,xe">
              <v:stroke joinstyle="miter"/>
              <v:path gradientshapeok="t" o:connecttype="rect"/>
            </v:shapetype>
            <v:shape id="Text Box 18" o:spid="_x0000_s1028" type="#_x0000_t202" style="position:absolute;margin-left:-56.6pt;margin-top:-9.45pt;width:273.6pt;height:13.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" filled="f" stroked="f" strokeweight=".5pt">
              <v:textbox inset="0,0,0,0">
                <w:txbxContent>
                  <w:p w14:paraId="6AD49087" w14:textId="348CB3DB" w:rsidR="00322F3A" w:rsidRPr="00740E65" w:rsidRDefault="00322F3A">
                    <w:pPr>
                      <w:rPr>
                        <w:rFonts w:cstheme="minorHAnsi"/>
                      </w:rPr>
                    </w:pPr>
                    <w:r w:rsidRPr="00740E65">
                      <w:rPr>
                        <w:rFonts w:cstheme="minorHAnsi"/>
                      </w:rPr>
                      <w:t>AHRQ Safety Program for ICUs: Preventing CLABSI and CAUTI</w:t>
                    </w:r>
                  </w:p>
                  <w:p w14:paraId="4A33BE52" w14:textId="77777777" w:rsidR="00322F3A" w:rsidRDefault="00322F3A"/>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261E285" wp14:editId="64817E95">
              <wp:simplePos x="0" y="0"/>
              <wp:positionH relativeFrom="column">
                <wp:posOffset>6533618</wp:posOffset>
              </wp:positionH>
              <wp:positionV relativeFrom="paragraph">
                <wp:posOffset>70251</wp:posOffset>
              </wp:positionV>
              <wp:extent cx="244773" cy="183902"/>
              <wp:effectExtent l="0" t="0" r="0" b="6985"/>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4773" cy="183902"/>
                      </a:xfrm>
                      <a:prstGeom prst="rect">
                        <a:avLst/>
                      </a:prstGeom>
                      <a:noFill/>
                      <a:ln w="6350">
                        <a:noFill/>
                      </a:ln>
                    </wps:spPr>
                    <wps:txbx>
                      <w:txbxContent>
                        <w:p w14:paraId="6BAE6045" w14:textId="6AA9C1BB" w:rsidR="00322F3A" w:rsidRPr="00C7432E" w:rsidRDefault="00322F3A" w:rsidP="00C7432E">
                          <w:pPr>
                            <w:jc w:val="right"/>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61E285" id="Text Box 16" o:spid="_x0000_s1029" type="#_x0000_t202" alt="&quot;&quot;" style="position:absolute;margin-left:514.45pt;margin-top:5.55pt;width:19.25pt;height:14.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" filled="f" stroked="f" strokeweight=".5pt">
              <v:textbox inset="0,0,0,0">
                <w:txbxContent>
                  <w:p w14:paraId="6BAE6045" w14:textId="6AA9C1BB" w:rsidR="00322F3A" w:rsidRPr="00C7432E" w:rsidRDefault="00322F3A" w:rsidP="00C7432E">
                    <w:pPr>
                      <w:jc w:val="right"/>
                      <w:rPr>
                        <w:sz w:val="20"/>
                        <w:szCs w:val="20"/>
                      </w:rPr>
                    </w:pPr>
                  </w:p>
                </w:txbxContent>
              </v:textbox>
            </v:shape>
          </w:pict>
        </mc:Fallback>
      </mc:AlternateContent>
    </w:r>
  </w:p>
  <w:p w14:paraId="4B811C7F" w14:textId="3AE3A797" w:rsidR="00322F3A" w:rsidRDefault="0032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02022" w14:textId="77777777" w:rsidR="0076769A" w:rsidRDefault="0076769A" w:rsidP="00E32D5F">
      <w:pPr>
        <w:spacing w:after="0" w:line="240" w:lineRule="auto"/>
      </w:pPr>
      <w:r>
        <w:separator/>
      </w:r>
    </w:p>
  </w:footnote>
  <w:footnote w:type="continuationSeparator" w:id="0">
    <w:p w14:paraId="0FD41893" w14:textId="77777777" w:rsidR="0076769A" w:rsidRDefault="0076769A" w:rsidP="00E32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5133564"/>
      <w:docPartObj>
        <w:docPartGallery w:val="Page Numbers (Top of Page)"/>
        <w:docPartUnique/>
      </w:docPartObj>
    </w:sdtPr>
    <w:sdtEndPr>
      <w:rPr>
        <w:rStyle w:val="PageNumber"/>
      </w:rPr>
    </w:sdtEndPr>
    <w:sdtContent>
      <w:p w14:paraId="6D541BE7" w14:textId="2017D807" w:rsidR="00322F3A" w:rsidRDefault="00322F3A" w:rsidP="000E00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4C24B3" w14:textId="77777777" w:rsidR="00322F3A" w:rsidRDefault="00322F3A" w:rsidP="00D476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F485" w14:textId="77777777" w:rsidR="00322F3A" w:rsidRDefault="00322F3A" w:rsidP="00D47649">
    <w:pPr>
      <w:pStyle w:val="Header"/>
      <w:ind w:right="360"/>
    </w:pPr>
  </w:p>
  <w:p w14:paraId="425A84E2" w14:textId="77777777" w:rsidR="00322F3A" w:rsidRDefault="00322F3A">
    <w:pPr>
      <w:pStyle w:val="Header"/>
    </w:pPr>
  </w:p>
  <w:p w14:paraId="25A8A19A" w14:textId="77777777" w:rsidR="00322F3A" w:rsidRDefault="00322F3A">
    <w:pPr>
      <w:pStyle w:val="Header"/>
    </w:pPr>
  </w:p>
  <w:p w14:paraId="514C6012" w14:textId="77777777" w:rsidR="00322F3A" w:rsidRDefault="00322F3A">
    <w:pPr>
      <w:pStyle w:val="Header"/>
    </w:pPr>
  </w:p>
  <w:p w14:paraId="7A0E652F" w14:textId="4EA4E6A9" w:rsidR="00322F3A" w:rsidRDefault="00322F3A">
    <w:pPr>
      <w:pStyle w:val="Header"/>
    </w:pPr>
    <w:r>
      <w:rPr>
        <w:noProof/>
      </w:rPr>
      <w:drawing>
        <wp:anchor distT="0" distB="0" distL="114300" distR="114300" simplePos="0" relativeHeight="251683840" behindDoc="1" locked="0" layoutInCell="1" allowOverlap="1" wp14:anchorId="7540FCB4" wp14:editId="56E1F491">
          <wp:simplePos x="0" y="0"/>
          <wp:positionH relativeFrom="column">
            <wp:posOffset>3778687</wp:posOffset>
          </wp:positionH>
          <wp:positionV relativeFrom="paragraph">
            <wp:posOffset>8806180</wp:posOffset>
          </wp:positionV>
          <wp:extent cx="3289300" cy="7620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89300" cy="762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5C35CFFB" wp14:editId="2826ADA2">
              <wp:simplePos x="0" y="0"/>
              <wp:positionH relativeFrom="column">
                <wp:posOffset>-701675</wp:posOffset>
              </wp:positionH>
              <wp:positionV relativeFrom="paragraph">
                <wp:posOffset>8919210</wp:posOffset>
              </wp:positionV>
              <wp:extent cx="3933825" cy="323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933825" cy="323850"/>
                      </a:xfrm>
                      <a:prstGeom prst="rect">
                        <a:avLst/>
                      </a:prstGeom>
                      <a:noFill/>
                      <a:ln w="6350">
                        <a:noFill/>
                      </a:ln>
                    </wps:spPr>
                    <wps:txbx>
                      <w:txbxContent>
                        <w:p w14:paraId="0A958010" w14:textId="44EFB4F6" w:rsidR="00322F3A" w:rsidRDefault="00322F3A">
                          <w:r>
                            <w:t>AHRQ Safety Program for ICUs: Preventing CLABSI and CAUTI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35CFFB" id="_x0000_t202" coordsize="21600,21600" o:spt="202" path="m,l,21600r21600,l21600,xe">
              <v:stroke joinstyle="miter"/>
              <v:path gradientshapeok="t" o:connecttype="rect"/>
            </v:shapetype>
            <v:shape id="Text Box 24" o:spid="_x0000_s1026" type="#_x0000_t202" style="position:absolute;margin-left:-55.25pt;margin-top:702.3pt;width:30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" filled="f" stroked="f" strokeweight=".5pt">
              <v:textbox>
                <w:txbxContent>
                  <w:p w14:paraId="0A958010" w14:textId="44EFB4F6" w:rsidR="00322F3A" w:rsidRDefault="00322F3A">
                    <w:r>
                      <w:t>AHRQ Safety Program for ICUs: Preventing CLABSI and CAUTI</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E13F" w14:textId="2CAE382F" w:rsidR="00322F3A" w:rsidRDefault="00322F3A">
    <w:pPr>
      <w:pStyle w:val="Header"/>
    </w:pPr>
    <w:r>
      <w:rPr>
        <w:noProof/>
      </w:rPr>
      <mc:AlternateContent>
        <mc:Choice Requires="wps">
          <w:drawing>
            <wp:anchor distT="45720" distB="45720" distL="114300" distR="114300" simplePos="0" relativeHeight="251675648" behindDoc="0" locked="0" layoutInCell="1" allowOverlap="1" wp14:anchorId="32AE3F89" wp14:editId="4C1C1445">
              <wp:simplePos x="0" y="0"/>
              <wp:positionH relativeFrom="page">
                <wp:posOffset>1570990</wp:posOffset>
              </wp:positionH>
              <wp:positionV relativeFrom="paragraph">
                <wp:posOffset>76200</wp:posOffset>
              </wp:positionV>
              <wp:extent cx="6106160" cy="1404620"/>
              <wp:effectExtent l="0" t="0" r="0" b="2540"/>
              <wp:wrapSquare wrapText="bothSides"/>
              <wp:docPr id="2" name="Text Box 2" descr="Prevent HAIs&#10;Healthcare-Associated Infect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404620"/>
                      </a:xfrm>
                      <a:prstGeom prst="rect">
                        <a:avLst/>
                      </a:prstGeom>
                      <a:noFill/>
                      <a:ln w="9525">
                        <a:noFill/>
                        <a:miter lim="800000"/>
                        <a:headEnd/>
                        <a:tailEnd/>
                      </a:ln>
                    </wps:spPr>
                    <wps:txbx>
                      <w:txbxContent>
                        <w:p w14:paraId="7C8DD928" w14:textId="6DE023A3" w:rsidR="00322F3A" w:rsidRPr="00ED16F2" w:rsidRDefault="00322F3A" w:rsidP="00ED16F2">
                          <w:pPr>
                            <w:jc w:val="center"/>
                            <w:rPr>
                              <w:b/>
                              <w:bCs/>
                              <w:sz w:val="48"/>
                              <w:szCs w:val="52"/>
                            </w:rPr>
                          </w:pPr>
                          <w:r w:rsidRPr="00ED16F2">
                            <w:rPr>
                              <w:b/>
                              <w:bCs/>
                              <w:sz w:val="48"/>
                              <w:szCs w:val="52"/>
                            </w:rPr>
                            <w:t>AHRQ Safety Program for Intensive Care Units: Preventing CLABSI and CAUTI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E3F89" id="_x0000_t202" coordsize="21600,21600" o:spt="202" path="m,l,21600r21600,l21600,xe">
              <v:stroke joinstyle="miter"/>
              <v:path gradientshapeok="t" o:connecttype="rect"/>
            </v:shapetype>
            <v:shape id="Text Box 2" o:spid="_x0000_s1027" type="#_x0000_t202" alt="Prevent HAIs&#10;Healthcare-Associated Infections" style="position:absolute;margin-left:123.7pt;margin-top:6pt;width:480.8pt;height:110.6pt;z-index:2516756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" filled="f" stroked="f">
              <v:textbox style="mso-fit-shape-to-text:t">
                <w:txbxContent>
                  <w:p w14:paraId="7C8DD928" w14:textId="6DE023A3" w:rsidR="00322F3A" w:rsidRPr="00ED16F2" w:rsidRDefault="00322F3A" w:rsidP="00ED16F2">
                    <w:pPr>
                      <w:jc w:val="center"/>
                      <w:rPr>
                        <w:b/>
                        <w:bCs/>
                        <w:sz w:val="48"/>
                        <w:szCs w:val="52"/>
                      </w:rPr>
                    </w:pPr>
                    <w:r w:rsidRPr="00ED16F2">
                      <w:rPr>
                        <w:b/>
                        <w:bCs/>
                        <w:sz w:val="48"/>
                        <w:szCs w:val="52"/>
                      </w:rPr>
                      <w:t>AHRQ Safety Program for Intensive Care Units: Preventing CLABSI and CAUTI</w:t>
                    </w:r>
                  </w:p>
                </w:txbxContent>
              </v:textbox>
              <w10:wrap type="square" anchorx="page"/>
            </v:shape>
          </w:pict>
        </mc:Fallback>
      </mc:AlternateContent>
    </w:r>
    <w:r>
      <w:rPr>
        <w:noProof/>
      </w:rPr>
      <w:drawing>
        <wp:anchor distT="0" distB="0" distL="114300" distR="114300" simplePos="0" relativeHeight="251663360" behindDoc="1" locked="0" layoutInCell="1" allowOverlap="1" wp14:anchorId="639E0DF9" wp14:editId="7602CD0E">
          <wp:simplePos x="0" y="0"/>
          <wp:positionH relativeFrom="page">
            <wp:posOffset>-6350</wp:posOffset>
          </wp:positionH>
          <wp:positionV relativeFrom="paragraph">
            <wp:posOffset>12700</wp:posOffset>
          </wp:positionV>
          <wp:extent cx="7870825" cy="1633855"/>
          <wp:effectExtent l="0" t="0" r="0" b="4445"/>
          <wp:wrapNone/>
          <wp:docPr id="11" name="Picture 11" descr="Prevent HAIs&#10;Healthcare-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revent HAIs&#10;Healthcare-Associated Infe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825" cy="1633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B1926" w14:textId="77777777" w:rsidR="00322F3A" w:rsidRDefault="00322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F405EFE"/>
    <w:lvl w:ilvl="0">
      <w:numFmt w:val="bullet"/>
      <w:lvlText w:val="*"/>
      <w:lvlJc w:val="left"/>
    </w:lvl>
  </w:abstractNum>
  <w:abstractNum w:abstractNumId="1" w15:restartNumberingAfterBreak="0">
    <w:nsid w:val="20064F6A"/>
    <w:multiLevelType w:val="hybridMultilevel"/>
    <w:tmpl w:val="CA34A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07F52"/>
    <w:multiLevelType w:val="hybridMultilevel"/>
    <w:tmpl w:val="5CA800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481298B"/>
    <w:multiLevelType w:val="hybridMultilevel"/>
    <w:tmpl w:val="FCBEAF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258DC"/>
    <w:multiLevelType w:val="hybridMultilevel"/>
    <w:tmpl w:val="E710113E"/>
    <w:lvl w:ilvl="0" w:tplc="DDBC3614">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67A00"/>
    <w:multiLevelType w:val="hybridMultilevel"/>
    <w:tmpl w:val="4900D4B6"/>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47340E"/>
    <w:multiLevelType w:val="hybridMultilevel"/>
    <w:tmpl w:val="6E287EA4"/>
    <w:lvl w:ilvl="0" w:tplc="04090001">
      <w:start w:val="1"/>
      <w:numFmt w:val="bullet"/>
      <w:lvlText w:val=""/>
      <w:lvlJc w:val="left"/>
      <w:pPr>
        <w:ind w:left="360" w:hanging="360"/>
      </w:pPr>
      <w:rPr>
        <w:rFonts w:ascii="Symbol" w:hAnsi="Symbo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0658C8"/>
    <w:multiLevelType w:val="hybridMultilevel"/>
    <w:tmpl w:val="C5E8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D427CE"/>
    <w:multiLevelType w:val="hybridMultilevel"/>
    <w:tmpl w:val="9110BCE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465F5CB9"/>
    <w:multiLevelType w:val="hybridMultilevel"/>
    <w:tmpl w:val="ED72E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13609D"/>
    <w:multiLevelType w:val="hybridMultilevel"/>
    <w:tmpl w:val="53C04E4A"/>
    <w:lvl w:ilvl="0" w:tplc="DE3C264E">
      <w:start w:val="1"/>
      <w:numFmt w:val="bullet"/>
      <w:lvlText w:val=""/>
      <w:lvlJc w:val="left"/>
      <w:pPr>
        <w:tabs>
          <w:tab w:val="num" w:pos="720"/>
        </w:tabs>
        <w:ind w:left="720" w:hanging="360"/>
      </w:pPr>
      <w:rPr>
        <w:rFonts w:ascii="Wingdings 2" w:hAnsi="Wingdings 2" w:hint="default"/>
      </w:rPr>
    </w:lvl>
    <w:lvl w:ilvl="1" w:tplc="F3627692" w:tentative="1">
      <w:start w:val="1"/>
      <w:numFmt w:val="bullet"/>
      <w:lvlText w:val=""/>
      <w:lvlJc w:val="left"/>
      <w:pPr>
        <w:tabs>
          <w:tab w:val="num" w:pos="1440"/>
        </w:tabs>
        <w:ind w:left="1440" w:hanging="360"/>
      </w:pPr>
      <w:rPr>
        <w:rFonts w:ascii="Wingdings 2" w:hAnsi="Wingdings 2" w:hint="default"/>
      </w:rPr>
    </w:lvl>
    <w:lvl w:ilvl="2" w:tplc="4A0E5ACE" w:tentative="1">
      <w:start w:val="1"/>
      <w:numFmt w:val="bullet"/>
      <w:lvlText w:val=""/>
      <w:lvlJc w:val="left"/>
      <w:pPr>
        <w:tabs>
          <w:tab w:val="num" w:pos="2160"/>
        </w:tabs>
        <w:ind w:left="2160" w:hanging="360"/>
      </w:pPr>
      <w:rPr>
        <w:rFonts w:ascii="Wingdings 2" w:hAnsi="Wingdings 2" w:hint="default"/>
      </w:rPr>
    </w:lvl>
    <w:lvl w:ilvl="3" w:tplc="06E26298" w:tentative="1">
      <w:start w:val="1"/>
      <w:numFmt w:val="bullet"/>
      <w:lvlText w:val=""/>
      <w:lvlJc w:val="left"/>
      <w:pPr>
        <w:tabs>
          <w:tab w:val="num" w:pos="2880"/>
        </w:tabs>
        <w:ind w:left="2880" w:hanging="360"/>
      </w:pPr>
      <w:rPr>
        <w:rFonts w:ascii="Wingdings 2" w:hAnsi="Wingdings 2" w:hint="default"/>
      </w:rPr>
    </w:lvl>
    <w:lvl w:ilvl="4" w:tplc="FFD66A32" w:tentative="1">
      <w:start w:val="1"/>
      <w:numFmt w:val="bullet"/>
      <w:lvlText w:val=""/>
      <w:lvlJc w:val="left"/>
      <w:pPr>
        <w:tabs>
          <w:tab w:val="num" w:pos="3600"/>
        </w:tabs>
        <w:ind w:left="3600" w:hanging="360"/>
      </w:pPr>
      <w:rPr>
        <w:rFonts w:ascii="Wingdings 2" w:hAnsi="Wingdings 2" w:hint="default"/>
      </w:rPr>
    </w:lvl>
    <w:lvl w:ilvl="5" w:tplc="79FADCA6" w:tentative="1">
      <w:start w:val="1"/>
      <w:numFmt w:val="bullet"/>
      <w:lvlText w:val=""/>
      <w:lvlJc w:val="left"/>
      <w:pPr>
        <w:tabs>
          <w:tab w:val="num" w:pos="4320"/>
        </w:tabs>
        <w:ind w:left="4320" w:hanging="360"/>
      </w:pPr>
      <w:rPr>
        <w:rFonts w:ascii="Wingdings 2" w:hAnsi="Wingdings 2" w:hint="default"/>
      </w:rPr>
    </w:lvl>
    <w:lvl w:ilvl="6" w:tplc="560C90F8" w:tentative="1">
      <w:start w:val="1"/>
      <w:numFmt w:val="bullet"/>
      <w:lvlText w:val=""/>
      <w:lvlJc w:val="left"/>
      <w:pPr>
        <w:tabs>
          <w:tab w:val="num" w:pos="5040"/>
        </w:tabs>
        <w:ind w:left="5040" w:hanging="360"/>
      </w:pPr>
      <w:rPr>
        <w:rFonts w:ascii="Wingdings 2" w:hAnsi="Wingdings 2" w:hint="default"/>
      </w:rPr>
    </w:lvl>
    <w:lvl w:ilvl="7" w:tplc="0074CC12" w:tentative="1">
      <w:start w:val="1"/>
      <w:numFmt w:val="bullet"/>
      <w:lvlText w:val=""/>
      <w:lvlJc w:val="left"/>
      <w:pPr>
        <w:tabs>
          <w:tab w:val="num" w:pos="5760"/>
        </w:tabs>
        <w:ind w:left="5760" w:hanging="360"/>
      </w:pPr>
      <w:rPr>
        <w:rFonts w:ascii="Wingdings 2" w:hAnsi="Wingdings 2" w:hint="default"/>
      </w:rPr>
    </w:lvl>
    <w:lvl w:ilvl="8" w:tplc="5E8CBD8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8395157"/>
    <w:multiLevelType w:val="hybridMultilevel"/>
    <w:tmpl w:val="83221A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6"/>
  </w:num>
  <w:num w:numId="6">
    <w:abstractNumId w:val="1"/>
  </w:num>
  <w:num w:numId="7">
    <w:abstractNumId w:val="3"/>
  </w:num>
  <w:num w:numId="8">
    <w:abstractNumId w:val="5"/>
  </w:num>
  <w:num w:numId="9">
    <w:abstractNumId w:val="0"/>
    <w:lvlOverride w:ilvl="0">
      <w:lvl w:ilvl="0">
        <w:numFmt w:val="bullet"/>
        <w:lvlText w:val="•"/>
        <w:legacy w:legacy="1" w:legacySpace="0" w:legacyIndent="0"/>
        <w:lvlJc w:val="left"/>
        <w:rPr>
          <w:rFonts w:ascii="Arial" w:hAnsi="Arial" w:cs="Arial" w:hint="default"/>
          <w:sz w:val="24"/>
        </w:rPr>
      </w:lvl>
    </w:lvlOverride>
  </w:num>
  <w:num w:numId="10">
    <w:abstractNumId w:val="11"/>
  </w:num>
  <w:num w:numId="11">
    <w:abstractNumId w:val="0"/>
    <w:lvlOverride w:ilvl="0">
      <w:lvl w:ilvl="0">
        <w:numFmt w:val="bullet"/>
        <w:lvlText w:val="-"/>
        <w:legacy w:legacy="1" w:legacySpace="0" w:legacyIndent="0"/>
        <w:lvlJc w:val="left"/>
        <w:rPr>
          <w:rFonts w:ascii="Calibri" w:hAnsi="Calibri" w:cs="Calibri" w:hint="default"/>
          <w:sz w:val="24"/>
        </w:rPr>
      </w:lvl>
    </w:lvlOverride>
  </w:num>
  <w:num w:numId="12">
    <w:abstractNumId w:val="9"/>
  </w:num>
  <w:num w:numId="13">
    <w:abstractNumId w:val="0"/>
    <w:lvlOverride w:ilvl="0">
      <w:lvl w:ilvl="0">
        <w:numFmt w:val="bullet"/>
        <w:lvlText w:val="•"/>
        <w:legacy w:legacy="1" w:legacySpace="0" w:legacyIndent="0"/>
        <w:lvlJc w:val="left"/>
        <w:pPr>
          <w:ind w:left="0" w:firstLine="0"/>
        </w:pPr>
        <w:rPr>
          <w:rFonts w:ascii="Calibri" w:hAnsi="Calibri" w:cs="Calibri" w:hint="default"/>
          <w:sz w:val="24"/>
        </w:rPr>
      </w:lvl>
    </w:lvlOverride>
  </w:num>
  <w:num w:numId="14">
    <w:abstractNumId w:val="0"/>
    <w:lvlOverride w:ilvl="0">
      <w:lvl w:ilvl="0">
        <w:numFmt w:val="bullet"/>
        <w:lvlText w:val="•"/>
        <w:legacy w:legacy="1" w:legacySpace="0" w:legacyIndent="0"/>
        <w:lvlJc w:val="left"/>
        <w:pPr>
          <w:ind w:left="0" w:firstLine="0"/>
        </w:pPr>
        <w:rPr>
          <w:rFonts w:ascii="Arial" w:hAnsi="Arial" w:cs="Arial" w:hint="default"/>
          <w:sz w:val="21"/>
        </w:rPr>
      </w:lvl>
    </w:lvlOverride>
  </w:num>
  <w:num w:numId="15">
    <w:abstractNumId w:val="0"/>
    <w:lvlOverride w:ilvl="0">
      <w:lvl w:ilvl="0">
        <w:numFmt w:val="bullet"/>
        <w:lvlText w:val="•"/>
        <w:legacy w:legacy="1" w:legacySpace="0" w:legacyIndent="0"/>
        <w:lvlJc w:val="left"/>
        <w:rPr>
          <w:rFonts w:ascii="Calibri" w:hAnsi="Calibri" w:cs="Calibri" w:hint="default"/>
          <w:sz w:val="22"/>
        </w:rPr>
      </w:lvl>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F3"/>
    <w:rsid w:val="00000660"/>
    <w:rsid w:val="0001058B"/>
    <w:rsid w:val="00033EC5"/>
    <w:rsid w:val="000352AF"/>
    <w:rsid w:val="00081740"/>
    <w:rsid w:val="000828DC"/>
    <w:rsid w:val="00084F26"/>
    <w:rsid w:val="0009061A"/>
    <w:rsid w:val="00092DD3"/>
    <w:rsid w:val="000964B1"/>
    <w:rsid w:val="000A552C"/>
    <w:rsid w:val="000B2336"/>
    <w:rsid w:val="000E00A8"/>
    <w:rsid w:val="00116CE0"/>
    <w:rsid w:val="00134062"/>
    <w:rsid w:val="001536E5"/>
    <w:rsid w:val="00164F43"/>
    <w:rsid w:val="0017646D"/>
    <w:rsid w:val="00182D6A"/>
    <w:rsid w:val="001C6AFA"/>
    <w:rsid w:val="001D1892"/>
    <w:rsid w:val="001D7487"/>
    <w:rsid w:val="00233DF0"/>
    <w:rsid w:val="002559C6"/>
    <w:rsid w:val="00256CD0"/>
    <w:rsid w:val="00276CAD"/>
    <w:rsid w:val="002864DD"/>
    <w:rsid w:val="002D16AF"/>
    <w:rsid w:val="002D25CD"/>
    <w:rsid w:val="002E32B0"/>
    <w:rsid w:val="002F0BEA"/>
    <w:rsid w:val="0030462D"/>
    <w:rsid w:val="00322F3A"/>
    <w:rsid w:val="00323B8A"/>
    <w:rsid w:val="003526B5"/>
    <w:rsid w:val="00367B86"/>
    <w:rsid w:val="00383863"/>
    <w:rsid w:val="00394F55"/>
    <w:rsid w:val="003A4A90"/>
    <w:rsid w:val="003B0B26"/>
    <w:rsid w:val="003B76DF"/>
    <w:rsid w:val="003C2C2B"/>
    <w:rsid w:val="003C48DB"/>
    <w:rsid w:val="003F627A"/>
    <w:rsid w:val="0043095F"/>
    <w:rsid w:val="004676C7"/>
    <w:rsid w:val="00484716"/>
    <w:rsid w:val="00486DAD"/>
    <w:rsid w:val="004A31CD"/>
    <w:rsid w:val="004B60F3"/>
    <w:rsid w:val="004E0078"/>
    <w:rsid w:val="0050233C"/>
    <w:rsid w:val="005070CE"/>
    <w:rsid w:val="00512653"/>
    <w:rsid w:val="00514D5E"/>
    <w:rsid w:val="00533E7F"/>
    <w:rsid w:val="00537208"/>
    <w:rsid w:val="00542622"/>
    <w:rsid w:val="005572D5"/>
    <w:rsid w:val="00591320"/>
    <w:rsid w:val="005B073B"/>
    <w:rsid w:val="005B2A59"/>
    <w:rsid w:val="005B699A"/>
    <w:rsid w:val="005C53EE"/>
    <w:rsid w:val="005C655D"/>
    <w:rsid w:val="005E4503"/>
    <w:rsid w:val="005E71DB"/>
    <w:rsid w:val="005F0850"/>
    <w:rsid w:val="005F1512"/>
    <w:rsid w:val="005F35F3"/>
    <w:rsid w:val="00624B8D"/>
    <w:rsid w:val="00644FB3"/>
    <w:rsid w:val="00654F51"/>
    <w:rsid w:val="00682796"/>
    <w:rsid w:val="00687C2F"/>
    <w:rsid w:val="00695C5C"/>
    <w:rsid w:val="006A44B4"/>
    <w:rsid w:val="006B7A85"/>
    <w:rsid w:val="006C26D8"/>
    <w:rsid w:val="006D6FA0"/>
    <w:rsid w:val="00707A43"/>
    <w:rsid w:val="007310A7"/>
    <w:rsid w:val="00740E65"/>
    <w:rsid w:val="007448CD"/>
    <w:rsid w:val="00747492"/>
    <w:rsid w:val="0076769A"/>
    <w:rsid w:val="00777CEC"/>
    <w:rsid w:val="007A2576"/>
    <w:rsid w:val="007A6A3D"/>
    <w:rsid w:val="007B3088"/>
    <w:rsid w:val="007E104B"/>
    <w:rsid w:val="00844D5F"/>
    <w:rsid w:val="008A07DE"/>
    <w:rsid w:val="008B25E5"/>
    <w:rsid w:val="008D3BCF"/>
    <w:rsid w:val="008D538D"/>
    <w:rsid w:val="008D57B5"/>
    <w:rsid w:val="008D6CC2"/>
    <w:rsid w:val="008E6D9E"/>
    <w:rsid w:val="008F4B0F"/>
    <w:rsid w:val="00917F56"/>
    <w:rsid w:val="00933FBE"/>
    <w:rsid w:val="009634C8"/>
    <w:rsid w:val="009831B1"/>
    <w:rsid w:val="009957CD"/>
    <w:rsid w:val="009A6CAD"/>
    <w:rsid w:val="009E7606"/>
    <w:rsid w:val="00A058AF"/>
    <w:rsid w:val="00A14F29"/>
    <w:rsid w:val="00A2110E"/>
    <w:rsid w:val="00A23434"/>
    <w:rsid w:val="00A440CF"/>
    <w:rsid w:val="00A6013D"/>
    <w:rsid w:val="00A65121"/>
    <w:rsid w:val="00AA55F8"/>
    <w:rsid w:val="00AB65EC"/>
    <w:rsid w:val="00AB7A6A"/>
    <w:rsid w:val="00B1576F"/>
    <w:rsid w:val="00B20770"/>
    <w:rsid w:val="00B846C3"/>
    <w:rsid w:val="00B848A2"/>
    <w:rsid w:val="00B86B3C"/>
    <w:rsid w:val="00BD04AD"/>
    <w:rsid w:val="00C05561"/>
    <w:rsid w:val="00C27C1C"/>
    <w:rsid w:val="00C44143"/>
    <w:rsid w:val="00C5156A"/>
    <w:rsid w:val="00C6661B"/>
    <w:rsid w:val="00C7432E"/>
    <w:rsid w:val="00C80CF5"/>
    <w:rsid w:val="00C85247"/>
    <w:rsid w:val="00CB0CAE"/>
    <w:rsid w:val="00CB2A6F"/>
    <w:rsid w:val="00CC4539"/>
    <w:rsid w:val="00D00EAC"/>
    <w:rsid w:val="00D0568E"/>
    <w:rsid w:val="00D24E88"/>
    <w:rsid w:val="00D266B1"/>
    <w:rsid w:val="00D47649"/>
    <w:rsid w:val="00D627CA"/>
    <w:rsid w:val="00D913C0"/>
    <w:rsid w:val="00D96469"/>
    <w:rsid w:val="00DA056B"/>
    <w:rsid w:val="00DB2132"/>
    <w:rsid w:val="00DB5365"/>
    <w:rsid w:val="00DB7197"/>
    <w:rsid w:val="00DC2504"/>
    <w:rsid w:val="00DC580D"/>
    <w:rsid w:val="00DF7291"/>
    <w:rsid w:val="00E23E04"/>
    <w:rsid w:val="00E32D5F"/>
    <w:rsid w:val="00E35770"/>
    <w:rsid w:val="00E40CED"/>
    <w:rsid w:val="00E4620E"/>
    <w:rsid w:val="00E64E0B"/>
    <w:rsid w:val="00E764D2"/>
    <w:rsid w:val="00EC3394"/>
    <w:rsid w:val="00ED16F2"/>
    <w:rsid w:val="00EF0F0E"/>
    <w:rsid w:val="00F02570"/>
    <w:rsid w:val="00F10439"/>
    <w:rsid w:val="00F258BE"/>
    <w:rsid w:val="00F767A5"/>
    <w:rsid w:val="00F8120A"/>
    <w:rsid w:val="00F9138A"/>
    <w:rsid w:val="00FA7F7C"/>
    <w:rsid w:val="00FB6901"/>
    <w:rsid w:val="00FD2ED3"/>
    <w:rsid w:val="00FD3A2B"/>
    <w:rsid w:val="00FD3DB0"/>
    <w:rsid w:val="00FE0296"/>
    <w:rsid w:val="00FF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5703"/>
  <w15:docId w15:val="{76DD55F6-4077-47F3-B36E-5652AD7F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9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paragraph" w:styleId="Title">
    <w:name w:val="Title"/>
    <w:basedOn w:val="Normal"/>
    <w:next w:val="Normal"/>
    <w:link w:val="TitleChar"/>
    <w:uiPriority w:val="10"/>
    <w:qFormat/>
    <w:rsid w:val="00EF0F0E"/>
    <w:pPr>
      <w:spacing w:after="4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F0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D16F2"/>
    <w:rPr>
      <w:color w:val="0000FF" w:themeColor="hyperlink"/>
      <w:u w:val="single"/>
    </w:rPr>
  </w:style>
  <w:style w:type="character" w:styleId="CommentReference">
    <w:name w:val="annotation reference"/>
    <w:basedOn w:val="DefaultParagraphFont"/>
    <w:uiPriority w:val="99"/>
    <w:semiHidden/>
    <w:unhideWhenUsed/>
    <w:rsid w:val="00ED16F2"/>
    <w:rPr>
      <w:sz w:val="16"/>
      <w:szCs w:val="16"/>
    </w:rPr>
  </w:style>
  <w:style w:type="paragraph" w:styleId="CommentText">
    <w:name w:val="annotation text"/>
    <w:basedOn w:val="Normal"/>
    <w:link w:val="CommentTextChar"/>
    <w:uiPriority w:val="99"/>
    <w:semiHidden/>
    <w:unhideWhenUsed/>
    <w:rsid w:val="00ED16F2"/>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semiHidden/>
    <w:rsid w:val="00ED16F2"/>
    <w:rPr>
      <w:rFonts w:ascii="Calibri" w:eastAsia="MS Mincho" w:hAnsi="Calibri" w:cs="Times New Roman"/>
      <w:sz w:val="20"/>
      <w:szCs w:val="20"/>
    </w:rPr>
  </w:style>
  <w:style w:type="table" w:styleId="TableGrid">
    <w:name w:val="Table Grid"/>
    <w:basedOn w:val="TableNormal"/>
    <w:uiPriority w:val="39"/>
    <w:rsid w:val="00ED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16F2"/>
    <w:pPr>
      <w:spacing w:after="0"/>
      <w:ind w:left="720"/>
      <w:contextualSpacing/>
    </w:pPr>
    <w:rPr>
      <w:rFonts w:cstheme="minorHAnsi"/>
      <w:lang w:eastAsia="ja-JP"/>
    </w:rPr>
  </w:style>
  <w:style w:type="character" w:customStyle="1" w:styleId="ListParagraphChar">
    <w:name w:val="List Paragraph Char"/>
    <w:basedOn w:val="DefaultParagraphFont"/>
    <w:link w:val="ListParagraph"/>
    <w:uiPriority w:val="34"/>
    <w:rsid w:val="00ED16F2"/>
    <w:rPr>
      <w:rFonts w:cstheme="minorHAnsi"/>
      <w:lang w:eastAsia="ja-JP"/>
    </w:rPr>
  </w:style>
  <w:style w:type="paragraph" w:styleId="CommentSubject">
    <w:name w:val="annotation subject"/>
    <w:basedOn w:val="CommentText"/>
    <w:next w:val="CommentText"/>
    <w:link w:val="CommentSubjectChar"/>
    <w:uiPriority w:val="99"/>
    <w:semiHidden/>
    <w:unhideWhenUsed/>
    <w:rsid w:val="003F627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F627A"/>
    <w:rPr>
      <w:rFonts w:ascii="Calibri" w:eastAsia="MS Mincho" w:hAnsi="Calibri" w:cs="Times New Roman"/>
      <w:b/>
      <w:bCs/>
      <w:sz w:val="20"/>
      <w:szCs w:val="20"/>
    </w:rPr>
  </w:style>
  <w:style w:type="character" w:styleId="PageNumber">
    <w:name w:val="page number"/>
    <w:basedOn w:val="DefaultParagraphFont"/>
    <w:uiPriority w:val="99"/>
    <w:semiHidden/>
    <w:unhideWhenUsed/>
    <w:rsid w:val="00D627CA"/>
  </w:style>
  <w:style w:type="character" w:styleId="FollowedHyperlink">
    <w:name w:val="FollowedHyperlink"/>
    <w:basedOn w:val="DefaultParagraphFont"/>
    <w:uiPriority w:val="99"/>
    <w:semiHidden/>
    <w:unhideWhenUsed/>
    <w:rsid w:val="00134062"/>
    <w:rPr>
      <w:color w:val="800080" w:themeColor="followedHyperlink"/>
      <w:u w:val="single"/>
    </w:rPr>
  </w:style>
  <w:style w:type="paragraph" w:styleId="Revision">
    <w:name w:val="Revision"/>
    <w:hidden/>
    <w:uiPriority w:val="99"/>
    <w:semiHidden/>
    <w:rsid w:val="0009061A"/>
    <w:pPr>
      <w:spacing w:after="0" w:line="240" w:lineRule="auto"/>
    </w:pPr>
  </w:style>
  <w:style w:type="paragraph" w:customStyle="1" w:styleId="H1">
    <w:name w:val="H1"/>
    <w:basedOn w:val="Heading1"/>
    <w:qFormat/>
    <w:rsid w:val="00FB6901"/>
    <w:pPr>
      <w:spacing w:before="0" w:line="240" w:lineRule="auto"/>
      <w:jc w:val="center"/>
    </w:pPr>
    <w:rPr>
      <w:rFonts w:asciiTheme="minorHAnsi" w:hAnsiTheme="minorHAnsi"/>
      <w:b/>
      <w:color w:val="auto"/>
      <w:spacing w:val="-10"/>
      <w:kern w:val="28"/>
      <w:sz w:val="48"/>
    </w:rPr>
  </w:style>
  <w:style w:type="character" w:customStyle="1" w:styleId="Heading1Char">
    <w:name w:val="Heading 1 Char"/>
    <w:basedOn w:val="DefaultParagraphFont"/>
    <w:link w:val="Heading1"/>
    <w:uiPriority w:val="9"/>
    <w:rsid w:val="00FB6901"/>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EF0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ahrq.gov/sites/default/files/wysiwyg/hai/tools/clabsi-cauti-icu/clabsi-learning-from-defect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www.ahrq.gov/sites/default/files/wysiwyg/hai/tools/clabsi-cauti-icu/spot-coaching.pdf" TargetMode="External"/><Relationship Id="rId35" Type="http://schemas.openxmlformats.org/officeDocument/2006/relationships/image" Target="media/image20.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kim\AppData\Local\Microsoft\Windows\INetCache\Content.Outlook\AR0HXFBX\HAICU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91A8E2C15B644EB109C55159B022C3" ma:contentTypeVersion="13" ma:contentTypeDescription="Create a new document." ma:contentTypeScope="" ma:versionID="4c60dff343324a68a7e5d4cf1764ba70">
  <xsd:schema xmlns:xsd="http://www.w3.org/2001/XMLSchema" xmlns:xs="http://www.w3.org/2001/XMLSchema" xmlns:p="http://schemas.microsoft.com/office/2006/metadata/properties" xmlns:ns2="39102c36-9e6c-42d1-a6d1-3ebaac80f85f" xmlns:ns3="31c1b98b-3864-4577-aa97-53156bf25148" targetNamespace="http://schemas.microsoft.com/office/2006/metadata/properties" ma:root="true" ma:fieldsID="27fb09903d97c77d0fbdfc2432dbc701" ns2:_="" ns3:_="">
    <xsd:import namespace="39102c36-9e6c-42d1-a6d1-3ebaac80f85f"/>
    <xsd:import namespace="31c1b98b-3864-4577-aa97-53156bf251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02c36-9e6c-42d1-a6d1-3ebaac80f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1b98b-3864-4577-aa97-53156bf2514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4688F-5E2E-4164-A5F1-653D3BF43F89}">
  <ds:schemaRefs>
    <ds:schemaRef ds:uri="http://schemas.microsoft.com/sharepoint/v3/contenttype/forms"/>
  </ds:schemaRefs>
</ds:datastoreItem>
</file>

<file path=customXml/itemProps2.xml><?xml version="1.0" encoding="utf-8"?>
<ds:datastoreItem xmlns:ds="http://schemas.openxmlformats.org/officeDocument/2006/customXml" ds:itemID="{5DFD1C78-65C6-46A2-AB36-8737997E9D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FFBDB7-3281-43E6-93DB-E01A1B24EE59}">
  <ds:schemaRefs>
    <ds:schemaRef ds:uri="http://schemas.openxmlformats.org/officeDocument/2006/bibliography"/>
  </ds:schemaRefs>
</ds:datastoreItem>
</file>

<file path=customXml/itemProps4.xml><?xml version="1.0" encoding="utf-8"?>
<ds:datastoreItem xmlns:ds="http://schemas.openxmlformats.org/officeDocument/2006/customXml" ds:itemID="{6038721B-15C0-4042-9DCF-3475177D3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02c36-9e6c-42d1-a6d1-3ebaac80f85f"/>
    <ds:schemaRef ds:uri="31c1b98b-3864-4577-aa97-53156bf25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HAICUS~1</Template>
  <TotalTime>9</TotalTime>
  <Pages>9</Pages>
  <Words>1922</Words>
  <Characters>15689</Characters>
  <Application>Microsoft Office Word</Application>
  <DocSecurity>0</DocSecurity>
  <Lines>356</Lines>
  <Paragraphs>185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Venous Catheter Maintenance Facilitator Notes</dc:title>
  <dc:subject>Prevent CLABSI and CAUTI in the Intensive Care Unit Setting</dc:subject>
  <dc:creator>"Agency for Healthcare Research and Quality (AHRQ)"</dc:creator>
  <cp:keywords>CLABSI; CAUTI</cp:keywords>
  <dc:description/>
  <cp:lastModifiedBy>Heidenrich, Christine (AHRQ/OC) (CTR)</cp:lastModifiedBy>
  <cp:revision>4</cp:revision>
  <dcterms:created xsi:type="dcterms:W3CDTF">2022-02-11T13:33:00Z</dcterms:created>
  <dcterms:modified xsi:type="dcterms:W3CDTF">2022-02-18T22:21:00Z</dcterms:modified>
  <cp:category>CLABSI; CAUTI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0x0101003491A8E2C15B644EB109C55159B022C3</vt:lpwstr>
  </property>
</Properties>
</file>