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C1231" w14:textId="77777777" w:rsidR="00E32D5F" w:rsidRDefault="00E32D5F"/>
    <w:p w14:paraId="47826777" w14:textId="258F93C3" w:rsidR="00B86B3C" w:rsidRPr="00B86B3C" w:rsidRDefault="001D7487" w:rsidP="002A1AD5">
      <w:pPr>
        <w:pStyle w:val="H1"/>
      </w:pPr>
      <w:r>
        <w:t>CAUT</w:t>
      </w:r>
      <w:r w:rsidR="00687C2F">
        <w:t xml:space="preserve">I Module: </w:t>
      </w:r>
      <w:r w:rsidR="002A1AD5">
        <w:br/>
      </w:r>
      <w:r>
        <w:t xml:space="preserve">Indwelling Urinary Catheter </w:t>
      </w:r>
      <w:r w:rsidR="003268E7">
        <w:t>Alternatives</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61"/>
      </w:tblGrid>
      <w:tr w:rsidR="009831B1" w:rsidRPr="00A177C8" w14:paraId="3F3A4419" w14:textId="55E75453" w:rsidTr="002A1AD5">
        <w:trPr>
          <w:cantSplit/>
          <w:trHeight w:val="146"/>
          <w:tblHeader/>
        </w:trPr>
        <w:tc>
          <w:tcPr>
            <w:tcW w:w="6655" w:type="dxa"/>
            <w:tcBorders>
              <w:top w:val="single" w:sz="4" w:space="0" w:color="auto"/>
              <w:left w:val="single" w:sz="4" w:space="0" w:color="auto"/>
              <w:bottom w:val="single" w:sz="4" w:space="0" w:color="auto"/>
              <w:right w:val="single" w:sz="4" w:space="0" w:color="auto"/>
            </w:tcBorders>
          </w:tcPr>
          <w:p w14:paraId="6E90AC98" w14:textId="77777777" w:rsidR="009831B1" w:rsidRPr="00A177C8" w:rsidRDefault="009831B1" w:rsidP="009831B1">
            <w:pPr>
              <w:autoSpaceDE w:val="0"/>
              <w:autoSpaceDN w:val="0"/>
              <w:adjustRightInd w:val="0"/>
              <w:spacing w:after="0" w:line="240" w:lineRule="auto"/>
              <w:jc w:val="center"/>
              <w:rPr>
                <w:rFonts w:cs="Calibri"/>
                <w:b/>
                <w:kern w:val="24"/>
                <w:szCs w:val="24"/>
              </w:rPr>
            </w:pPr>
            <w:r w:rsidRPr="00A177C8">
              <w:rPr>
                <w:rFonts w:cs="Calibri"/>
                <w:b/>
                <w:kern w:val="24"/>
                <w:szCs w:val="24"/>
              </w:rPr>
              <w:t>Facilitator Guide</w:t>
            </w:r>
          </w:p>
        </w:tc>
        <w:tc>
          <w:tcPr>
            <w:tcW w:w="3261" w:type="dxa"/>
            <w:tcBorders>
              <w:top w:val="single" w:sz="4" w:space="0" w:color="auto"/>
              <w:left w:val="single" w:sz="4" w:space="0" w:color="auto"/>
              <w:bottom w:val="single" w:sz="4" w:space="0" w:color="auto"/>
              <w:right w:val="single" w:sz="4" w:space="0" w:color="auto"/>
            </w:tcBorders>
          </w:tcPr>
          <w:p w14:paraId="269AD8DC" w14:textId="388F4BFC" w:rsidR="009831B1" w:rsidRPr="00A177C8" w:rsidRDefault="009831B1" w:rsidP="009831B1">
            <w:pPr>
              <w:autoSpaceDE w:val="0"/>
              <w:autoSpaceDN w:val="0"/>
              <w:adjustRightInd w:val="0"/>
              <w:spacing w:after="0" w:line="240" w:lineRule="auto"/>
              <w:jc w:val="center"/>
              <w:rPr>
                <w:rFonts w:cs="Calibri"/>
                <w:b/>
                <w:kern w:val="24"/>
                <w:szCs w:val="24"/>
              </w:rPr>
            </w:pPr>
            <w:r w:rsidRPr="00A177C8">
              <w:rPr>
                <w:b/>
              </w:rPr>
              <w:t>Slide Number and Image</w:t>
            </w:r>
          </w:p>
        </w:tc>
      </w:tr>
      <w:tr w:rsidR="001E3C16" w14:paraId="2A131DBA" w14:textId="1D7E2832" w:rsidTr="002A1AD5">
        <w:trPr>
          <w:cantSplit/>
          <w:trHeight w:val="2573"/>
        </w:trPr>
        <w:tc>
          <w:tcPr>
            <w:tcW w:w="6655" w:type="dxa"/>
            <w:tcBorders>
              <w:top w:val="single" w:sz="4" w:space="0" w:color="auto"/>
              <w:left w:val="single" w:sz="4" w:space="0" w:color="auto"/>
              <w:bottom w:val="single" w:sz="4" w:space="0" w:color="auto"/>
              <w:right w:val="single" w:sz="4" w:space="0" w:color="auto"/>
            </w:tcBorders>
          </w:tcPr>
          <w:p w14:paraId="001F9AD1" w14:textId="6CB43B60" w:rsidR="001E3C16" w:rsidRPr="006340DE" w:rsidRDefault="001E3C16" w:rsidP="001E3C16">
            <w:pPr>
              <w:autoSpaceDE w:val="0"/>
              <w:autoSpaceDN w:val="0"/>
              <w:adjustRightInd w:val="0"/>
              <w:spacing w:after="0" w:line="240" w:lineRule="auto"/>
              <w:rPr>
                <w:rFonts w:ascii="Calibri" w:hAnsi="Calibri" w:cs="Calibri"/>
                <w:kern w:val="24"/>
                <w:szCs w:val="28"/>
              </w:rPr>
            </w:pPr>
            <w:r w:rsidRPr="006340DE">
              <w:rPr>
                <w:rFonts w:ascii="Calibri" w:hAnsi="Calibri" w:cs="Calibri"/>
                <w:kern w:val="24"/>
                <w:szCs w:val="28"/>
              </w:rPr>
              <w:t>This module, titled “Indwell</w:t>
            </w:r>
            <w:r>
              <w:rPr>
                <w:rFonts w:ascii="Calibri" w:hAnsi="Calibri" w:cs="Calibri"/>
                <w:kern w:val="24"/>
                <w:szCs w:val="28"/>
              </w:rPr>
              <w:t>ing Urinary Catheter Alternatives</w:t>
            </w:r>
            <w:r w:rsidR="00505FDD">
              <w:rPr>
                <w:rFonts w:ascii="Calibri" w:hAnsi="Calibri" w:cs="Calibri"/>
                <w:kern w:val="24"/>
                <w:szCs w:val="28"/>
              </w:rPr>
              <w:t>,</w:t>
            </w:r>
            <w:r w:rsidRPr="006340DE">
              <w:rPr>
                <w:rFonts w:ascii="Calibri" w:hAnsi="Calibri" w:cs="Calibri"/>
                <w:kern w:val="24"/>
                <w:szCs w:val="28"/>
              </w:rPr>
              <w:t xml:space="preserve">” is part of the Agency for Healthcare Research and Quality’s Safety Program for </w:t>
            </w:r>
            <w:r w:rsidR="00505FDD">
              <w:rPr>
                <w:rFonts w:ascii="Calibri" w:hAnsi="Calibri" w:cs="Calibri"/>
                <w:kern w:val="24"/>
                <w:szCs w:val="28"/>
              </w:rPr>
              <w:t>intensive care units (</w:t>
            </w:r>
            <w:r w:rsidRPr="006340DE">
              <w:rPr>
                <w:rFonts w:ascii="Calibri" w:hAnsi="Calibri" w:cs="Calibri"/>
                <w:kern w:val="24"/>
                <w:szCs w:val="28"/>
              </w:rPr>
              <w:t>ICUs</w:t>
            </w:r>
            <w:r w:rsidR="00505FDD">
              <w:rPr>
                <w:rFonts w:ascii="Calibri" w:hAnsi="Calibri" w:cs="Calibri"/>
                <w:kern w:val="24"/>
                <w:szCs w:val="28"/>
              </w:rPr>
              <w:t>)</w:t>
            </w:r>
            <w:r w:rsidRPr="006340DE">
              <w:rPr>
                <w:rFonts w:ascii="Calibri" w:hAnsi="Calibri" w:cs="Calibri"/>
                <w:kern w:val="24"/>
                <w:szCs w:val="28"/>
              </w:rPr>
              <w:t xml:space="preserve"> and addresses catheter-associated urinary tract infections, also known as CAUTIs. </w:t>
            </w:r>
          </w:p>
          <w:p w14:paraId="5782E498" w14:textId="77777777" w:rsidR="001E3C16" w:rsidRPr="006340DE" w:rsidRDefault="001E3C16" w:rsidP="001E3C16">
            <w:pPr>
              <w:autoSpaceDE w:val="0"/>
              <w:autoSpaceDN w:val="0"/>
              <w:adjustRightInd w:val="0"/>
              <w:spacing w:after="0" w:line="240" w:lineRule="auto"/>
              <w:rPr>
                <w:rFonts w:ascii="Calibri" w:hAnsi="Calibri" w:cs="Calibri"/>
                <w:kern w:val="24"/>
                <w:szCs w:val="28"/>
              </w:rPr>
            </w:pPr>
          </w:p>
          <w:p w14:paraId="1A221F2F" w14:textId="7237C622" w:rsidR="001E3C16" w:rsidRPr="002A1AD5" w:rsidRDefault="001E3C16" w:rsidP="002A1AD5">
            <w:pPr>
              <w:autoSpaceDE w:val="0"/>
              <w:autoSpaceDN w:val="0"/>
              <w:adjustRightInd w:val="0"/>
              <w:spacing w:after="0" w:line="240" w:lineRule="auto"/>
              <w:rPr>
                <w:rFonts w:ascii="Calibri" w:hAnsi="Calibri" w:cs="Calibri"/>
                <w:kern w:val="24"/>
                <w:szCs w:val="28"/>
              </w:rPr>
            </w:pPr>
            <w:r w:rsidRPr="006340DE">
              <w:rPr>
                <w:rFonts w:ascii="Calibri" w:hAnsi="Calibri" w:cs="Calibri"/>
                <w:kern w:val="24"/>
                <w:szCs w:val="28"/>
              </w:rPr>
              <w:t>This module will review when alternatives to indwelling urinary catheters are appropriate in the ICU setting by reviewing existing guidelines on general indications. Using ICU-specific scenarios, you will then use this information and other tools to help guide decision</w:t>
            </w:r>
            <w:r w:rsidR="00505FDD">
              <w:rPr>
                <w:rFonts w:ascii="Calibri" w:hAnsi="Calibri" w:cs="Calibri"/>
                <w:kern w:val="24"/>
                <w:szCs w:val="28"/>
              </w:rPr>
              <w:t xml:space="preserve"> </w:t>
            </w:r>
            <w:r w:rsidRPr="006340DE">
              <w:rPr>
                <w:rFonts w:ascii="Calibri" w:hAnsi="Calibri" w:cs="Calibri"/>
                <w:kern w:val="24"/>
                <w:szCs w:val="28"/>
              </w:rPr>
              <w:t>making.</w:t>
            </w:r>
          </w:p>
        </w:tc>
        <w:tc>
          <w:tcPr>
            <w:tcW w:w="3261" w:type="dxa"/>
            <w:tcBorders>
              <w:top w:val="single" w:sz="4" w:space="0" w:color="auto"/>
              <w:left w:val="single" w:sz="4" w:space="0" w:color="auto"/>
              <w:bottom w:val="single" w:sz="4" w:space="0" w:color="auto"/>
              <w:right w:val="single" w:sz="4" w:space="0" w:color="auto"/>
            </w:tcBorders>
          </w:tcPr>
          <w:p w14:paraId="23B6E14A" w14:textId="77777777" w:rsidR="001E3C16" w:rsidRDefault="001E3C16" w:rsidP="001E3C16">
            <w:r>
              <w:t>Slide 1</w:t>
            </w:r>
          </w:p>
          <w:p w14:paraId="0BD8C974" w14:textId="09126A1E" w:rsidR="001E3C16" w:rsidRPr="00C171DB" w:rsidRDefault="003157A9" w:rsidP="002A1AD5">
            <w:pPr>
              <w:autoSpaceDE w:val="0"/>
              <w:autoSpaceDN w:val="0"/>
              <w:adjustRightInd w:val="0"/>
              <w:spacing w:after="120" w:line="240" w:lineRule="auto"/>
              <w:rPr>
                <w:rFonts w:cs="Calibri"/>
                <w:kern w:val="24"/>
                <w:szCs w:val="24"/>
              </w:rPr>
            </w:pPr>
            <w:r>
              <w:rPr>
                <w:rFonts w:cs="Calibri"/>
                <w:noProof/>
                <w:kern w:val="24"/>
                <w:szCs w:val="24"/>
              </w:rPr>
              <w:drawing>
                <wp:inline distT="0" distB="0" distL="0" distR="0" wp14:anchorId="36A22093" wp14:editId="438AAE76">
                  <wp:extent cx="1828800" cy="1409700"/>
                  <wp:effectExtent l="19050" t="19050" r="19050" b="190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solidFill>
                              <a:schemeClr val="tx1"/>
                            </a:solidFill>
                          </a:ln>
                        </pic:spPr>
                      </pic:pic>
                    </a:graphicData>
                  </a:graphic>
                </wp:inline>
              </w:drawing>
            </w:r>
          </w:p>
        </w:tc>
      </w:tr>
      <w:tr w:rsidR="001E3C16" w14:paraId="457FCC22" w14:textId="16B51EF7" w:rsidTr="002A1AD5">
        <w:trPr>
          <w:cantSplit/>
          <w:trHeight w:val="2240"/>
        </w:trPr>
        <w:tc>
          <w:tcPr>
            <w:tcW w:w="6655" w:type="dxa"/>
            <w:tcBorders>
              <w:top w:val="single" w:sz="4" w:space="0" w:color="auto"/>
              <w:left w:val="single" w:sz="4" w:space="0" w:color="auto"/>
              <w:bottom w:val="single" w:sz="4" w:space="0" w:color="auto"/>
              <w:right w:val="single" w:sz="4" w:space="0" w:color="auto"/>
            </w:tcBorders>
          </w:tcPr>
          <w:p w14:paraId="29ABF918" w14:textId="03EBA520" w:rsidR="001E3C16" w:rsidRDefault="001E3C16" w:rsidP="001E3C16">
            <w:pPr>
              <w:autoSpaceDE w:val="0"/>
              <w:autoSpaceDN w:val="0"/>
              <w:adjustRightInd w:val="0"/>
              <w:spacing w:after="0" w:line="240" w:lineRule="auto"/>
            </w:pPr>
            <w:r w:rsidRPr="006340DE">
              <w:rPr>
                <w:rFonts w:ascii="Calibri" w:hAnsi="Calibri" w:cs="Calibri"/>
                <w:kern w:val="24"/>
                <w:szCs w:val="28"/>
              </w:rPr>
              <w:t>One of the most important methods of preventing a CAUTI is not to insert the catheter initially. So</w:t>
            </w:r>
            <w:r w:rsidR="00505FDD">
              <w:rPr>
                <w:rFonts w:ascii="Calibri" w:hAnsi="Calibri" w:cs="Calibri"/>
                <w:kern w:val="24"/>
                <w:szCs w:val="28"/>
              </w:rPr>
              <w:t>,</w:t>
            </w:r>
            <w:r w:rsidRPr="006340DE">
              <w:rPr>
                <w:rFonts w:ascii="Calibri" w:hAnsi="Calibri" w:cs="Calibri"/>
                <w:kern w:val="24"/>
                <w:szCs w:val="28"/>
              </w:rPr>
              <w:t xml:space="preserve"> “Avoid</w:t>
            </w:r>
            <w:r>
              <w:rPr>
                <w:rFonts w:ascii="Calibri" w:hAnsi="Calibri" w:cs="Calibri"/>
                <w:kern w:val="24"/>
                <w:szCs w:val="28"/>
              </w:rPr>
              <w:t xml:space="preserve"> Unnecessary Urinary Catheter</w:t>
            </w:r>
            <w:r w:rsidRPr="006340DE">
              <w:rPr>
                <w:rFonts w:ascii="Calibri" w:hAnsi="Calibri" w:cs="Calibri"/>
                <w:kern w:val="24"/>
                <w:szCs w:val="28"/>
              </w:rPr>
              <w:t xml:space="preserve"> Placement” is the most important part of this lifecycle, and in this module alternatives and methods to avoid urinary catheterization</w:t>
            </w:r>
            <w:r>
              <w:rPr>
                <w:rFonts w:ascii="Calibri" w:hAnsi="Calibri" w:cs="Calibri"/>
                <w:kern w:val="24"/>
                <w:szCs w:val="28"/>
              </w:rPr>
              <w:t xml:space="preserve"> will be discussed</w:t>
            </w:r>
            <w:r w:rsidRPr="006340DE">
              <w:rPr>
                <w:rFonts w:ascii="Calibri" w:hAnsi="Calibri" w:cs="Calibri"/>
                <w:kern w:val="24"/>
                <w:szCs w:val="28"/>
              </w:rPr>
              <w:t xml:space="preserve">. </w:t>
            </w:r>
            <w:r>
              <w:rPr>
                <w:rFonts w:ascii="Calibri" w:hAnsi="Calibri" w:cs="Calibri"/>
                <w:kern w:val="24"/>
                <w:szCs w:val="28"/>
              </w:rPr>
              <w:t>O</w:t>
            </w:r>
            <w:r w:rsidRPr="006340DE">
              <w:rPr>
                <w:rFonts w:ascii="Calibri" w:hAnsi="Calibri" w:cs="Calibri"/>
                <w:kern w:val="24"/>
                <w:szCs w:val="28"/>
              </w:rPr>
              <w:t>f note, support for early removal also includes helping the patient to the bathroom, monitoring output</w:t>
            </w:r>
            <w:r>
              <w:rPr>
                <w:rFonts w:ascii="Calibri" w:hAnsi="Calibri" w:cs="Calibri"/>
                <w:kern w:val="24"/>
                <w:szCs w:val="28"/>
              </w:rPr>
              <w:t>,</w:t>
            </w:r>
            <w:r w:rsidRPr="006340DE">
              <w:rPr>
                <w:rFonts w:ascii="Calibri" w:hAnsi="Calibri" w:cs="Calibri"/>
                <w:kern w:val="24"/>
                <w:szCs w:val="28"/>
              </w:rPr>
              <w:t xml:space="preserve"> and observing for residual</w:t>
            </w:r>
            <w:r>
              <w:rPr>
                <w:rFonts w:ascii="Calibri" w:hAnsi="Calibri" w:cs="Calibri"/>
                <w:kern w:val="24"/>
                <w:szCs w:val="28"/>
              </w:rPr>
              <w:t xml:space="preserve"> urine</w:t>
            </w:r>
            <w:r w:rsidRPr="006340DE">
              <w:rPr>
                <w:rFonts w:ascii="Calibri" w:hAnsi="Calibri" w:cs="Calibri"/>
                <w:kern w:val="24"/>
                <w:szCs w:val="28"/>
              </w:rPr>
              <w:t>.</w:t>
            </w:r>
          </w:p>
        </w:tc>
        <w:tc>
          <w:tcPr>
            <w:tcW w:w="3261" w:type="dxa"/>
            <w:tcBorders>
              <w:top w:val="single" w:sz="4" w:space="0" w:color="auto"/>
              <w:left w:val="single" w:sz="4" w:space="0" w:color="auto"/>
              <w:bottom w:val="single" w:sz="4" w:space="0" w:color="auto"/>
              <w:right w:val="single" w:sz="4" w:space="0" w:color="auto"/>
            </w:tcBorders>
          </w:tcPr>
          <w:p w14:paraId="21B7CD61" w14:textId="77777777" w:rsidR="001E3C16" w:rsidRDefault="001E3C16" w:rsidP="001E3C16">
            <w:r>
              <w:t>Slide 2</w:t>
            </w:r>
          </w:p>
          <w:p w14:paraId="3D71A992" w14:textId="1686F641" w:rsidR="001E3C16" w:rsidRDefault="001E3C16" w:rsidP="002A1AD5">
            <w:pPr>
              <w:autoSpaceDE w:val="0"/>
              <w:autoSpaceDN w:val="0"/>
              <w:adjustRightInd w:val="0"/>
              <w:spacing w:after="120" w:line="240" w:lineRule="auto"/>
              <w:rPr>
                <w:rFonts w:cs="Calibri"/>
                <w:kern w:val="24"/>
                <w:szCs w:val="24"/>
              </w:rPr>
            </w:pPr>
            <w:r>
              <w:rPr>
                <w:noProof/>
              </w:rPr>
              <w:drawing>
                <wp:inline distT="0" distB="0" distL="0" distR="0" wp14:anchorId="52A1D708" wp14:editId="3A8B6EA2">
                  <wp:extent cx="1821570" cy="1399429"/>
                  <wp:effectExtent l="19050" t="19050" r="26670" b="1079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a:stretch>
                            <a:fillRect/>
                          </a:stretch>
                        </pic:blipFill>
                        <pic:spPr>
                          <a:xfrm>
                            <a:off x="0" y="0"/>
                            <a:ext cx="1827583" cy="1404049"/>
                          </a:xfrm>
                          <a:prstGeom prst="rect">
                            <a:avLst/>
                          </a:prstGeom>
                          <a:ln>
                            <a:solidFill>
                              <a:schemeClr val="tx1"/>
                            </a:solidFill>
                          </a:ln>
                        </pic:spPr>
                      </pic:pic>
                    </a:graphicData>
                  </a:graphic>
                </wp:inline>
              </w:drawing>
            </w:r>
          </w:p>
        </w:tc>
      </w:tr>
    </w:tbl>
    <w:p w14:paraId="53A5328C" w14:textId="77777777" w:rsidR="00E64E0B" w:rsidRDefault="00E64E0B" w:rsidP="00E64E0B">
      <w:pPr>
        <w:jc w:val="center"/>
      </w:pPr>
    </w:p>
    <w:p w14:paraId="29E58FA3" w14:textId="5A3A34FB" w:rsidR="006C26D8" w:rsidRDefault="006C26D8"/>
    <w:p w14:paraId="060F6238" w14:textId="1737BA70" w:rsidR="006C26D8" w:rsidRDefault="006C26D8"/>
    <w:p w14:paraId="561FCFA0" w14:textId="0A43AE0F" w:rsidR="006C26D8" w:rsidRDefault="006C26D8">
      <w:pPr>
        <w:sectPr w:rsidR="006C26D8" w:rsidSect="00276CA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cols w:space="720"/>
          <w:titlePg/>
          <w:docGrid w:linePitch="360"/>
        </w:sect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40"/>
      </w:tblGrid>
      <w:tr w:rsidR="002A1AD5" w14:paraId="228D9A74" w14:textId="77777777" w:rsidTr="005D144F">
        <w:trPr>
          <w:cantSplit/>
          <w:trHeight w:val="50"/>
        </w:trPr>
        <w:tc>
          <w:tcPr>
            <w:tcW w:w="6655" w:type="dxa"/>
            <w:tcBorders>
              <w:top w:val="single" w:sz="4" w:space="0" w:color="auto"/>
              <w:left w:val="single" w:sz="4" w:space="0" w:color="auto"/>
              <w:bottom w:val="single" w:sz="4" w:space="0" w:color="auto"/>
              <w:right w:val="single" w:sz="4" w:space="0" w:color="auto"/>
            </w:tcBorders>
          </w:tcPr>
          <w:p w14:paraId="1891F56E" w14:textId="1EF42D30" w:rsidR="002A1AD5" w:rsidRDefault="002A1AD5" w:rsidP="002A1AD5">
            <w:pPr>
              <w:autoSpaceDE w:val="0"/>
              <w:autoSpaceDN w:val="0"/>
              <w:adjustRightInd w:val="0"/>
              <w:spacing w:after="0" w:line="240" w:lineRule="auto"/>
              <w:rPr>
                <w:rFonts w:ascii="Calibri" w:hAnsi="Calibri" w:cs="Calibri"/>
                <w:kern w:val="24"/>
                <w:szCs w:val="24"/>
              </w:rPr>
            </w:pPr>
            <w:r w:rsidRPr="00A177C8">
              <w:rPr>
                <w:rFonts w:cs="Calibri"/>
                <w:b/>
                <w:kern w:val="24"/>
                <w:szCs w:val="24"/>
              </w:rPr>
              <w:lastRenderedPageBreak/>
              <w:t>Facilitator Guide</w:t>
            </w:r>
          </w:p>
        </w:tc>
        <w:tc>
          <w:tcPr>
            <w:tcW w:w="3240" w:type="dxa"/>
            <w:tcBorders>
              <w:top w:val="single" w:sz="4" w:space="0" w:color="auto"/>
              <w:left w:val="single" w:sz="4" w:space="0" w:color="auto"/>
              <w:bottom w:val="single" w:sz="4" w:space="0" w:color="auto"/>
              <w:right w:val="single" w:sz="4" w:space="0" w:color="auto"/>
            </w:tcBorders>
          </w:tcPr>
          <w:p w14:paraId="328139A7" w14:textId="1876446F" w:rsidR="002A1AD5" w:rsidRDefault="002A1AD5" w:rsidP="002A1AD5">
            <w:pPr>
              <w:spacing w:after="0"/>
            </w:pPr>
            <w:r w:rsidRPr="00A177C8">
              <w:rPr>
                <w:b/>
              </w:rPr>
              <w:t>Slide Number and Image</w:t>
            </w:r>
          </w:p>
        </w:tc>
      </w:tr>
      <w:tr w:rsidR="00C761BA" w14:paraId="728A8871" w14:textId="3DD0E18F" w:rsidTr="005D144F">
        <w:trPr>
          <w:trHeight w:val="3266"/>
        </w:trPr>
        <w:tc>
          <w:tcPr>
            <w:tcW w:w="6655" w:type="dxa"/>
            <w:tcBorders>
              <w:top w:val="single" w:sz="4" w:space="0" w:color="auto"/>
              <w:left w:val="single" w:sz="4" w:space="0" w:color="auto"/>
              <w:bottom w:val="single" w:sz="4" w:space="0" w:color="auto"/>
              <w:right w:val="single" w:sz="4" w:space="0" w:color="auto"/>
            </w:tcBorders>
          </w:tcPr>
          <w:p w14:paraId="57354EEF" w14:textId="2E965010" w:rsidR="00C761BA" w:rsidRPr="00385928" w:rsidRDefault="00C761BA" w:rsidP="003859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The first step is to stop and think critically about whether your patient needs an indwelling urinary catheter or if there are alternatives that may be appropriate. Historically, the ICU staff believed that all critical care unit patients need a urinary catheter, also commonly referred to as a Foley</w:t>
            </w:r>
            <w:r w:rsidR="00505FDD">
              <w:rPr>
                <w:rFonts w:ascii="Calibri" w:hAnsi="Calibri" w:cs="Calibri"/>
                <w:kern w:val="24"/>
                <w:szCs w:val="24"/>
              </w:rPr>
              <w:t xml:space="preserve"> catheter</w:t>
            </w:r>
            <w:r>
              <w:rPr>
                <w:rFonts w:ascii="Calibri" w:hAnsi="Calibri" w:cs="Calibri"/>
                <w:kern w:val="24"/>
                <w:szCs w:val="24"/>
              </w:rPr>
              <w:t>. One of the most important reasons for urinary catheter insertion in an ICU is for intake (I) and output (O) monitoring in an ICU. The need for urinary catheter insertion can vary among different ICUs because not all patients need hourly measurement of urine. This module will address alternatives to the indwelling urinary catheter and tools to improve clinical decision</w:t>
            </w:r>
            <w:r w:rsidR="00505FDD">
              <w:rPr>
                <w:rFonts w:ascii="Calibri" w:hAnsi="Calibri" w:cs="Calibri"/>
                <w:kern w:val="24"/>
                <w:szCs w:val="24"/>
              </w:rPr>
              <w:t xml:space="preserve"> </w:t>
            </w:r>
            <w:r>
              <w:rPr>
                <w:rFonts w:ascii="Calibri" w:hAnsi="Calibri" w:cs="Calibri"/>
                <w:kern w:val="24"/>
                <w:szCs w:val="24"/>
              </w:rPr>
              <w:t xml:space="preserve">making in order to avoid placement of the catheter. </w:t>
            </w:r>
          </w:p>
        </w:tc>
        <w:tc>
          <w:tcPr>
            <w:tcW w:w="3240" w:type="dxa"/>
            <w:tcBorders>
              <w:top w:val="single" w:sz="4" w:space="0" w:color="auto"/>
              <w:left w:val="single" w:sz="4" w:space="0" w:color="auto"/>
              <w:bottom w:val="single" w:sz="4" w:space="0" w:color="auto"/>
              <w:right w:val="single" w:sz="4" w:space="0" w:color="auto"/>
            </w:tcBorders>
          </w:tcPr>
          <w:p w14:paraId="5BB091BB" w14:textId="3A367BBA" w:rsidR="00C761BA" w:rsidRDefault="00C761BA" w:rsidP="00C761BA">
            <w:r>
              <w:t>Slide 3</w:t>
            </w:r>
          </w:p>
          <w:p w14:paraId="1169F62E" w14:textId="5A31DBFC" w:rsidR="00C761BA" w:rsidRPr="00385928" w:rsidRDefault="00615A8C" w:rsidP="00385928">
            <w:pPr>
              <w:autoSpaceDE w:val="0"/>
              <w:autoSpaceDN w:val="0"/>
              <w:adjustRightInd w:val="0"/>
              <w:spacing w:line="240" w:lineRule="auto"/>
              <w:rPr>
                <w:rFonts w:cs="Calibri"/>
                <w:kern w:val="24"/>
                <w:szCs w:val="24"/>
              </w:rPr>
            </w:pPr>
            <w:r>
              <w:rPr>
                <w:rFonts w:cs="Calibri"/>
                <w:noProof/>
                <w:kern w:val="24"/>
                <w:szCs w:val="24"/>
              </w:rPr>
              <w:drawing>
                <wp:inline distT="0" distB="0" distL="0" distR="0" wp14:anchorId="0FFD8359" wp14:editId="44C708B7">
                  <wp:extent cx="1885950" cy="1457325"/>
                  <wp:effectExtent l="19050" t="19050" r="19050" b="2857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457325"/>
                          </a:xfrm>
                          <a:prstGeom prst="rect">
                            <a:avLst/>
                          </a:prstGeom>
                          <a:noFill/>
                          <a:ln>
                            <a:solidFill>
                              <a:schemeClr val="tx1"/>
                            </a:solidFill>
                          </a:ln>
                        </pic:spPr>
                      </pic:pic>
                    </a:graphicData>
                  </a:graphic>
                </wp:inline>
              </w:drawing>
            </w:r>
          </w:p>
        </w:tc>
      </w:tr>
      <w:tr w:rsidR="00C761BA" w14:paraId="3B470F6B" w14:textId="29160446" w:rsidTr="005D144F">
        <w:trPr>
          <w:trHeight w:val="1700"/>
        </w:trPr>
        <w:tc>
          <w:tcPr>
            <w:tcW w:w="6655" w:type="dxa"/>
            <w:tcBorders>
              <w:top w:val="single" w:sz="4" w:space="0" w:color="auto"/>
              <w:left w:val="single" w:sz="4" w:space="0" w:color="auto"/>
              <w:bottom w:val="single" w:sz="4" w:space="0" w:color="auto"/>
              <w:right w:val="single" w:sz="4" w:space="0" w:color="auto"/>
            </w:tcBorders>
          </w:tcPr>
          <w:p w14:paraId="694528FE" w14:textId="179792E6"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Once you have assessed the patient’s individual care needs and determined if alternatives are appropriate for use, consider which alternatives to an indwelling urinary catheter are best suited for the patient. Alternatives provide a much lower risk of infectious complications, such as urinary tract infection. In a recent study, introduction of a new female collection device resulted in a 58</w:t>
            </w:r>
            <w:r w:rsidR="00505FDD">
              <w:rPr>
                <w:rFonts w:ascii="Calibri" w:hAnsi="Calibri" w:cs="Calibri"/>
                <w:kern w:val="24"/>
                <w:szCs w:val="24"/>
              </w:rPr>
              <w:t xml:space="preserve"> percent</w:t>
            </w:r>
            <w:r>
              <w:rPr>
                <w:rFonts w:ascii="Calibri" w:hAnsi="Calibri" w:cs="Calibri"/>
                <w:kern w:val="24"/>
                <w:szCs w:val="24"/>
              </w:rPr>
              <w:t xml:space="preserve"> decrease in CAUTI rates. Use of alternatives reduce</w:t>
            </w:r>
            <w:r w:rsidR="00505FDD">
              <w:rPr>
                <w:rFonts w:ascii="Calibri" w:hAnsi="Calibri" w:cs="Calibri"/>
                <w:kern w:val="24"/>
                <w:szCs w:val="24"/>
              </w:rPr>
              <w:t>s</w:t>
            </w:r>
            <w:r>
              <w:rPr>
                <w:rFonts w:ascii="Calibri" w:hAnsi="Calibri" w:cs="Calibri"/>
                <w:kern w:val="24"/>
                <w:szCs w:val="24"/>
              </w:rPr>
              <w:t xml:space="preserve"> noninfectious complications, such as discomfort, pain</w:t>
            </w:r>
            <w:r w:rsidR="00505FDD">
              <w:rPr>
                <w:rFonts w:ascii="Calibri" w:hAnsi="Calibri" w:cs="Calibri"/>
                <w:kern w:val="24"/>
                <w:szCs w:val="24"/>
              </w:rPr>
              <w:t>,</w:t>
            </w:r>
            <w:r>
              <w:rPr>
                <w:rFonts w:ascii="Calibri" w:hAnsi="Calibri" w:cs="Calibri"/>
                <w:kern w:val="24"/>
                <w:szCs w:val="24"/>
              </w:rPr>
              <w:t xml:space="preserve"> or blood in the urine, or sense of urinary urgency and immobility. There are many benefits to using urinary catheter alternatives, but there are some perceived barriers as well</w:t>
            </w:r>
            <w:r w:rsidR="00505FDD">
              <w:rPr>
                <w:rFonts w:ascii="Calibri" w:hAnsi="Calibri" w:cs="Calibri"/>
                <w:kern w:val="24"/>
                <w:szCs w:val="24"/>
              </w:rPr>
              <w:t>.</w:t>
            </w:r>
          </w:p>
          <w:p w14:paraId="1D429242" w14:textId="2CEB3961" w:rsidR="00C761BA" w:rsidRDefault="00C761BA" w:rsidP="00C761BA">
            <w:pPr>
              <w:autoSpaceDE w:val="0"/>
              <w:autoSpaceDN w:val="0"/>
              <w:adjustRightInd w:val="0"/>
              <w:spacing w:after="0" w:line="240" w:lineRule="auto"/>
              <w:rPr>
                <w:rFonts w:ascii="Calibri" w:hAnsi="Calibri" w:cs="Calibri"/>
                <w:color w:val="FF0000"/>
                <w:kern w:val="24"/>
                <w:szCs w:val="24"/>
              </w:rPr>
            </w:pPr>
            <w:r>
              <w:rPr>
                <w:rFonts w:ascii="Calibri" w:hAnsi="Calibri" w:cs="Calibri"/>
                <w:kern w:val="24"/>
                <w:szCs w:val="24"/>
              </w:rPr>
              <w:t>To ensure effective alternatives are available, consider</w:t>
            </w:r>
            <w:r w:rsidR="00505FDD">
              <w:rPr>
                <w:rFonts w:ascii="Calibri" w:hAnsi="Calibri" w:cs="Calibri"/>
                <w:kern w:val="24"/>
                <w:szCs w:val="24"/>
              </w:rPr>
              <w:t xml:space="preserve"> the following:</w:t>
            </w:r>
            <w:r>
              <w:rPr>
                <w:rFonts w:ascii="Calibri" w:hAnsi="Calibri" w:cs="Calibri"/>
                <w:kern w:val="24"/>
                <w:szCs w:val="24"/>
              </w:rPr>
              <w:t xml:space="preserve"> </w:t>
            </w:r>
          </w:p>
          <w:p w14:paraId="1DF1BCBB" w14:textId="77777777" w:rsidR="00C761BA" w:rsidRPr="00385928" w:rsidRDefault="00C761BA" w:rsidP="00C761BA">
            <w:pPr>
              <w:pStyle w:val="ListParagraph"/>
              <w:numPr>
                <w:ilvl w:val="0"/>
                <w:numId w:val="22"/>
              </w:numPr>
              <w:autoSpaceDE w:val="0"/>
              <w:autoSpaceDN w:val="0"/>
              <w:adjustRightInd w:val="0"/>
              <w:spacing w:line="240" w:lineRule="auto"/>
              <w:ind w:left="286" w:hanging="286"/>
              <w:rPr>
                <w:rFonts w:ascii="Calibri" w:hAnsi="Calibri" w:cs="Calibri"/>
                <w:kern w:val="24"/>
                <w:szCs w:val="24"/>
              </w:rPr>
            </w:pPr>
            <w:r w:rsidRPr="00385928">
              <w:rPr>
                <w:rFonts w:ascii="Calibri" w:hAnsi="Calibri" w:cs="Calibri"/>
                <w:kern w:val="24"/>
                <w:szCs w:val="24"/>
              </w:rPr>
              <w:t>Involve the Supply Chain/Materials Management Department in the search for alternatives. Obtain samples of products so that staff can conduct a trial as a way to identify which products work best with the patient population.</w:t>
            </w:r>
          </w:p>
          <w:p w14:paraId="5DE201BD" w14:textId="77777777" w:rsidR="00C761BA" w:rsidRPr="00385928"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sidRPr="00385928">
              <w:rPr>
                <w:rFonts w:ascii="Calibri" w:hAnsi="Calibri" w:cs="Calibri"/>
                <w:kern w:val="24"/>
                <w:szCs w:val="24"/>
              </w:rPr>
              <w:t>Collaborate with product representatives who can provide staff with guidance and instruction on how to use their devices correctly.</w:t>
            </w:r>
          </w:p>
          <w:p w14:paraId="3AAB697E" w14:textId="0A662253" w:rsidR="00385928" w:rsidRPr="002A1AD5" w:rsidRDefault="00C761BA" w:rsidP="002A1AD5">
            <w:pPr>
              <w:numPr>
                <w:ilvl w:val="0"/>
                <w:numId w:val="9"/>
              </w:numPr>
              <w:autoSpaceDE w:val="0"/>
              <w:autoSpaceDN w:val="0"/>
              <w:adjustRightInd w:val="0"/>
              <w:spacing w:after="0" w:line="240" w:lineRule="auto"/>
              <w:ind w:left="270" w:hanging="270"/>
              <w:rPr>
                <w:rFonts w:ascii="Calibri" w:hAnsi="Calibri" w:cs="Calibri"/>
                <w:kern w:val="24"/>
                <w:szCs w:val="24"/>
              </w:rPr>
            </w:pPr>
            <w:r w:rsidRPr="00385928">
              <w:rPr>
                <w:rFonts w:ascii="Calibri" w:hAnsi="Calibri" w:cs="Calibri"/>
                <w:kern w:val="24"/>
                <w:szCs w:val="24"/>
              </w:rPr>
              <w:t>Have your staff complete product evaluations so that this information can be used to determine the best alternative product(s).</w:t>
            </w:r>
          </w:p>
        </w:tc>
        <w:tc>
          <w:tcPr>
            <w:tcW w:w="3240" w:type="dxa"/>
            <w:tcBorders>
              <w:top w:val="single" w:sz="4" w:space="0" w:color="auto"/>
              <w:left w:val="single" w:sz="4" w:space="0" w:color="auto"/>
              <w:bottom w:val="single" w:sz="4" w:space="0" w:color="auto"/>
              <w:right w:val="single" w:sz="4" w:space="0" w:color="auto"/>
            </w:tcBorders>
          </w:tcPr>
          <w:p w14:paraId="5B723B4F" w14:textId="332201CA" w:rsidR="00C761BA" w:rsidRDefault="00C761BA" w:rsidP="00C761BA">
            <w:r>
              <w:t>Slide 4</w:t>
            </w:r>
          </w:p>
          <w:p w14:paraId="4CAEC8CC" w14:textId="20D0F9FD" w:rsidR="00C761BA" w:rsidRDefault="003157A9" w:rsidP="00C761BA">
            <w:pPr>
              <w:autoSpaceDE w:val="0"/>
              <w:autoSpaceDN w:val="0"/>
              <w:adjustRightInd w:val="0"/>
              <w:spacing w:after="0" w:line="240" w:lineRule="auto"/>
              <w:rPr>
                <w:rFonts w:cs="Calibri"/>
                <w:kern w:val="24"/>
                <w:szCs w:val="24"/>
              </w:rPr>
            </w:pPr>
            <w:r>
              <w:rPr>
                <w:rFonts w:cs="Calibri"/>
                <w:noProof/>
                <w:kern w:val="24"/>
                <w:szCs w:val="24"/>
              </w:rPr>
              <w:drawing>
                <wp:inline distT="0" distB="0" distL="0" distR="0" wp14:anchorId="48339955" wp14:editId="4AED4A40">
                  <wp:extent cx="1857375" cy="1438275"/>
                  <wp:effectExtent l="19050" t="19050" r="28575" b="2857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438275"/>
                          </a:xfrm>
                          <a:prstGeom prst="rect">
                            <a:avLst/>
                          </a:prstGeom>
                          <a:noFill/>
                          <a:ln>
                            <a:solidFill>
                              <a:schemeClr val="tx1"/>
                            </a:solidFill>
                          </a:ln>
                        </pic:spPr>
                      </pic:pic>
                    </a:graphicData>
                  </a:graphic>
                </wp:inline>
              </w:drawing>
            </w:r>
          </w:p>
        </w:tc>
      </w:tr>
    </w:tbl>
    <w:p w14:paraId="6BFC506F" w14:textId="77777777" w:rsidR="005D144F" w:rsidRDefault="005D144F">
      <w:r>
        <w:br w:type="page"/>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40"/>
      </w:tblGrid>
      <w:tr w:rsidR="005D144F" w14:paraId="0807DBC1" w14:textId="77777777" w:rsidTr="005D144F">
        <w:trPr>
          <w:cantSplit/>
          <w:trHeight w:val="152"/>
          <w:tblHeader/>
        </w:trPr>
        <w:tc>
          <w:tcPr>
            <w:tcW w:w="6655" w:type="dxa"/>
            <w:tcBorders>
              <w:top w:val="single" w:sz="4" w:space="0" w:color="auto"/>
              <w:left w:val="single" w:sz="4" w:space="0" w:color="auto"/>
              <w:bottom w:val="single" w:sz="4" w:space="0" w:color="auto"/>
              <w:right w:val="single" w:sz="4" w:space="0" w:color="auto"/>
            </w:tcBorders>
          </w:tcPr>
          <w:p w14:paraId="666FC17A" w14:textId="3D644D15" w:rsidR="005D144F" w:rsidRDefault="005D144F" w:rsidP="005D144F">
            <w:pPr>
              <w:autoSpaceDE w:val="0"/>
              <w:autoSpaceDN w:val="0"/>
              <w:adjustRightInd w:val="0"/>
              <w:spacing w:after="0" w:line="240" w:lineRule="auto"/>
              <w:jc w:val="center"/>
              <w:rPr>
                <w:rFonts w:ascii="Calibri" w:hAnsi="Calibri" w:cs="Calibri"/>
                <w:kern w:val="24"/>
                <w:szCs w:val="24"/>
              </w:rPr>
            </w:pPr>
            <w:r w:rsidRPr="00A177C8">
              <w:rPr>
                <w:rFonts w:cs="Calibri"/>
                <w:b/>
                <w:kern w:val="24"/>
                <w:szCs w:val="24"/>
              </w:rPr>
              <w:lastRenderedPageBreak/>
              <w:t>Facilitator Guide</w:t>
            </w:r>
          </w:p>
        </w:tc>
        <w:tc>
          <w:tcPr>
            <w:tcW w:w="3240" w:type="dxa"/>
            <w:tcBorders>
              <w:top w:val="single" w:sz="4" w:space="0" w:color="auto"/>
              <w:left w:val="single" w:sz="4" w:space="0" w:color="auto"/>
              <w:bottom w:val="single" w:sz="4" w:space="0" w:color="auto"/>
              <w:right w:val="single" w:sz="4" w:space="0" w:color="auto"/>
            </w:tcBorders>
          </w:tcPr>
          <w:p w14:paraId="685E62F9" w14:textId="4BEDE403" w:rsidR="005D144F" w:rsidRDefault="005D144F" w:rsidP="005D144F">
            <w:pPr>
              <w:spacing w:after="0"/>
              <w:jc w:val="center"/>
            </w:pPr>
            <w:r w:rsidRPr="00A177C8">
              <w:rPr>
                <w:b/>
              </w:rPr>
              <w:t>Slide Number and Image</w:t>
            </w:r>
          </w:p>
        </w:tc>
      </w:tr>
      <w:tr w:rsidR="00C761BA" w14:paraId="25D68096" w14:textId="685A0C01"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1BF2C1F7" w14:textId="7F293C54" w:rsidR="00037C03" w:rsidRPr="00037C03" w:rsidRDefault="00C761BA" w:rsidP="00037C03">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An external catheter is a urine containment device that fits over or adheres to the genitalia and is attached to a urinary drainage bag. A condom catheter, seen on the left, is an acceptable alternative to the indwelling urinary catheter but challenges occur with fit and securement because of the male anatomy.  Two new alternatives</w:t>
            </w:r>
            <w:r w:rsidR="0081609A">
              <w:rPr>
                <w:rFonts w:ascii="Calibri" w:hAnsi="Calibri" w:cs="Calibri"/>
                <w:kern w:val="24"/>
                <w:szCs w:val="24"/>
              </w:rPr>
              <w:t>,</w:t>
            </w:r>
            <w:r>
              <w:rPr>
                <w:rFonts w:ascii="Calibri" w:hAnsi="Calibri" w:cs="Calibri"/>
                <w:kern w:val="24"/>
                <w:szCs w:val="24"/>
              </w:rPr>
              <w:t xml:space="preserve"> seen on the right in the picture, do not require securement on the shaft of the penis</w:t>
            </w:r>
            <w:r w:rsidR="0081609A">
              <w:rPr>
                <w:rFonts w:ascii="Calibri" w:hAnsi="Calibri" w:cs="Calibri"/>
                <w:kern w:val="24"/>
                <w:szCs w:val="24"/>
              </w:rPr>
              <w:t>,</w:t>
            </w:r>
            <w:r>
              <w:rPr>
                <w:rFonts w:ascii="Calibri" w:hAnsi="Calibri" w:cs="Calibri"/>
                <w:kern w:val="24"/>
                <w:szCs w:val="24"/>
              </w:rPr>
              <w:t xml:space="preserve"> eliminating the issue in patients </w:t>
            </w:r>
            <w:r w:rsidR="00385928">
              <w:rPr>
                <w:rFonts w:ascii="Calibri" w:hAnsi="Calibri" w:cs="Calibri"/>
                <w:kern w:val="24"/>
                <w:szCs w:val="24"/>
              </w:rPr>
              <w:t>with small or buried penis</w:t>
            </w:r>
            <w:r>
              <w:rPr>
                <w:rFonts w:ascii="Calibri" w:hAnsi="Calibri" w:cs="Calibri"/>
                <w:kern w:val="24"/>
                <w:szCs w:val="24"/>
              </w:rPr>
              <w:t>. The device in the middle secures directly onto the glands penis</w:t>
            </w:r>
            <w:r w:rsidR="0081609A">
              <w:rPr>
                <w:rFonts w:ascii="Calibri" w:hAnsi="Calibri" w:cs="Calibri"/>
                <w:kern w:val="24"/>
                <w:szCs w:val="24"/>
              </w:rPr>
              <w:t>, so</w:t>
            </w:r>
            <w:r>
              <w:rPr>
                <w:rFonts w:ascii="Calibri" w:hAnsi="Calibri" w:cs="Calibri"/>
                <w:kern w:val="24"/>
                <w:szCs w:val="24"/>
              </w:rPr>
              <w:t xml:space="preserve"> the size of the shaft is irrelevant and can be used with circumcised and uncircumcised patients. The device on the far right can fit over any size penis, is secured in place by adhesive</w:t>
            </w:r>
            <w:r w:rsidR="0081609A">
              <w:rPr>
                <w:rFonts w:ascii="Calibri" w:hAnsi="Calibri" w:cs="Calibri"/>
                <w:kern w:val="24"/>
                <w:szCs w:val="24"/>
              </w:rPr>
              <w:t>,</w:t>
            </w:r>
            <w:r>
              <w:rPr>
                <w:rFonts w:ascii="Calibri" w:hAnsi="Calibri" w:cs="Calibri"/>
                <w:kern w:val="24"/>
                <w:szCs w:val="24"/>
              </w:rPr>
              <w:t xml:space="preserve"> and is connected to suction to divert the urine into the collection bag immediat</w:t>
            </w:r>
            <w:r w:rsidR="00385928">
              <w:rPr>
                <w:rFonts w:ascii="Calibri" w:hAnsi="Calibri" w:cs="Calibri"/>
                <w:kern w:val="24"/>
                <w:szCs w:val="24"/>
              </w:rPr>
              <w:t xml:space="preserve">ely. </w:t>
            </w:r>
            <w:r>
              <w:rPr>
                <w:rFonts w:ascii="Calibri" w:hAnsi="Calibri" w:cs="Calibri"/>
                <w:kern w:val="24"/>
                <w:szCs w:val="24"/>
              </w:rPr>
              <w:t>The healthcare worker should possess the ability to apply and remove the external male collection device correctly per institutional policies or manufacturer recommendations.</w:t>
            </w:r>
          </w:p>
        </w:tc>
        <w:tc>
          <w:tcPr>
            <w:tcW w:w="3240" w:type="dxa"/>
            <w:tcBorders>
              <w:top w:val="single" w:sz="4" w:space="0" w:color="auto"/>
              <w:left w:val="single" w:sz="4" w:space="0" w:color="auto"/>
              <w:bottom w:val="single" w:sz="4" w:space="0" w:color="auto"/>
              <w:right w:val="single" w:sz="4" w:space="0" w:color="auto"/>
            </w:tcBorders>
          </w:tcPr>
          <w:p w14:paraId="59AC2A07" w14:textId="5CFAC8B5" w:rsidR="00C761BA" w:rsidRDefault="00C761BA" w:rsidP="00C761BA">
            <w:r>
              <w:t>Slide 5</w:t>
            </w:r>
          </w:p>
          <w:p w14:paraId="618B70A8" w14:textId="0333DFDF" w:rsidR="00C761BA" w:rsidRDefault="00385928" w:rsidP="00C761BA">
            <w:pPr>
              <w:autoSpaceDE w:val="0"/>
              <w:autoSpaceDN w:val="0"/>
              <w:adjustRightInd w:val="0"/>
              <w:spacing w:after="0" w:line="240" w:lineRule="auto"/>
              <w:rPr>
                <w:rFonts w:cs="Calibri"/>
                <w:kern w:val="24"/>
                <w:szCs w:val="24"/>
              </w:rPr>
            </w:pPr>
            <w:r>
              <w:rPr>
                <w:noProof/>
              </w:rPr>
              <w:drawing>
                <wp:inline distT="0" distB="0" distL="0" distR="0" wp14:anchorId="78202E5F" wp14:editId="0C46636D">
                  <wp:extent cx="1850066" cy="1419363"/>
                  <wp:effectExtent l="19050" t="19050" r="17145" b="952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1"/>
                          <a:stretch>
                            <a:fillRect/>
                          </a:stretch>
                        </pic:blipFill>
                        <pic:spPr>
                          <a:xfrm>
                            <a:off x="0" y="0"/>
                            <a:ext cx="1854553" cy="1422805"/>
                          </a:xfrm>
                          <a:prstGeom prst="rect">
                            <a:avLst/>
                          </a:prstGeom>
                          <a:ln>
                            <a:solidFill>
                              <a:schemeClr val="tx1"/>
                            </a:solidFill>
                          </a:ln>
                        </pic:spPr>
                      </pic:pic>
                    </a:graphicData>
                  </a:graphic>
                </wp:inline>
              </w:drawing>
            </w:r>
          </w:p>
        </w:tc>
      </w:tr>
      <w:tr w:rsidR="00C761BA" w14:paraId="3AB67BAC" w14:textId="3D6DC542"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551473F" w14:textId="77777777"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The indications shown here summarize important uses for the condom catheter in addition to intake and output. </w:t>
            </w:r>
          </w:p>
          <w:p w14:paraId="0A26F968" w14:textId="77777777"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They are as follows:</w:t>
            </w:r>
          </w:p>
          <w:p w14:paraId="143AC321" w14:textId="54219DC8"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 xml:space="preserve">Stage III or </w:t>
            </w:r>
            <w:r w:rsidR="0081609A">
              <w:rPr>
                <w:rFonts w:ascii="Calibri" w:hAnsi="Calibri" w:cs="Calibri"/>
                <w:kern w:val="24"/>
                <w:szCs w:val="24"/>
              </w:rPr>
              <w:t>s</w:t>
            </w:r>
            <w:r>
              <w:rPr>
                <w:rFonts w:ascii="Calibri" w:hAnsi="Calibri" w:cs="Calibri"/>
                <w:kern w:val="24"/>
                <w:szCs w:val="24"/>
              </w:rPr>
              <w:t xml:space="preserve">tage IV or unstageable pressure ulcers </w:t>
            </w:r>
          </w:p>
          <w:p w14:paraId="2D5C933E"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Moderate to severe incontinence-associated dermatitis</w:t>
            </w:r>
          </w:p>
          <w:p w14:paraId="53898B96"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Daily (not hourly) measurement of urine volume that is required for the treatment plan</w:t>
            </w:r>
          </w:p>
          <w:p w14:paraId="5EBCE011"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Single 24-hour urine analysis</w:t>
            </w:r>
          </w:p>
          <w:p w14:paraId="0EECDF92"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Urine sample for diagnostic testing</w:t>
            </w:r>
          </w:p>
          <w:p w14:paraId="30498D07"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Presence of acute, severe pain with movement</w:t>
            </w:r>
          </w:p>
          <w:p w14:paraId="10B406BC"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 xml:space="preserve">Patient request for external catheter to manage urinary incontinence while hospitalized; and </w:t>
            </w:r>
          </w:p>
          <w:p w14:paraId="07DD55FD" w14:textId="5C203D4E" w:rsidR="00037C03" w:rsidRPr="002A1AD5" w:rsidRDefault="00C761BA" w:rsidP="002A1AD5">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 xml:space="preserve">Improvement in comfort in a dying patient </w:t>
            </w:r>
          </w:p>
        </w:tc>
        <w:tc>
          <w:tcPr>
            <w:tcW w:w="3240" w:type="dxa"/>
            <w:tcBorders>
              <w:top w:val="single" w:sz="4" w:space="0" w:color="auto"/>
              <w:left w:val="single" w:sz="4" w:space="0" w:color="auto"/>
              <w:bottom w:val="single" w:sz="4" w:space="0" w:color="auto"/>
              <w:right w:val="single" w:sz="4" w:space="0" w:color="auto"/>
            </w:tcBorders>
          </w:tcPr>
          <w:p w14:paraId="6AD78DC5" w14:textId="4B07DE05" w:rsidR="00C761BA" w:rsidRDefault="00C761BA" w:rsidP="00C761BA">
            <w:r>
              <w:t>Slide 6</w:t>
            </w:r>
          </w:p>
          <w:p w14:paraId="373541DB" w14:textId="75E8FFF6" w:rsidR="00C761BA" w:rsidRDefault="00037C03" w:rsidP="00C761BA">
            <w:pPr>
              <w:autoSpaceDE w:val="0"/>
              <w:autoSpaceDN w:val="0"/>
              <w:adjustRightInd w:val="0"/>
              <w:spacing w:after="0" w:line="240" w:lineRule="auto"/>
              <w:rPr>
                <w:rFonts w:cs="Calibri"/>
                <w:kern w:val="24"/>
                <w:szCs w:val="24"/>
              </w:rPr>
            </w:pPr>
            <w:r>
              <w:rPr>
                <w:noProof/>
              </w:rPr>
              <w:drawing>
                <wp:inline distT="0" distB="0" distL="0" distR="0" wp14:anchorId="06B0751C" wp14:editId="03610ED7">
                  <wp:extent cx="1860312" cy="1424763"/>
                  <wp:effectExtent l="19050" t="19050" r="26035" b="2349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2"/>
                          <a:stretch>
                            <a:fillRect/>
                          </a:stretch>
                        </pic:blipFill>
                        <pic:spPr>
                          <a:xfrm>
                            <a:off x="0" y="0"/>
                            <a:ext cx="1862288" cy="1426276"/>
                          </a:xfrm>
                          <a:prstGeom prst="rect">
                            <a:avLst/>
                          </a:prstGeom>
                          <a:ln>
                            <a:solidFill>
                              <a:schemeClr val="tx1"/>
                            </a:solidFill>
                          </a:ln>
                        </pic:spPr>
                      </pic:pic>
                    </a:graphicData>
                  </a:graphic>
                </wp:inline>
              </w:drawing>
            </w:r>
          </w:p>
        </w:tc>
      </w:tr>
      <w:tr w:rsidR="00C761BA" w14:paraId="10EDD68D" w14:textId="112C2FF9"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5F28C5FF" w14:textId="47DA90B8"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lastRenderedPageBreak/>
              <w:t>Although the risk of urinary tract infection is reduced with use of condom catheters as opposed to indwelling catheters, condom catheters do have some risk</w:t>
            </w:r>
            <w:r w:rsidR="0081609A">
              <w:rPr>
                <w:rFonts w:ascii="Calibri" w:hAnsi="Calibri" w:cs="Calibri"/>
                <w:kern w:val="24"/>
                <w:szCs w:val="24"/>
              </w:rPr>
              <w:t>,</w:t>
            </w:r>
            <w:r>
              <w:rPr>
                <w:rFonts w:ascii="Calibri" w:hAnsi="Calibri" w:cs="Calibri"/>
                <w:kern w:val="24"/>
                <w:szCs w:val="24"/>
              </w:rPr>
              <w:t xml:space="preserve"> including skin maceration or local tissue damage from securing the device to</w:t>
            </w:r>
            <w:r w:rsidR="0081609A">
              <w:rPr>
                <w:rFonts w:ascii="Calibri" w:hAnsi="Calibri" w:cs="Calibri"/>
                <w:kern w:val="24"/>
                <w:szCs w:val="24"/>
              </w:rPr>
              <w:t>o</w:t>
            </w:r>
            <w:r>
              <w:rPr>
                <w:rFonts w:ascii="Calibri" w:hAnsi="Calibri" w:cs="Calibri"/>
                <w:kern w:val="24"/>
                <w:szCs w:val="24"/>
              </w:rPr>
              <w:t xml:space="preserve"> tight. The other types of external male devices are new to the market</w:t>
            </w:r>
            <w:r w:rsidR="0081609A">
              <w:rPr>
                <w:rFonts w:ascii="Calibri" w:hAnsi="Calibri" w:cs="Calibri"/>
                <w:kern w:val="24"/>
                <w:szCs w:val="24"/>
              </w:rPr>
              <w:t>,</w:t>
            </w:r>
            <w:r>
              <w:rPr>
                <w:rFonts w:ascii="Calibri" w:hAnsi="Calibri" w:cs="Calibri"/>
                <w:kern w:val="24"/>
                <w:szCs w:val="24"/>
              </w:rPr>
              <w:t xml:space="preserve"> and publications of their effectiveness or any complications have not been documented.</w:t>
            </w:r>
          </w:p>
          <w:p w14:paraId="24A9500F" w14:textId="77777777" w:rsidR="00037C03" w:rsidRDefault="00037C03" w:rsidP="00C761BA">
            <w:pPr>
              <w:autoSpaceDE w:val="0"/>
              <w:autoSpaceDN w:val="0"/>
              <w:adjustRightInd w:val="0"/>
              <w:spacing w:after="0" w:line="240" w:lineRule="auto"/>
              <w:rPr>
                <w:rFonts w:ascii="Calibri" w:hAnsi="Calibri" w:cs="Calibri"/>
                <w:kern w:val="24"/>
                <w:szCs w:val="24"/>
              </w:rPr>
            </w:pPr>
          </w:p>
          <w:p w14:paraId="3A40C2BF" w14:textId="77777777"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External catheters are inappropriate in the following cases:</w:t>
            </w:r>
          </w:p>
          <w:p w14:paraId="617BDD92" w14:textId="2D7EF1A1"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An uncooperative patient expected to pull at or manipulate the device</w:t>
            </w:r>
            <w:r w:rsidR="0081609A">
              <w:rPr>
                <w:rFonts w:ascii="Calibri" w:hAnsi="Calibri" w:cs="Calibri"/>
                <w:kern w:val="24"/>
                <w:szCs w:val="24"/>
              </w:rPr>
              <w:t>,</w:t>
            </w:r>
            <w:r>
              <w:rPr>
                <w:rFonts w:ascii="Calibri" w:hAnsi="Calibri" w:cs="Calibri"/>
                <w:kern w:val="24"/>
                <w:szCs w:val="24"/>
              </w:rPr>
              <w:t xml:space="preserve"> or a combative or agitated patient</w:t>
            </w:r>
            <w:r w:rsidR="0081609A">
              <w:rPr>
                <w:rFonts w:ascii="Calibri" w:hAnsi="Calibri" w:cs="Calibri"/>
                <w:kern w:val="24"/>
                <w:szCs w:val="24"/>
              </w:rPr>
              <w:t>,</w:t>
            </w:r>
            <w:r>
              <w:rPr>
                <w:rFonts w:ascii="Calibri" w:hAnsi="Calibri" w:cs="Calibri"/>
                <w:kern w:val="24"/>
                <w:szCs w:val="24"/>
              </w:rPr>
              <w:t xml:space="preserve"> because </w:t>
            </w:r>
            <w:proofErr w:type="gramStart"/>
            <w:r>
              <w:rPr>
                <w:rFonts w:ascii="Calibri" w:hAnsi="Calibri" w:cs="Calibri"/>
                <w:kern w:val="24"/>
                <w:szCs w:val="24"/>
              </w:rPr>
              <w:t>similar to</w:t>
            </w:r>
            <w:proofErr w:type="gramEnd"/>
            <w:r>
              <w:rPr>
                <w:rFonts w:ascii="Calibri" w:hAnsi="Calibri" w:cs="Calibri"/>
                <w:kern w:val="24"/>
                <w:szCs w:val="24"/>
              </w:rPr>
              <w:t xml:space="preserve"> an indwelling catheter, inappropriate manipulation or removal can cause harm.</w:t>
            </w:r>
          </w:p>
          <w:p w14:paraId="67F00F1D"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Any type of urinary retention such as acute or chronic, with or without bladder obstruction</w:t>
            </w:r>
          </w:p>
          <w:p w14:paraId="0688BA6F" w14:textId="48656DDC" w:rsidR="00037C03" w:rsidRPr="00037C03" w:rsidRDefault="00C761BA" w:rsidP="00037C03">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Hourly measurement of urine volume required to provide treatment</w:t>
            </w:r>
          </w:p>
          <w:p w14:paraId="0B45C123"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 xml:space="preserve">Urinary incontinence when nurses can turn/provide skin care with available resources </w:t>
            </w:r>
          </w:p>
          <w:p w14:paraId="0E0F157D"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Routine use to manage incontinence without an appropriate indication</w:t>
            </w:r>
          </w:p>
          <w:p w14:paraId="73B8119B"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Reducing the risk for falls by minimizing the need to get up to urinate</w:t>
            </w:r>
          </w:p>
          <w:p w14:paraId="77886629"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For convenience of urinary management in patient during transport for tests and procedures</w:t>
            </w:r>
          </w:p>
          <w:p w14:paraId="46C420AA" w14:textId="7A088394"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Patient, family</w:t>
            </w:r>
            <w:r w:rsidR="0081609A">
              <w:rPr>
                <w:rFonts w:ascii="Calibri" w:hAnsi="Calibri" w:cs="Calibri"/>
                <w:kern w:val="24"/>
                <w:szCs w:val="24"/>
              </w:rPr>
              <w:t>,</w:t>
            </w:r>
            <w:r>
              <w:rPr>
                <w:rFonts w:ascii="Calibri" w:hAnsi="Calibri" w:cs="Calibri"/>
                <w:kern w:val="24"/>
                <w:szCs w:val="24"/>
              </w:rPr>
              <w:t xml:space="preserve"> or staff request when there are no expected difficulties managing urine by commode, urinal, or bedpan; or</w:t>
            </w:r>
          </w:p>
          <w:p w14:paraId="7ED9D332" w14:textId="68429BE8" w:rsidR="00037C03" w:rsidRPr="002A1AD5" w:rsidRDefault="00C761BA" w:rsidP="002A1AD5">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To prevent urinary tract infection in patients with fecal incontinence or diarrhea or to manage frequent, painful urination in patients with urinary tract infection</w:t>
            </w:r>
          </w:p>
        </w:tc>
        <w:tc>
          <w:tcPr>
            <w:tcW w:w="3240" w:type="dxa"/>
            <w:tcBorders>
              <w:top w:val="single" w:sz="4" w:space="0" w:color="auto"/>
              <w:left w:val="single" w:sz="4" w:space="0" w:color="auto"/>
              <w:bottom w:val="single" w:sz="4" w:space="0" w:color="auto"/>
              <w:right w:val="single" w:sz="4" w:space="0" w:color="auto"/>
            </w:tcBorders>
          </w:tcPr>
          <w:p w14:paraId="77F9432B" w14:textId="51387B2A" w:rsidR="00C761BA" w:rsidRDefault="00C761BA" w:rsidP="00C761BA">
            <w:r>
              <w:t>Slide 7</w:t>
            </w:r>
          </w:p>
          <w:p w14:paraId="67392CE2" w14:textId="47D036B2" w:rsidR="00C761BA" w:rsidRDefault="003157A9">
            <w:pPr>
              <w:autoSpaceDE w:val="0"/>
              <w:autoSpaceDN w:val="0"/>
              <w:adjustRightInd w:val="0"/>
              <w:spacing w:after="0" w:line="240" w:lineRule="auto"/>
              <w:rPr>
                <w:rFonts w:cs="Calibri"/>
                <w:kern w:val="24"/>
                <w:szCs w:val="24"/>
              </w:rPr>
            </w:pPr>
            <w:r>
              <w:rPr>
                <w:rFonts w:cs="Calibri"/>
                <w:noProof/>
                <w:kern w:val="24"/>
                <w:szCs w:val="24"/>
              </w:rPr>
              <w:drawing>
                <wp:inline distT="0" distB="0" distL="0" distR="0" wp14:anchorId="5DA93895" wp14:editId="0DC904A5">
                  <wp:extent cx="1924050" cy="1485900"/>
                  <wp:effectExtent l="19050" t="19050" r="19050" b="1905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tc>
      </w:tr>
      <w:tr w:rsidR="00C761BA" w14:paraId="18AA956C" w14:textId="177BDA9B"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C3FA9F2" w14:textId="4E0C13C9"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lastRenderedPageBreak/>
              <w:t xml:space="preserve">Now </w:t>
            </w:r>
            <w:r w:rsidR="0081609A">
              <w:rPr>
                <w:rFonts w:ascii="Calibri" w:hAnsi="Calibri" w:cs="Calibri"/>
                <w:kern w:val="24"/>
                <w:szCs w:val="24"/>
              </w:rPr>
              <w:t xml:space="preserve">that </w:t>
            </w:r>
            <w:r>
              <w:rPr>
                <w:rFonts w:ascii="Calibri" w:hAnsi="Calibri" w:cs="Calibri"/>
                <w:kern w:val="24"/>
                <w:szCs w:val="24"/>
              </w:rPr>
              <w:t xml:space="preserve">we understand the indications and appropriate use of condom catheters, let’s summarize </w:t>
            </w:r>
            <w:r w:rsidR="0081609A">
              <w:rPr>
                <w:rFonts w:ascii="Calibri" w:hAnsi="Calibri" w:cs="Calibri"/>
                <w:kern w:val="24"/>
                <w:szCs w:val="24"/>
              </w:rPr>
              <w:t xml:space="preserve">a </w:t>
            </w:r>
            <w:r>
              <w:rPr>
                <w:rFonts w:ascii="Calibri" w:hAnsi="Calibri" w:cs="Calibri"/>
                <w:kern w:val="24"/>
                <w:szCs w:val="24"/>
              </w:rPr>
              <w:t>few of the advantages and disadvantages. Ultimately, condom catheters do reduce the risk of complications and is an acceptable method of measuring intake and output. However, it is important to realize that one size does not fit all</w:t>
            </w:r>
            <w:r w:rsidR="0081609A">
              <w:rPr>
                <w:rFonts w:ascii="Calibri" w:hAnsi="Calibri" w:cs="Calibri"/>
                <w:kern w:val="24"/>
                <w:szCs w:val="24"/>
              </w:rPr>
              <w:t>,</w:t>
            </w:r>
            <w:r>
              <w:rPr>
                <w:rFonts w:ascii="Calibri" w:hAnsi="Calibri" w:cs="Calibri"/>
                <w:kern w:val="24"/>
                <w:szCs w:val="24"/>
              </w:rPr>
              <w:t xml:space="preserve"> and improper technique may lead to leakage, skin necrosis, edema, or allergic reaction.</w:t>
            </w:r>
          </w:p>
          <w:p w14:paraId="50CC92F7" w14:textId="5E6413EF" w:rsidR="00037C03" w:rsidRPr="00037C03" w:rsidRDefault="00C761BA" w:rsidP="00037C03">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With the newer technology that has been introduced on the market over the last several years</w:t>
            </w:r>
            <w:r w:rsidR="0081609A">
              <w:rPr>
                <w:rFonts w:ascii="Calibri" w:hAnsi="Calibri" w:cs="Calibri"/>
                <w:kern w:val="24"/>
                <w:szCs w:val="24"/>
              </w:rPr>
              <w:t>,</w:t>
            </w:r>
            <w:r>
              <w:rPr>
                <w:rFonts w:ascii="Calibri" w:hAnsi="Calibri" w:cs="Calibri"/>
                <w:kern w:val="24"/>
                <w:szCs w:val="24"/>
              </w:rPr>
              <w:t xml:space="preserve"> some of these challenges have been addressed. One device is secured directly to the glans penis</w:t>
            </w:r>
            <w:r w:rsidR="0081609A">
              <w:rPr>
                <w:rFonts w:ascii="Calibri" w:hAnsi="Calibri" w:cs="Calibri"/>
                <w:kern w:val="24"/>
                <w:szCs w:val="24"/>
              </w:rPr>
              <w:t>,</w:t>
            </w:r>
            <w:r>
              <w:rPr>
                <w:rFonts w:ascii="Calibri" w:hAnsi="Calibri" w:cs="Calibri"/>
                <w:kern w:val="24"/>
                <w:szCs w:val="24"/>
              </w:rPr>
              <w:t xml:space="preserve"> so fitting and leakage problems are significantly reduce</w:t>
            </w:r>
            <w:r w:rsidR="00123A29">
              <w:rPr>
                <w:rFonts w:ascii="Calibri" w:hAnsi="Calibri" w:cs="Calibri"/>
                <w:kern w:val="24"/>
                <w:szCs w:val="24"/>
              </w:rPr>
              <w:t>d</w:t>
            </w:r>
            <w:r>
              <w:rPr>
                <w:rFonts w:ascii="Calibri" w:hAnsi="Calibri" w:cs="Calibri"/>
                <w:kern w:val="24"/>
                <w:szCs w:val="24"/>
              </w:rPr>
              <w:t>.  Another technology places a fitted bag over the penis and connects to suction.</w:t>
            </w:r>
          </w:p>
        </w:tc>
        <w:tc>
          <w:tcPr>
            <w:tcW w:w="3240" w:type="dxa"/>
            <w:tcBorders>
              <w:top w:val="single" w:sz="4" w:space="0" w:color="auto"/>
              <w:left w:val="single" w:sz="4" w:space="0" w:color="auto"/>
              <w:bottom w:val="single" w:sz="4" w:space="0" w:color="auto"/>
              <w:right w:val="single" w:sz="4" w:space="0" w:color="auto"/>
            </w:tcBorders>
          </w:tcPr>
          <w:p w14:paraId="6D15EF5A" w14:textId="0588164F" w:rsidR="00C761BA" w:rsidRDefault="00C761BA" w:rsidP="00C761BA">
            <w:r>
              <w:t>Slide 8</w:t>
            </w:r>
          </w:p>
          <w:p w14:paraId="057E337F" w14:textId="1714750A" w:rsidR="00C761BA" w:rsidRDefault="00037C03" w:rsidP="00C761BA">
            <w:pPr>
              <w:autoSpaceDE w:val="0"/>
              <w:autoSpaceDN w:val="0"/>
              <w:adjustRightInd w:val="0"/>
              <w:spacing w:after="0" w:line="240" w:lineRule="auto"/>
              <w:rPr>
                <w:rFonts w:cs="Calibri"/>
                <w:kern w:val="24"/>
                <w:szCs w:val="24"/>
              </w:rPr>
            </w:pPr>
            <w:r>
              <w:rPr>
                <w:noProof/>
              </w:rPr>
              <w:drawing>
                <wp:inline distT="0" distB="0" distL="0" distR="0" wp14:anchorId="06DAB370" wp14:editId="73C3D4D4">
                  <wp:extent cx="1838325" cy="1412179"/>
                  <wp:effectExtent l="19050" t="19050" r="9525" b="1714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4"/>
                          <a:stretch>
                            <a:fillRect/>
                          </a:stretch>
                        </pic:blipFill>
                        <pic:spPr>
                          <a:xfrm>
                            <a:off x="0" y="0"/>
                            <a:ext cx="1843433" cy="1416103"/>
                          </a:xfrm>
                          <a:prstGeom prst="rect">
                            <a:avLst/>
                          </a:prstGeom>
                          <a:ln>
                            <a:solidFill>
                              <a:schemeClr val="tx1"/>
                            </a:solidFill>
                          </a:ln>
                        </pic:spPr>
                      </pic:pic>
                    </a:graphicData>
                  </a:graphic>
                </wp:inline>
              </w:drawing>
            </w:r>
          </w:p>
        </w:tc>
      </w:tr>
      <w:tr w:rsidR="00C761BA" w14:paraId="3389B792" w14:textId="558A31AD" w:rsidTr="005D144F">
        <w:trPr>
          <w:cantSplit/>
          <w:trHeight w:val="2960"/>
        </w:trPr>
        <w:tc>
          <w:tcPr>
            <w:tcW w:w="6655" w:type="dxa"/>
            <w:tcBorders>
              <w:top w:val="single" w:sz="4" w:space="0" w:color="auto"/>
              <w:left w:val="single" w:sz="4" w:space="0" w:color="auto"/>
              <w:bottom w:val="single" w:sz="4" w:space="0" w:color="auto"/>
              <w:right w:val="single" w:sz="4" w:space="0" w:color="auto"/>
            </w:tcBorders>
          </w:tcPr>
          <w:p w14:paraId="49234176" w14:textId="1CCB9D78" w:rsidR="00C761BA" w:rsidRDefault="00C761BA" w:rsidP="002A1AD5">
            <w:pPr>
              <w:spacing w:after="0" w:line="240" w:lineRule="auto"/>
            </w:pPr>
            <w:r>
              <w:t xml:space="preserve">In addition, the female external catheter has now become an acceptable alternative. Studies have reported that the external female urinary collection device is a feasible alternative to an indwelling urinary catheter as well </w:t>
            </w:r>
            <w:proofErr w:type="gramStart"/>
            <w:r>
              <w:t xml:space="preserve">as </w:t>
            </w:r>
            <w:r w:rsidR="001D706E">
              <w:t>a way to</w:t>
            </w:r>
            <w:proofErr w:type="gramEnd"/>
            <w:r w:rsidR="001D706E">
              <w:t xml:space="preserve"> </w:t>
            </w:r>
            <w:r>
              <w:t>manag</w:t>
            </w:r>
            <w:r w:rsidR="001D706E">
              <w:t>e</w:t>
            </w:r>
            <w:r>
              <w:t xml:space="preserve"> urinary incontinence.</w:t>
            </w:r>
          </w:p>
        </w:tc>
        <w:tc>
          <w:tcPr>
            <w:tcW w:w="3240" w:type="dxa"/>
            <w:tcBorders>
              <w:top w:val="single" w:sz="4" w:space="0" w:color="auto"/>
              <w:left w:val="single" w:sz="4" w:space="0" w:color="auto"/>
              <w:bottom w:val="single" w:sz="4" w:space="0" w:color="auto"/>
              <w:right w:val="single" w:sz="4" w:space="0" w:color="auto"/>
            </w:tcBorders>
          </w:tcPr>
          <w:p w14:paraId="3E88970D" w14:textId="532EE565" w:rsidR="00C761BA" w:rsidRDefault="00C761BA" w:rsidP="00C761BA">
            <w:r>
              <w:t>Slide 9</w:t>
            </w:r>
          </w:p>
          <w:p w14:paraId="31A0AFF0" w14:textId="4550BFBD" w:rsidR="00C761BA" w:rsidRDefault="00E85A17" w:rsidP="00C761BA">
            <w:pPr>
              <w:autoSpaceDE w:val="0"/>
              <w:autoSpaceDN w:val="0"/>
              <w:adjustRightInd w:val="0"/>
              <w:spacing w:after="0" w:line="240" w:lineRule="auto"/>
              <w:rPr>
                <w:rFonts w:cs="Calibri"/>
                <w:kern w:val="24"/>
                <w:szCs w:val="24"/>
              </w:rPr>
            </w:pPr>
            <w:r>
              <w:rPr>
                <w:noProof/>
              </w:rPr>
              <w:drawing>
                <wp:inline distT="0" distB="0" distL="0" distR="0" wp14:anchorId="45D89E8F" wp14:editId="3AC8AD45">
                  <wp:extent cx="1850065" cy="1428540"/>
                  <wp:effectExtent l="19050" t="19050" r="17145" b="1968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5"/>
                          <a:stretch>
                            <a:fillRect/>
                          </a:stretch>
                        </pic:blipFill>
                        <pic:spPr>
                          <a:xfrm>
                            <a:off x="0" y="0"/>
                            <a:ext cx="1856562" cy="1433556"/>
                          </a:xfrm>
                          <a:prstGeom prst="rect">
                            <a:avLst/>
                          </a:prstGeom>
                          <a:ln>
                            <a:solidFill>
                              <a:schemeClr val="tx1"/>
                            </a:solidFill>
                          </a:ln>
                        </pic:spPr>
                      </pic:pic>
                    </a:graphicData>
                  </a:graphic>
                </wp:inline>
              </w:drawing>
            </w:r>
          </w:p>
        </w:tc>
      </w:tr>
      <w:tr w:rsidR="00C761BA" w14:paraId="6DBBFB0D" w14:textId="7C8A47DA"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01A72B0" w14:textId="19012DA8"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lastRenderedPageBreak/>
              <w:t>Urinary retention may be a reason that a urinary catheter is used in the ICU. Both the bladder scanner and the straight catheter are excellent ways to assess and manage urinary retention. The bladder scanner is a tool used to assess and confirm urinary retention. Portable bladder scanners use ultrasound, which is a noninvasive way to determine the volume of urine remaining in the bladder after voiding. For example, bladder scanners are used to check postvoid residuals, and the amount of urinary retention pre-insertion of a</w:t>
            </w:r>
            <w:r w:rsidR="00391BE7">
              <w:rPr>
                <w:rFonts w:ascii="Calibri" w:hAnsi="Calibri" w:cs="Calibri"/>
                <w:kern w:val="24"/>
                <w:szCs w:val="24"/>
              </w:rPr>
              <w:t>n</w:t>
            </w:r>
            <w:r>
              <w:rPr>
                <w:rFonts w:ascii="Calibri" w:hAnsi="Calibri" w:cs="Calibri"/>
                <w:kern w:val="24"/>
                <w:szCs w:val="24"/>
              </w:rPr>
              <w:t xml:space="preserve"> indwelling catheter and after it is removed if the patient has not voided. </w:t>
            </w:r>
          </w:p>
          <w:p w14:paraId="01AE92B2" w14:textId="77777777" w:rsidR="00C761BA" w:rsidRDefault="00C761BA" w:rsidP="00C761BA">
            <w:pPr>
              <w:autoSpaceDE w:val="0"/>
              <w:autoSpaceDN w:val="0"/>
              <w:adjustRightInd w:val="0"/>
              <w:spacing w:after="0" w:line="240" w:lineRule="auto"/>
              <w:rPr>
                <w:rFonts w:ascii="Calibri" w:hAnsi="Calibri" w:cs="Calibri"/>
                <w:kern w:val="24"/>
                <w:szCs w:val="24"/>
              </w:rPr>
            </w:pPr>
          </w:p>
          <w:p w14:paraId="213E7874" w14:textId="2C19ACF3"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Straight catheters are designed to be used only once. Unlike the indwelling urinary catheter, the straight catheter does not have a balloon at the end to hold it in place. A straight catheter only has a single lumen, because it is only used for a one-time emptying of the bladder. Catheter sizes available for intermittent catheterization are similar to those available for an indwelling urinary catheter. Catheter diameter is measured in French (Fr) units, and sizes range from 14 to 22 Fr for adults. The funnel end of the catheter is usually color</w:t>
            </w:r>
            <w:r w:rsidR="00BC73B2">
              <w:rPr>
                <w:rFonts w:ascii="Calibri" w:hAnsi="Calibri" w:cs="Calibri"/>
                <w:kern w:val="24"/>
                <w:szCs w:val="24"/>
              </w:rPr>
              <w:t xml:space="preserve"> </w:t>
            </w:r>
            <w:r>
              <w:rPr>
                <w:rFonts w:ascii="Calibri" w:hAnsi="Calibri" w:cs="Calibri"/>
                <w:kern w:val="24"/>
                <w:szCs w:val="24"/>
              </w:rPr>
              <w:t>coded to easily identify the Fr size. Intermittent catheters have different lengths and are gender</w:t>
            </w:r>
            <w:r w:rsidR="00BC73B2">
              <w:rPr>
                <w:rFonts w:ascii="Calibri" w:hAnsi="Calibri" w:cs="Calibri"/>
                <w:kern w:val="24"/>
                <w:szCs w:val="24"/>
              </w:rPr>
              <w:t xml:space="preserve"> </w:t>
            </w:r>
            <w:r>
              <w:rPr>
                <w:rFonts w:ascii="Calibri" w:hAnsi="Calibri" w:cs="Calibri"/>
                <w:kern w:val="24"/>
                <w:szCs w:val="24"/>
              </w:rPr>
              <w:t>specific. Catheters with lengths of approximately 12 inches</w:t>
            </w:r>
            <w:r w:rsidR="00BC73B2">
              <w:rPr>
                <w:rFonts w:ascii="Calibri" w:hAnsi="Calibri" w:cs="Calibri"/>
                <w:kern w:val="24"/>
                <w:szCs w:val="24"/>
              </w:rPr>
              <w:t>,</w:t>
            </w:r>
            <w:r>
              <w:rPr>
                <w:rFonts w:ascii="Calibri" w:hAnsi="Calibri" w:cs="Calibri"/>
                <w:kern w:val="24"/>
                <w:szCs w:val="24"/>
              </w:rPr>
              <w:t xml:space="preserve"> which is about 40 c</w:t>
            </w:r>
            <w:r w:rsidR="00BC73B2">
              <w:rPr>
                <w:rFonts w:ascii="Calibri" w:hAnsi="Calibri" w:cs="Calibri"/>
                <w:kern w:val="24"/>
                <w:szCs w:val="24"/>
              </w:rPr>
              <w:t>enti</w:t>
            </w:r>
            <w:r>
              <w:rPr>
                <w:rFonts w:ascii="Calibri" w:hAnsi="Calibri" w:cs="Calibri"/>
                <w:kern w:val="24"/>
                <w:szCs w:val="24"/>
              </w:rPr>
              <w:t>m</w:t>
            </w:r>
            <w:r w:rsidR="00BC73B2">
              <w:rPr>
                <w:rFonts w:ascii="Calibri" w:hAnsi="Calibri" w:cs="Calibri"/>
                <w:kern w:val="24"/>
                <w:szCs w:val="24"/>
              </w:rPr>
              <w:t>eters,</w:t>
            </w:r>
            <w:r>
              <w:rPr>
                <w:rFonts w:ascii="Calibri" w:hAnsi="Calibri" w:cs="Calibri"/>
                <w:kern w:val="24"/>
                <w:szCs w:val="24"/>
              </w:rPr>
              <w:t xml:space="preserve"> allow for adequate passage through a male urethra. It is important to use a straight catheter kit in order to reduce variation.</w:t>
            </w:r>
          </w:p>
          <w:p w14:paraId="749FC00C" w14:textId="77777777" w:rsidR="00C761BA" w:rsidRDefault="00C761BA" w:rsidP="00C761BA">
            <w:pPr>
              <w:autoSpaceDE w:val="0"/>
              <w:autoSpaceDN w:val="0"/>
              <w:adjustRightInd w:val="0"/>
              <w:spacing w:after="0" w:line="240" w:lineRule="auto"/>
              <w:rPr>
                <w:rFonts w:ascii="Calibri" w:hAnsi="Calibri" w:cs="Calibri"/>
                <w:kern w:val="24"/>
                <w:szCs w:val="24"/>
              </w:rPr>
            </w:pPr>
          </w:p>
          <w:p w14:paraId="2F978F43" w14:textId="53BFD9C2"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Women and children, whose urethras are shorter in length, may find a shorter</w:t>
            </w:r>
            <w:r w:rsidR="00AC6CA8">
              <w:rPr>
                <w:rFonts w:ascii="Calibri" w:hAnsi="Calibri" w:cs="Calibri"/>
                <w:kern w:val="24"/>
                <w:szCs w:val="24"/>
              </w:rPr>
              <w:t xml:space="preserve"> </w:t>
            </w:r>
            <w:r>
              <w:rPr>
                <w:rFonts w:ascii="Calibri" w:hAnsi="Calibri" w:cs="Calibri"/>
                <w:kern w:val="24"/>
                <w:szCs w:val="24"/>
              </w:rPr>
              <w:t xml:space="preserve">length catheter of 6 to 12 inches (20 to 40 cm), which is easier to grasp and manipulate because it will not loop or kink, thus allowing easy </w:t>
            </w:r>
            <w:r w:rsidR="00AC6CA8">
              <w:rPr>
                <w:rFonts w:ascii="Calibri" w:hAnsi="Calibri" w:cs="Calibri"/>
                <w:kern w:val="24"/>
                <w:szCs w:val="24"/>
              </w:rPr>
              <w:t xml:space="preserve">urine </w:t>
            </w:r>
            <w:r>
              <w:rPr>
                <w:rFonts w:ascii="Calibri" w:hAnsi="Calibri" w:cs="Calibri"/>
                <w:kern w:val="24"/>
                <w:szCs w:val="24"/>
              </w:rPr>
              <w:t>flow and drainage through the catheter. Consider a straight catheter insertion kit to reduce variation in the procedure.</w:t>
            </w:r>
          </w:p>
          <w:p w14:paraId="645FBD67" w14:textId="77777777" w:rsidR="00C761BA" w:rsidRDefault="00C761BA" w:rsidP="00C761BA">
            <w:pPr>
              <w:autoSpaceDE w:val="0"/>
              <w:autoSpaceDN w:val="0"/>
              <w:adjustRightInd w:val="0"/>
              <w:spacing w:after="0" w:line="240" w:lineRule="auto"/>
              <w:rPr>
                <w:rFonts w:ascii="Calibri" w:hAnsi="Calibri" w:cs="Calibri"/>
                <w:kern w:val="24"/>
                <w:szCs w:val="24"/>
              </w:rPr>
            </w:pPr>
          </w:p>
          <w:p w14:paraId="47F1FDDF" w14:textId="04605C83"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The American Nurses Association spearheaded an initiative to reduce catheter–associated urinary tract infections through an assessment and decision-making tool. This tool titled, “</w:t>
            </w:r>
            <w:hyperlink r:id="rId26" w:anchor="implementaion-guide-7454" w:history="1">
              <w:r w:rsidRPr="00497A13">
                <w:rPr>
                  <w:rStyle w:val="Hyperlink"/>
                  <w:rFonts w:ascii="Calibri" w:hAnsi="Calibri" w:cs="Calibri"/>
                  <w:kern w:val="24"/>
                  <w:szCs w:val="24"/>
                </w:rPr>
                <w:t>Guide to Preventing Catheter-Associated Urinary Tract Infections (2014)</w:t>
              </w:r>
            </w:hyperlink>
            <w:r w:rsidR="00E05999">
              <w:rPr>
                <w:rFonts w:ascii="Calibri" w:hAnsi="Calibri" w:cs="Calibri"/>
                <w:kern w:val="24"/>
                <w:szCs w:val="24"/>
              </w:rPr>
              <w:t>,</w:t>
            </w:r>
            <w:r>
              <w:rPr>
                <w:rFonts w:ascii="Calibri" w:hAnsi="Calibri" w:cs="Calibri"/>
                <w:kern w:val="24"/>
                <w:szCs w:val="24"/>
              </w:rPr>
              <w:t>” provides precise recommendations for use of the bladder scanner.</w:t>
            </w:r>
          </w:p>
          <w:p w14:paraId="29A52B9B" w14:textId="77777777" w:rsidR="00C761BA" w:rsidRDefault="00C761BA" w:rsidP="00C761BA">
            <w:pPr>
              <w:autoSpaceDE w:val="0"/>
              <w:autoSpaceDN w:val="0"/>
              <w:adjustRightInd w:val="0"/>
              <w:spacing w:after="0" w:line="240" w:lineRule="auto"/>
              <w:rPr>
                <w:rFonts w:ascii="Calibri" w:hAnsi="Calibri" w:cs="Calibri"/>
                <w:kern w:val="24"/>
                <w:szCs w:val="24"/>
              </w:rPr>
            </w:pPr>
          </w:p>
          <w:p w14:paraId="70B2BB92" w14:textId="77F8CEF4" w:rsidR="000C6C5E" w:rsidRPr="000C6C5E" w:rsidRDefault="00C761BA" w:rsidP="000C6C5E">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Let’s discuss in greater detail the use of these alternatives.</w:t>
            </w:r>
          </w:p>
        </w:tc>
        <w:tc>
          <w:tcPr>
            <w:tcW w:w="3240" w:type="dxa"/>
            <w:tcBorders>
              <w:top w:val="single" w:sz="4" w:space="0" w:color="auto"/>
              <w:left w:val="single" w:sz="4" w:space="0" w:color="auto"/>
              <w:bottom w:val="single" w:sz="4" w:space="0" w:color="auto"/>
              <w:right w:val="single" w:sz="4" w:space="0" w:color="auto"/>
            </w:tcBorders>
          </w:tcPr>
          <w:p w14:paraId="48878305" w14:textId="689329AD" w:rsidR="00C761BA" w:rsidRDefault="00C761BA" w:rsidP="00C761BA">
            <w:r>
              <w:t>Slide 10</w:t>
            </w:r>
          </w:p>
          <w:p w14:paraId="5FF362D7" w14:textId="37C763C7" w:rsidR="00C761BA" w:rsidRDefault="000C6C5E" w:rsidP="00C761BA">
            <w:pPr>
              <w:autoSpaceDE w:val="0"/>
              <w:autoSpaceDN w:val="0"/>
              <w:adjustRightInd w:val="0"/>
              <w:spacing w:after="0" w:line="240" w:lineRule="auto"/>
              <w:rPr>
                <w:rFonts w:cs="Calibri"/>
                <w:kern w:val="24"/>
                <w:szCs w:val="24"/>
              </w:rPr>
            </w:pPr>
            <w:r>
              <w:rPr>
                <w:noProof/>
              </w:rPr>
              <w:drawing>
                <wp:inline distT="0" distB="0" distL="0" distR="0" wp14:anchorId="774BA527" wp14:editId="3FAC0B68">
                  <wp:extent cx="1838492" cy="1414130"/>
                  <wp:effectExtent l="19050" t="19050" r="9525" b="1524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7"/>
                          <a:stretch>
                            <a:fillRect/>
                          </a:stretch>
                        </pic:blipFill>
                        <pic:spPr>
                          <a:xfrm>
                            <a:off x="0" y="0"/>
                            <a:ext cx="1842789" cy="1417435"/>
                          </a:xfrm>
                          <a:prstGeom prst="rect">
                            <a:avLst/>
                          </a:prstGeom>
                          <a:ln>
                            <a:solidFill>
                              <a:schemeClr val="tx1"/>
                            </a:solidFill>
                          </a:ln>
                        </pic:spPr>
                      </pic:pic>
                    </a:graphicData>
                  </a:graphic>
                </wp:inline>
              </w:drawing>
            </w:r>
          </w:p>
        </w:tc>
      </w:tr>
      <w:tr w:rsidR="00C761BA" w14:paraId="31293E6B" w14:textId="1723BAA2"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3549911" w14:textId="50D2D03F"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lastRenderedPageBreak/>
              <w:t xml:space="preserve">As highlighted in the previous slide, a straight catheter can be used for one-time, intermittent, or chronic voiding needs. Intermittent catheterization is often used in patients with neurogenic bladder or spinal cord injury, and </w:t>
            </w:r>
            <w:r w:rsidR="00E05999">
              <w:rPr>
                <w:rFonts w:ascii="Calibri" w:hAnsi="Calibri" w:cs="Calibri"/>
                <w:kern w:val="24"/>
                <w:szCs w:val="24"/>
              </w:rPr>
              <w:t xml:space="preserve">it </w:t>
            </w:r>
            <w:r>
              <w:rPr>
                <w:rFonts w:ascii="Calibri" w:hAnsi="Calibri" w:cs="Calibri"/>
                <w:kern w:val="24"/>
                <w:szCs w:val="24"/>
              </w:rPr>
              <w:t xml:space="preserve">lessens the risk of urinary tract infection compared to chronic indwelling urinary catheters. After hospitalization, when these patients return to the community, intermittent catheterization enhances patient privacy and dignity and facilitates return to activities of daily living. Intermittent catheterization is often a preferable treatment method to indwelling urinary or suprapubic catheters in patients with bladder emptying dysfunction. </w:t>
            </w:r>
          </w:p>
          <w:p w14:paraId="4F80FA57" w14:textId="77777777" w:rsidR="00C761BA" w:rsidRDefault="00C761BA" w:rsidP="00C761BA">
            <w:pPr>
              <w:autoSpaceDE w:val="0"/>
              <w:autoSpaceDN w:val="0"/>
              <w:adjustRightInd w:val="0"/>
              <w:spacing w:after="0" w:line="240" w:lineRule="auto"/>
              <w:rPr>
                <w:rFonts w:ascii="Calibri" w:hAnsi="Calibri" w:cs="Calibri"/>
                <w:kern w:val="24"/>
                <w:szCs w:val="24"/>
              </w:rPr>
            </w:pPr>
          </w:p>
          <w:p w14:paraId="2210BB4B" w14:textId="77777777"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Intermittent straight catheters (ISC) are appropriate for the following indications:</w:t>
            </w:r>
          </w:p>
          <w:p w14:paraId="76EDDDFF"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 xml:space="preserve">Acute urinary retention without bladder outlet obstruction, if the bladder can be emptied adequately by the ISC every 4 hours or less </w:t>
            </w:r>
          </w:p>
          <w:p w14:paraId="1E6A70DB"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Acute urinary retention with bladder outlet obstruction due to noninfectious, nontraumatic diagnosis such as benign prostatic hypertrophy</w:t>
            </w:r>
          </w:p>
          <w:p w14:paraId="747846B7"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Chronic urinary retention with or without bladder outlet obstruction</w:t>
            </w:r>
          </w:p>
          <w:p w14:paraId="453DCD6C" w14:textId="428BDC26"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 xml:space="preserve">Stage III or </w:t>
            </w:r>
            <w:r w:rsidR="00E05999">
              <w:rPr>
                <w:rFonts w:ascii="Calibri" w:hAnsi="Calibri" w:cs="Calibri"/>
                <w:kern w:val="24"/>
                <w:szCs w:val="24"/>
              </w:rPr>
              <w:t>s</w:t>
            </w:r>
            <w:r>
              <w:rPr>
                <w:rFonts w:ascii="Calibri" w:hAnsi="Calibri" w:cs="Calibri"/>
                <w:kern w:val="24"/>
                <w:szCs w:val="24"/>
              </w:rPr>
              <w:t>tage IV or unstageable pressure ulcer, or similarly severe wounds of other types, that cannot be kept clear of urinary incontinence despite wound care and other urinary management strategies, if the ISC is adequate to manage the type of incontinence</w:t>
            </w:r>
          </w:p>
          <w:p w14:paraId="6EFE7449"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Urinary incontinence that is treated and can be managed by ISC</w:t>
            </w:r>
          </w:p>
          <w:p w14:paraId="32BFFC5F"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Urine volume measurements (not hourly urine) or sample collections in patients using ISC for urinary retention/obstruction or overflow incontinence</w:t>
            </w:r>
          </w:p>
          <w:p w14:paraId="0A419910"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Random urine sample collection if unable to collect by other strategies</w:t>
            </w:r>
          </w:p>
          <w:p w14:paraId="1199B868" w14:textId="11CA418E"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Management of urination in patients with strict temporary immobility if the ISC does not require excessive movement</w:t>
            </w:r>
            <w:r w:rsidR="00E05999">
              <w:rPr>
                <w:rFonts w:ascii="Calibri" w:hAnsi="Calibri" w:cs="Calibri"/>
                <w:kern w:val="24"/>
                <w:szCs w:val="24"/>
              </w:rPr>
              <w:t>,</w:t>
            </w:r>
            <w:r>
              <w:rPr>
                <w:rFonts w:ascii="Calibri" w:hAnsi="Calibri" w:cs="Calibri"/>
                <w:kern w:val="24"/>
                <w:szCs w:val="24"/>
              </w:rPr>
              <w:t xml:space="preserve"> and</w:t>
            </w:r>
          </w:p>
          <w:p w14:paraId="157DFB09" w14:textId="536CCE68" w:rsidR="000C6C5E" w:rsidRPr="002A1AD5" w:rsidRDefault="00C761BA" w:rsidP="002A1AD5">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Postvoid residual urine volume assessment if the bladder scanner is unavailable or is inadequate and more detail than suprapubic fullness is needed</w:t>
            </w:r>
          </w:p>
        </w:tc>
        <w:tc>
          <w:tcPr>
            <w:tcW w:w="3240" w:type="dxa"/>
            <w:tcBorders>
              <w:top w:val="single" w:sz="4" w:space="0" w:color="auto"/>
              <w:left w:val="single" w:sz="4" w:space="0" w:color="auto"/>
              <w:bottom w:val="single" w:sz="4" w:space="0" w:color="auto"/>
              <w:right w:val="single" w:sz="4" w:space="0" w:color="auto"/>
            </w:tcBorders>
          </w:tcPr>
          <w:p w14:paraId="3EBA521F" w14:textId="13D2B532" w:rsidR="00C761BA" w:rsidRDefault="00C761BA" w:rsidP="00C761BA">
            <w:r>
              <w:t>Slide 11</w:t>
            </w:r>
          </w:p>
          <w:p w14:paraId="50BB9B3D" w14:textId="7B0318F8" w:rsidR="00C761BA" w:rsidRDefault="000C6C5E" w:rsidP="00C761BA">
            <w:pPr>
              <w:autoSpaceDE w:val="0"/>
              <w:autoSpaceDN w:val="0"/>
              <w:adjustRightInd w:val="0"/>
              <w:spacing w:after="0" w:line="240" w:lineRule="auto"/>
              <w:rPr>
                <w:rFonts w:cs="Calibri"/>
                <w:kern w:val="24"/>
                <w:szCs w:val="24"/>
              </w:rPr>
            </w:pPr>
            <w:r>
              <w:rPr>
                <w:noProof/>
              </w:rPr>
              <w:drawing>
                <wp:inline distT="0" distB="0" distL="0" distR="0" wp14:anchorId="40E1ED9C" wp14:editId="463E585E">
                  <wp:extent cx="1839432" cy="1415462"/>
                  <wp:effectExtent l="19050" t="19050" r="27940" b="1333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28"/>
                          <a:stretch>
                            <a:fillRect/>
                          </a:stretch>
                        </pic:blipFill>
                        <pic:spPr>
                          <a:xfrm>
                            <a:off x="0" y="0"/>
                            <a:ext cx="1845547" cy="1420167"/>
                          </a:xfrm>
                          <a:prstGeom prst="rect">
                            <a:avLst/>
                          </a:prstGeom>
                          <a:ln>
                            <a:solidFill>
                              <a:schemeClr val="tx1"/>
                            </a:solidFill>
                          </a:ln>
                        </pic:spPr>
                      </pic:pic>
                    </a:graphicData>
                  </a:graphic>
                </wp:inline>
              </w:drawing>
            </w:r>
          </w:p>
        </w:tc>
      </w:tr>
      <w:tr w:rsidR="00C761BA" w14:paraId="6AC3DF10" w14:textId="483F4A74" w:rsidTr="005D144F">
        <w:trPr>
          <w:cantSplit/>
          <w:trHeight w:val="422"/>
        </w:trPr>
        <w:tc>
          <w:tcPr>
            <w:tcW w:w="6655" w:type="dxa"/>
            <w:tcBorders>
              <w:top w:val="single" w:sz="4" w:space="0" w:color="auto"/>
              <w:left w:val="single" w:sz="4" w:space="0" w:color="auto"/>
              <w:bottom w:val="single" w:sz="4" w:space="0" w:color="auto"/>
              <w:right w:val="single" w:sz="4" w:space="0" w:color="auto"/>
            </w:tcBorders>
          </w:tcPr>
          <w:p w14:paraId="72D9EFE1" w14:textId="581E76D6"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lastRenderedPageBreak/>
              <w:t xml:space="preserve">When faced with the incontinent patient, healthcare workers and family members may worry about possible skin breakdown. This </w:t>
            </w:r>
            <w:r w:rsidR="00E05999">
              <w:rPr>
                <w:rFonts w:ascii="Calibri" w:hAnsi="Calibri" w:cs="Calibri"/>
                <w:kern w:val="24"/>
                <w:szCs w:val="24"/>
              </w:rPr>
              <w:t xml:space="preserve">possibility </w:t>
            </w:r>
            <w:r>
              <w:rPr>
                <w:rFonts w:ascii="Calibri" w:hAnsi="Calibri" w:cs="Calibri"/>
                <w:kern w:val="24"/>
                <w:szCs w:val="24"/>
              </w:rPr>
              <w:t xml:space="preserve">can be </w:t>
            </w:r>
            <w:r w:rsidR="00E05999">
              <w:rPr>
                <w:rFonts w:ascii="Calibri" w:hAnsi="Calibri" w:cs="Calibri"/>
                <w:kern w:val="24"/>
                <w:szCs w:val="24"/>
              </w:rPr>
              <w:t>addressed</w:t>
            </w:r>
            <w:r>
              <w:rPr>
                <w:rFonts w:ascii="Calibri" w:hAnsi="Calibri" w:cs="Calibri"/>
                <w:kern w:val="24"/>
                <w:szCs w:val="24"/>
              </w:rPr>
              <w:t xml:space="preserve"> by:</w:t>
            </w:r>
          </w:p>
          <w:p w14:paraId="2DD48253" w14:textId="77777777" w:rsidR="00C761BA" w:rsidRDefault="00C761BA" w:rsidP="00C761BA">
            <w:pPr>
              <w:numPr>
                <w:ilvl w:val="0"/>
                <w:numId w:val="9"/>
              </w:numPr>
              <w:autoSpaceDE w:val="0"/>
              <w:autoSpaceDN w:val="0"/>
              <w:adjustRightInd w:val="0"/>
              <w:spacing w:after="0" w:line="240" w:lineRule="auto"/>
              <w:ind w:left="990" w:hanging="270"/>
              <w:rPr>
                <w:rFonts w:ascii="Calibri" w:hAnsi="Calibri" w:cs="Calibri"/>
                <w:kern w:val="24"/>
                <w:szCs w:val="24"/>
              </w:rPr>
            </w:pPr>
            <w:r>
              <w:rPr>
                <w:rFonts w:ascii="Calibri" w:hAnsi="Calibri" w:cs="Calibri"/>
                <w:kern w:val="24"/>
                <w:szCs w:val="24"/>
              </w:rPr>
              <w:t>Cleaning and drying the area right away after urinating or having a bowel movement.</w:t>
            </w:r>
          </w:p>
          <w:p w14:paraId="4C988018" w14:textId="23C1C516" w:rsidR="00C761BA" w:rsidRDefault="00C761BA" w:rsidP="00C761BA">
            <w:pPr>
              <w:numPr>
                <w:ilvl w:val="0"/>
                <w:numId w:val="9"/>
              </w:numPr>
              <w:autoSpaceDE w:val="0"/>
              <w:autoSpaceDN w:val="0"/>
              <w:adjustRightInd w:val="0"/>
              <w:spacing w:after="0" w:line="240" w:lineRule="auto"/>
              <w:ind w:left="990" w:hanging="270"/>
              <w:rPr>
                <w:rFonts w:ascii="Calibri" w:hAnsi="Calibri" w:cs="Calibri"/>
                <w:kern w:val="24"/>
                <w:szCs w:val="24"/>
              </w:rPr>
            </w:pPr>
            <w:r>
              <w:rPr>
                <w:rFonts w:ascii="Calibri" w:hAnsi="Calibri" w:cs="Calibri"/>
                <w:kern w:val="24"/>
                <w:szCs w:val="24"/>
              </w:rPr>
              <w:t>Using moisturizing creams can help keep the skin moist</w:t>
            </w:r>
          </w:p>
          <w:p w14:paraId="1176FFAC" w14:textId="77777777" w:rsidR="00C761BA" w:rsidRDefault="00C761BA" w:rsidP="00C761BA">
            <w:pPr>
              <w:numPr>
                <w:ilvl w:val="0"/>
                <w:numId w:val="9"/>
              </w:numPr>
              <w:autoSpaceDE w:val="0"/>
              <w:autoSpaceDN w:val="0"/>
              <w:adjustRightInd w:val="0"/>
              <w:spacing w:after="0" w:line="240" w:lineRule="auto"/>
              <w:ind w:left="990" w:hanging="270"/>
              <w:rPr>
                <w:rFonts w:ascii="Calibri" w:hAnsi="Calibri" w:cs="Calibri"/>
                <w:kern w:val="24"/>
                <w:szCs w:val="24"/>
              </w:rPr>
            </w:pPr>
            <w:r>
              <w:rPr>
                <w:rFonts w:ascii="Calibri" w:hAnsi="Calibri" w:cs="Calibri"/>
                <w:kern w:val="24"/>
                <w:szCs w:val="24"/>
              </w:rPr>
              <w:t>Avoiding products that contain alcohol, which may irritate the skin.</w:t>
            </w:r>
          </w:p>
          <w:p w14:paraId="1D3B32FE" w14:textId="5BB2B28F" w:rsidR="00C761BA" w:rsidRDefault="00C761BA" w:rsidP="00C761BA">
            <w:pPr>
              <w:numPr>
                <w:ilvl w:val="0"/>
                <w:numId w:val="9"/>
              </w:numPr>
              <w:autoSpaceDE w:val="0"/>
              <w:autoSpaceDN w:val="0"/>
              <w:adjustRightInd w:val="0"/>
              <w:spacing w:after="0" w:line="240" w:lineRule="auto"/>
              <w:ind w:left="990" w:hanging="270"/>
              <w:rPr>
                <w:rFonts w:ascii="Calibri" w:hAnsi="Calibri" w:cs="Calibri"/>
                <w:kern w:val="24"/>
                <w:szCs w:val="24"/>
              </w:rPr>
            </w:pPr>
            <w:r>
              <w:rPr>
                <w:rFonts w:ascii="Calibri" w:hAnsi="Calibri" w:cs="Calibri"/>
                <w:kern w:val="24"/>
                <w:szCs w:val="24"/>
              </w:rPr>
              <w:t>Consider</w:t>
            </w:r>
            <w:r w:rsidR="00BF6EFC">
              <w:rPr>
                <w:rFonts w:ascii="Calibri" w:hAnsi="Calibri" w:cs="Calibri"/>
                <w:kern w:val="24"/>
                <w:szCs w:val="24"/>
              </w:rPr>
              <w:t>ing</w:t>
            </w:r>
            <w:r>
              <w:rPr>
                <w:rFonts w:ascii="Calibri" w:hAnsi="Calibri" w:cs="Calibri"/>
                <w:kern w:val="24"/>
                <w:szCs w:val="24"/>
              </w:rPr>
              <w:t xml:space="preserve"> using a skin sealant (liquid film-forming </w:t>
            </w:r>
            <w:proofErr w:type="spellStart"/>
            <w:r>
              <w:rPr>
                <w:rFonts w:ascii="Calibri" w:hAnsi="Calibri" w:cs="Calibri"/>
                <w:kern w:val="24"/>
                <w:szCs w:val="24"/>
              </w:rPr>
              <w:t>acrylateszinc</w:t>
            </w:r>
            <w:proofErr w:type="spellEnd"/>
            <w:r>
              <w:rPr>
                <w:rFonts w:ascii="Calibri" w:hAnsi="Calibri" w:cs="Calibri"/>
                <w:kern w:val="24"/>
                <w:szCs w:val="24"/>
              </w:rPr>
              <w:t xml:space="preserve">) or moisture barrier to protect the skin from the detrimental effects of urine. Creams or ointments that contain petrolatum-based, dimethicone-based, or zinc oxide–based </w:t>
            </w:r>
            <w:r w:rsidR="00BF6EFC">
              <w:rPr>
                <w:rFonts w:ascii="Calibri" w:hAnsi="Calibri" w:cs="Calibri"/>
                <w:kern w:val="24"/>
                <w:szCs w:val="24"/>
              </w:rPr>
              <w:t xml:space="preserve">products </w:t>
            </w:r>
            <w:r>
              <w:rPr>
                <w:rFonts w:ascii="Calibri" w:hAnsi="Calibri" w:cs="Calibri"/>
                <w:kern w:val="24"/>
                <w:szCs w:val="24"/>
              </w:rPr>
              <w:t>serve as excellent moisture barriers</w:t>
            </w:r>
            <w:r w:rsidR="00BF6EFC">
              <w:rPr>
                <w:rFonts w:ascii="Calibri" w:hAnsi="Calibri" w:cs="Calibri"/>
                <w:kern w:val="24"/>
                <w:szCs w:val="24"/>
              </w:rPr>
              <w:t>.</w:t>
            </w:r>
          </w:p>
          <w:p w14:paraId="031FF505" w14:textId="77777777" w:rsidR="00C761BA" w:rsidRDefault="00C761BA" w:rsidP="00C761BA">
            <w:pPr>
              <w:autoSpaceDE w:val="0"/>
              <w:autoSpaceDN w:val="0"/>
              <w:adjustRightInd w:val="0"/>
              <w:spacing w:after="0" w:line="240" w:lineRule="auto"/>
              <w:ind w:left="990" w:hanging="270"/>
              <w:rPr>
                <w:rFonts w:ascii="Calibri" w:hAnsi="Calibri" w:cs="Calibri"/>
                <w:kern w:val="24"/>
                <w:szCs w:val="24"/>
              </w:rPr>
            </w:pPr>
          </w:p>
          <w:p w14:paraId="2D057765" w14:textId="7029F538" w:rsidR="000C6C5E" w:rsidRPr="000C6C5E" w:rsidRDefault="00C761BA" w:rsidP="000C6C5E">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It is important to involve the wound nurse as soon as needed</w:t>
            </w:r>
            <w:r w:rsidR="00BF6EFC">
              <w:rPr>
                <w:rFonts w:ascii="Calibri" w:hAnsi="Calibri" w:cs="Calibri"/>
                <w:kern w:val="24"/>
                <w:szCs w:val="24"/>
              </w:rPr>
              <w:t>,</w:t>
            </w:r>
            <w:r>
              <w:rPr>
                <w:rFonts w:ascii="Calibri" w:hAnsi="Calibri" w:cs="Calibri"/>
                <w:kern w:val="24"/>
                <w:szCs w:val="24"/>
              </w:rPr>
              <w:t xml:space="preserve"> especially whenever there is an issue related to skin care. By working collaboratively with a wound care specialist, the ICU nurse can optimize patient care and help prevent skin breakdown.</w:t>
            </w:r>
          </w:p>
        </w:tc>
        <w:tc>
          <w:tcPr>
            <w:tcW w:w="3240" w:type="dxa"/>
            <w:tcBorders>
              <w:top w:val="single" w:sz="4" w:space="0" w:color="auto"/>
              <w:left w:val="single" w:sz="4" w:space="0" w:color="auto"/>
              <w:bottom w:val="single" w:sz="4" w:space="0" w:color="auto"/>
              <w:right w:val="single" w:sz="4" w:space="0" w:color="auto"/>
            </w:tcBorders>
          </w:tcPr>
          <w:p w14:paraId="3BEA7DF3" w14:textId="1D1440C5" w:rsidR="00C761BA" w:rsidRDefault="00C761BA" w:rsidP="00C761BA">
            <w:r>
              <w:t>Slide 12</w:t>
            </w:r>
          </w:p>
          <w:p w14:paraId="3F180F12" w14:textId="056115D2" w:rsidR="00C761BA" w:rsidRDefault="000C6C5E" w:rsidP="00C761BA">
            <w:pPr>
              <w:autoSpaceDE w:val="0"/>
              <w:autoSpaceDN w:val="0"/>
              <w:adjustRightInd w:val="0"/>
              <w:spacing w:after="0" w:line="240" w:lineRule="auto"/>
              <w:rPr>
                <w:rFonts w:cs="Calibri"/>
                <w:kern w:val="24"/>
                <w:szCs w:val="24"/>
              </w:rPr>
            </w:pPr>
            <w:r>
              <w:rPr>
                <w:noProof/>
              </w:rPr>
              <w:drawing>
                <wp:inline distT="0" distB="0" distL="0" distR="0" wp14:anchorId="788EDB00" wp14:editId="60D0E1D7">
                  <wp:extent cx="1830176" cy="1403498"/>
                  <wp:effectExtent l="19050" t="19050" r="17780" b="2540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9"/>
                          <a:stretch>
                            <a:fillRect/>
                          </a:stretch>
                        </pic:blipFill>
                        <pic:spPr>
                          <a:xfrm>
                            <a:off x="0" y="0"/>
                            <a:ext cx="1833496" cy="1406044"/>
                          </a:xfrm>
                          <a:prstGeom prst="rect">
                            <a:avLst/>
                          </a:prstGeom>
                          <a:ln>
                            <a:solidFill>
                              <a:schemeClr val="tx1"/>
                            </a:solidFill>
                          </a:ln>
                        </pic:spPr>
                      </pic:pic>
                    </a:graphicData>
                  </a:graphic>
                </wp:inline>
              </w:drawing>
            </w:r>
          </w:p>
        </w:tc>
      </w:tr>
      <w:tr w:rsidR="00C761BA" w14:paraId="74F9D9F8" w14:textId="1906F198"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1C5F151E" w14:textId="7179026B" w:rsidR="00C761BA" w:rsidRDefault="00C761BA" w:rsidP="000C6C5E">
            <w:pPr>
              <w:pStyle w:val="NormalWeb"/>
              <w:rPr>
                <w:rFonts w:ascii="Calibri" w:hAnsi="Calibri" w:cs="Calibri"/>
                <w:kern w:val="24"/>
              </w:rPr>
            </w:pPr>
            <w:r>
              <w:rPr>
                <w:rFonts w:ascii="Calibri" w:hAnsi="Calibri" w:cs="Calibri"/>
                <w:kern w:val="24"/>
              </w:rPr>
              <w:t>If the patient does not require hourly intake and output, one strategy studied to determining output is weighing pads</w:t>
            </w:r>
            <w:r w:rsidR="00BF6EFC">
              <w:rPr>
                <w:rFonts w:ascii="Calibri" w:hAnsi="Calibri" w:cs="Calibri"/>
                <w:kern w:val="24"/>
              </w:rPr>
              <w:t>.</w:t>
            </w:r>
            <w:r>
              <w:rPr>
                <w:rFonts w:ascii="Calibri" w:hAnsi="Calibri" w:cs="Calibri"/>
                <w:kern w:val="24"/>
              </w:rPr>
              <w:t xml:space="preserve"> This method is used extensively in newborn nurseries by weighing diapers and can be adapted easily to the adult population. </w:t>
            </w:r>
            <w:r w:rsidR="000C6C5E">
              <w:rPr>
                <w:rFonts w:asciiTheme="minorHAnsi" w:hAnsiTheme="minorHAnsi" w:cstheme="minorHAnsi"/>
                <w:kern w:val="24"/>
              </w:rPr>
              <w:t>The use of diapers</w:t>
            </w:r>
            <w:r w:rsidRPr="000C6C5E">
              <w:rPr>
                <w:rStyle w:val="cf01"/>
                <w:rFonts w:asciiTheme="minorHAnsi" w:hAnsiTheme="minorHAnsi" w:cstheme="minorHAnsi"/>
                <w:sz w:val="24"/>
                <w:szCs w:val="24"/>
              </w:rPr>
              <w:t xml:space="preserve"> in adults is not recommended except for dignity purposes when the patient is in the chair or walking. </w:t>
            </w:r>
            <w:r w:rsidRPr="000C6C5E">
              <w:rPr>
                <w:rFonts w:asciiTheme="minorHAnsi" w:hAnsiTheme="minorHAnsi" w:cstheme="minorHAnsi"/>
                <w:kern w:val="24"/>
              </w:rPr>
              <w:t>The dry pad</w:t>
            </w:r>
            <w:r>
              <w:rPr>
                <w:rFonts w:ascii="Calibri" w:hAnsi="Calibri" w:cs="Calibri"/>
                <w:kern w:val="24"/>
              </w:rPr>
              <w:t xml:space="preserve"> is subtracted from the wet pad</w:t>
            </w:r>
            <w:r w:rsidR="00BF6EFC">
              <w:rPr>
                <w:rFonts w:ascii="Calibri" w:hAnsi="Calibri" w:cs="Calibri"/>
                <w:kern w:val="24"/>
              </w:rPr>
              <w:t>,</w:t>
            </w:r>
            <w:r>
              <w:rPr>
                <w:rFonts w:ascii="Calibri" w:hAnsi="Calibri" w:cs="Calibri"/>
                <w:kern w:val="24"/>
              </w:rPr>
              <w:t xml:space="preserve"> and the resulting difference equals the volume of urine leaked into the pad. </w:t>
            </w:r>
          </w:p>
          <w:p w14:paraId="45A59BEA" w14:textId="103745D9" w:rsidR="000C6C5E" w:rsidRPr="000C6C5E" w:rsidRDefault="00C761BA" w:rsidP="000C6C5E">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Compared </w:t>
            </w:r>
            <w:r w:rsidR="00BF6EFC">
              <w:rPr>
                <w:rFonts w:ascii="Calibri" w:hAnsi="Calibri" w:cs="Calibri"/>
                <w:kern w:val="24"/>
                <w:szCs w:val="24"/>
              </w:rPr>
              <w:t>with</w:t>
            </w:r>
            <w:r>
              <w:rPr>
                <w:rFonts w:ascii="Calibri" w:hAnsi="Calibri" w:cs="Calibri"/>
                <w:kern w:val="24"/>
                <w:szCs w:val="24"/>
              </w:rPr>
              <w:t xml:space="preserve"> the system of documenting the number of incontinent episodes, this improved measurement of urine output can prevent the need for a urinary catheter or facilitate the removal of an indwelling urinary catheter as soon as possible.</w:t>
            </w:r>
          </w:p>
        </w:tc>
        <w:tc>
          <w:tcPr>
            <w:tcW w:w="3240" w:type="dxa"/>
            <w:tcBorders>
              <w:top w:val="single" w:sz="4" w:space="0" w:color="auto"/>
              <w:left w:val="single" w:sz="4" w:space="0" w:color="auto"/>
              <w:bottom w:val="single" w:sz="4" w:space="0" w:color="auto"/>
              <w:right w:val="single" w:sz="4" w:space="0" w:color="auto"/>
            </w:tcBorders>
          </w:tcPr>
          <w:p w14:paraId="56C6130B" w14:textId="45C22F83" w:rsidR="00C761BA" w:rsidRDefault="00C761BA" w:rsidP="00C761BA">
            <w:r>
              <w:t>Slide 13</w:t>
            </w:r>
          </w:p>
          <w:p w14:paraId="3A6F15B5" w14:textId="44094B98" w:rsidR="00C761BA" w:rsidRDefault="000C6C5E" w:rsidP="00C761BA">
            <w:pPr>
              <w:autoSpaceDE w:val="0"/>
              <w:autoSpaceDN w:val="0"/>
              <w:adjustRightInd w:val="0"/>
              <w:spacing w:after="0" w:line="240" w:lineRule="auto"/>
              <w:rPr>
                <w:rFonts w:cs="Calibri"/>
                <w:kern w:val="24"/>
                <w:szCs w:val="24"/>
              </w:rPr>
            </w:pPr>
            <w:r>
              <w:rPr>
                <w:noProof/>
              </w:rPr>
              <w:drawing>
                <wp:inline distT="0" distB="0" distL="0" distR="0" wp14:anchorId="33A5DAF7" wp14:editId="4874F130">
                  <wp:extent cx="1828800" cy="1400629"/>
                  <wp:effectExtent l="19050" t="19050" r="19050" b="2857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30"/>
                          <a:stretch>
                            <a:fillRect/>
                          </a:stretch>
                        </pic:blipFill>
                        <pic:spPr>
                          <a:xfrm>
                            <a:off x="0" y="0"/>
                            <a:ext cx="1832482" cy="1403449"/>
                          </a:xfrm>
                          <a:prstGeom prst="rect">
                            <a:avLst/>
                          </a:prstGeom>
                          <a:ln>
                            <a:solidFill>
                              <a:schemeClr val="tx1"/>
                            </a:solidFill>
                          </a:ln>
                        </pic:spPr>
                      </pic:pic>
                    </a:graphicData>
                  </a:graphic>
                </wp:inline>
              </w:drawing>
            </w:r>
          </w:p>
        </w:tc>
      </w:tr>
      <w:tr w:rsidR="00C761BA" w14:paraId="686BF200" w14:textId="52A09127"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28D0B90" w14:textId="337F560C" w:rsidR="000C6C5E" w:rsidRPr="000C6C5E" w:rsidRDefault="00BF6EFC" w:rsidP="000C6C5E">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w:t>
            </w:r>
            <w:r w:rsidR="00C761BA">
              <w:rPr>
                <w:rFonts w:ascii="Calibri" w:hAnsi="Calibri" w:cs="Calibri"/>
                <w:kern w:val="24"/>
                <w:szCs w:val="24"/>
              </w:rPr>
              <w:t>o adequately measure urine and help patients empty their bladder, bedside commodes, bedpans, hats (which are urine collection devices used inside the toilet and urinals</w:t>
            </w:r>
            <w:r>
              <w:rPr>
                <w:rFonts w:ascii="Calibri" w:hAnsi="Calibri" w:cs="Calibri"/>
                <w:kern w:val="24"/>
                <w:szCs w:val="24"/>
              </w:rPr>
              <w:t>)</w:t>
            </w:r>
            <w:r w:rsidR="00C761BA">
              <w:rPr>
                <w:rFonts w:ascii="Calibri" w:hAnsi="Calibri" w:cs="Calibri"/>
                <w:kern w:val="24"/>
                <w:szCs w:val="24"/>
              </w:rPr>
              <w:t xml:space="preserve"> are essential alternatives. Additional planning </w:t>
            </w:r>
            <w:r w:rsidR="00C761BA" w:rsidRPr="00E76F97">
              <w:rPr>
                <w:rFonts w:ascii="Calibri" w:hAnsi="Calibri" w:cs="Calibri"/>
                <w:kern w:val="24"/>
                <w:szCs w:val="24"/>
              </w:rPr>
              <w:t xml:space="preserve">resources </w:t>
            </w:r>
            <w:r w:rsidR="00C761BA">
              <w:rPr>
                <w:rFonts w:ascii="Calibri" w:hAnsi="Calibri" w:cs="Calibri"/>
                <w:kern w:val="24"/>
                <w:szCs w:val="24"/>
              </w:rPr>
              <w:t>and personnel may be required to ensure that patients are regularly prompted and assisted with voiding or assessed for incontinence. Lifting teams or electronic lifts can help with transferring larger patients to the bedside commode. Consider involving staff from other departments to assist unit staff with scheduled voiding/toileting, such as respiratory, physical, or occupational therapists.</w:t>
            </w:r>
          </w:p>
        </w:tc>
        <w:tc>
          <w:tcPr>
            <w:tcW w:w="3240" w:type="dxa"/>
            <w:tcBorders>
              <w:top w:val="single" w:sz="4" w:space="0" w:color="auto"/>
              <w:left w:val="single" w:sz="4" w:space="0" w:color="auto"/>
              <w:bottom w:val="single" w:sz="4" w:space="0" w:color="auto"/>
              <w:right w:val="single" w:sz="4" w:space="0" w:color="auto"/>
            </w:tcBorders>
          </w:tcPr>
          <w:p w14:paraId="3410D935" w14:textId="7D5B4C5A" w:rsidR="00C761BA" w:rsidRDefault="00C761BA" w:rsidP="00C761BA">
            <w:r>
              <w:t>Slide 14</w:t>
            </w:r>
          </w:p>
          <w:p w14:paraId="74ED5B2F" w14:textId="3E0AAF18" w:rsidR="00C761BA" w:rsidRDefault="000C6C5E" w:rsidP="002A1AD5">
            <w:pPr>
              <w:autoSpaceDE w:val="0"/>
              <w:autoSpaceDN w:val="0"/>
              <w:adjustRightInd w:val="0"/>
              <w:spacing w:after="120" w:line="240" w:lineRule="auto"/>
              <w:rPr>
                <w:rFonts w:cs="Calibri"/>
                <w:kern w:val="24"/>
                <w:szCs w:val="24"/>
              </w:rPr>
            </w:pPr>
            <w:r>
              <w:rPr>
                <w:noProof/>
              </w:rPr>
              <w:drawing>
                <wp:inline distT="0" distB="0" distL="0" distR="0" wp14:anchorId="3AEBF47A" wp14:editId="4955907C">
                  <wp:extent cx="1839265" cy="1413510"/>
                  <wp:effectExtent l="19050" t="19050" r="27940" b="1524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1"/>
                          <a:stretch>
                            <a:fillRect/>
                          </a:stretch>
                        </pic:blipFill>
                        <pic:spPr>
                          <a:xfrm>
                            <a:off x="0" y="0"/>
                            <a:ext cx="1847592" cy="1419910"/>
                          </a:xfrm>
                          <a:prstGeom prst="rect">
                            <a:avLst/>
                          </a:prstGeom>
                          <a:ln>
                            <a:solidFill>
                              <a:schemeClr val="tx1"/>
                            </a:solidFill>
                          </a:ln>
                        </pic:spPr>
                      </pic:pic>
                    </a:graphicData>
                  </a:graphic>
                </wp:inline>
              </w:drawing>
            </w:r>
          </w:p>
        </w:tc>
      </w:tr>
      <w:tr w:rsidR="00C761BA" w14:paraId="06F5D389" w14:textId="50D007FE"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19DA558B" w14:textId="52114DE8"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lastRenderedPageBreak/>
              <w:t>In the ICU, there are a variety of barriers to providing alternat</w:t>
            </w:r>
            <w:r w:rsidR="00BF6EFC">
              <w:rPr>
                <w:rFonts w:ascii="Calibri" w:hAnsi="Calibri" w:cs="Calibri"/>
                <w:kern w:val="24"/>
                <w:szCs w:val="24"/>
              </w:rPr>
              <w:t>iv</w:t>
            </w:r>
            <w:r>
              <w:rPr>
                <w:rFonts w:ascii="Calibri" w:hAnsi="Calibri" w:cs="Calibri"/>
                <w:kern w:val="24"/>
                <w:szCs w:val="24"/>
              </w:rPr>
              <w:t xml:space="preserve">es to the urinary catheter. With competing priorities and time constraints, healthcare providers may not prioritize indwelling urinary catheters as a device that should be assessed before insertion and daily for need, especially in critical care units. There is also a perception that the patient must have a urinary catheter for </w:t>
            </w:r>
            <w:r w:rsidR="00492A31">
              <w:rPr>
                <w:rFonts w:ascii="Calibri" w:hAnsi="Calibri" w:cs="Calibri"/>
                <w:kern w:val="24"/>
                <w:szCs w:val="24"/>
              </w:rPr>
              <w:t xml:space="preserve">recording </w:t>
            </w:r>
            <w:r>
              <w:rPr>
                <w:rFonts w:ascii="Calibri" w:hAnsi="Calibri" w:cs="Calibri"/>
                <w:kern w:val="24"/>
                <w:szCs w:val="24"/>
              </w:rPr>
              <w:t xml:space="preserve">accurate </w:t>
            </w:r>
            <w:r w:rsidR="00492A31">
              <w:rPr>
                <w:rFonts w:ascii="Calibri" w:hAnsi="Calibri" w:cs="Calibri"/>
                <w:kern w:val="24"/>
                <w:szCs w:val="24"/>
              </w:rPr>
              <w:t>urine output</w:t>
            </w:r>
            <w:r>
              <w:rPr>
                <w:rFonts w:ascii="Calibri" w:hAnsi="Calibri" w:cs="Calibri"/>
                <w:kern w:val="24"/>
                <w:szCs w:val="24"/>
              </w:rPr>
              <w:t>. During training, physicians and nurses are made aware of the advantages of indwelling urinary catheters. However, instructors often do not focus on the associated risks of these devices. This is why unit culture is also important. The culture in a unit can be one that is supportive of timely removal</w:t>
            </w:r>
            <w:r w:rsidR="00BF6EFC">
              <w:rPr>
                <w:rFonts w:ascii="Calibri" w:hAnsi="Calibri" w:cs="Calibri"/>
                <w:kern w:val="24"/>
                <w:szCs w:val="24"/>
              </w:rPr>
              <w:t>,</w:t>
            </w:r>
            <w:r>
              <w:rPr>
                <w:rFonts w:ascii="Calibri" w:hAnsi="Calibri" w:cs="Calibri"/>
                <w:kern w:val="24"/>
                <w:szCs w:val="24"/>
              </w:rPr>
              <w:t xml:space="preserve"> or </w:t>
            </w:r>
            <w:r w:rsidR="00BF6EFC">
              <w:rPr>
                <w:rFonts w:ascii="Calibri" w:hAnsi="Calibri" w:cs="Calibri"/>
                <w:kern w:val="24"/>
                <w:szCs w:val="24"/>
              </w:rPr>
              <w:t xml:space="preserve">it </w:t>
            </w:r>
            <w:r>
              <w:rPr>
                <w:rFonts w:ascii="Calibri" w:hAnsi="Calibri" w:cs="Calibri"/>
                <w:kern w:val="24"/>
                <w:szCs w:val="24"/>
              </w:rPr>
              <w:t>may be one that prioritize</w:t>
            </w:r>
            <w:r w:rsidR="00BF6EFC">
              <w:rPr>
                <w:rFonts w:ascii="Calibri" w:hAnsi="Calibri" w:cs="Calibri"/>
                <w:kern w:val="24"/>
                <w:szCs w:val="24"/>
              </w:rPr>
              <w:t>s</w:t>
            </w:r>
            <w:r>
              <w:rPr>
                <w:rFonts w:ascii="Calibri" w:hAnsi="Calibri" w:cs="Calibri"/>
                <w:kern w:val="24"/>
                <w:szCs w:val="24"/>
              </w:rPr>
              <w:t xml:space="preserve"> urinary catheter utilization.</w:t>
            </w:r>
          </w:p>
          <w:p w14:paraId="681078A1" w14:textId="77777777" w:rsidR="00C761BA" w:rsidRDefault="00C761BA" w:rsidP="00C761BA">
            <w:pPr>
              <w:autoSpaceDE w:val="0"/>
              <w:autoSpaceDN w:val="0"/>
              <w:adjustRightInd w:val="0"/>
              <w:spacing w:after="0" w:line="240" w:lineRule="auto"/>
              <w:rPr>
                <w:rFonts w:ascii="Calibri" w:hAnsi="Calibri" w:cs="Calibri"/>
                <w:kern w:val="24"/>
                <w:szCs w:val="24"/>
              </w:rPr>
            </w:pPr>
          </w:p>
          <w:p w14:paraId="5AF0AF19" w14:textId="77777777"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Lack of availability and understanding of good alternatives available to provide bladder management and output measurement have contributed to this practice. Bedside nurses are ultimately managing the urinary catheter, and the advantages for them include reducing the amount of time they must spend managing the bladders of their patients and keeping their patients’ skin dry. Thus, they are often reluctant to consider alternatives. </w:t>
            </w:r>
          </w:p>
          <w:p w14:paraId="5E7A4086" w14:textId="77777777"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w:t>
            </w:r>
          </w:p>
          <w:p w14:paraId="16A626CC" w14:textId="7AA3453C" w:rsidR="000C6C5E" w:rsidRPr="000C6C5E" w:rsidRDefault="00C761BA" w:rsidP="000C6C5E">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Keeping this in mind, let’s continue with identifying some strategies to overcome these barriers.</w:t>
            </w:r>
          </w:p>
        </w:tc>
        <w:tc>
          <w:tcPr>
            <w:tcW w:w="3240" w:type="dxa"/>
            <w:tcBorders>
              <w:top w:val="single" w:sz="4" w:space="0" w:color="auto"/>
              <w:left w:val="single" w:sz="4" w:space="0" w:color="auto"/>
              <w:bottom w:val="single" w:sz="4" w:space="0" w:color="auto"/>
              <w:right w:val="single" w:sz="4" w:space="0" w:color="auto"/>
            </w:tcBorders>
          </w:tcPr>
          <w:p w14:paraId="1289743C" w14:textId="68015852" w:rsidR="00C761BA" w:rsidRDefault="00C761BA" w:rsidP="00C761BA">
            <w:r>
              <w:t>Slide 15</w:t>
            </w:r>
          </w:p>
          <w:p w14:paraId="57CF8718" w14:textId="49E5F12E" w:rsidR="00C761BA" w:rsidRDefault="000C6C5E" w:rsidP="00C761BA">
            <w:pPr>
              <w:autoSpaceDE w:val="0"/>
              <w:autoSpaceDN w:val="0"/>
              <w:adjustRightInd w:val="0"/>
              <w:spacing w:after="0" w:line="240" w:lineRule="auto"/>
              <w:rPr>
                <w:rFonts w:cs="Calibri"/>
                <w:kern w:val="24"/>
                <w:szCs w:val="24"/>
              </w:rPr>
            </w:pPr>
            <w:r>
              <w:rPr>
                <w:noProof/>
              </w:rPr>
              <w:drawing>
                <wp:inline distT="0" distB="0" distL="0" distR="0" wp14:anchorId="15625EF6" wp14:editId="7294BAE9">
                  <wp:extent cx="1863733" cy="1435395"/>
                  <wp:effectExtent l="19050" t="19050" r="22225" b="1270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2"/>
                          <a:stretch>
                            <a:fillRect/>
                          </a:stretch>
                        </pic:blipFill>
                        <pic:spPr>
                          <a:xfrm>
                            <a:off x="0" y="0"/>
                            <a:ext cx="1864975" cy="1436351"/>
                          </a:xfrm>
                          <a:prstGeom prst="rect">
                            <a:avLst/>
                          </a:prstGeom>
                          <a:ln>
                            <a:solidFill>
                              <a:schemeClr val="tx1"/>
                            </a:solidFill>
                          </a:ln>
                        </pic:spPr>
                      </pic:pic>
                    </a:graphicData>
                  </a:graphic>
                </wp:inline>
              </w:drawing>
            </w:r>
          </w:p>
        </w:tc>
      </w:tr>
      <w:tr w:rsidR="00C761BA" w14:paraId="203C4CB3" w14:textId="1B2B5DD5"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282272C6" w14:textId="7CE68B94"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Realizing the many challenges in implementing the use of alternatives, here are some tips. First, physicians and nurses often see interventions differently. They may have different views on the use of certain alternatives. Therefore, including discussions on the use of alternatives during rounds will help bring concerns to the surface and address the issues in real</w:t>
            </w:r>
            <w:r w:rsidR="00F3203B">
              <w:rPr>
                <w:rFonts w:ascii="Calibri" w:hAnsi="Calibri" w:cs="Calibri"/>
                <w:kern w:val="24"/>
                <w:szCs w:val="24"/>
              </w:rPr>
              <w:t xml:space="preserve"> </w:t>
            </w:r>
            <w:r>
              <w:rPr>
                <w:rFonts w:ascii="Calibri" w:hAnsi="Calibri" w:cs="Calibri"/>
                <w:kern w:val="24"/>
                <w:szCs w:val="24"/>
              </w:rPr>
              <w:t xml:space="preserve">time. </w:t>
            </w:r>
          </w:p>
          <w:p w14:paraId="4C99CE6D" w14:textId="77777777" w:rsidR="00C761BA" w:rsidRDefault="00C761BA" w:rsidP="00C761BA">
            <w:pPr>
              <w:autoSpaceDE w:val="0"/>
              <w:autoSpaceDN w:val="0"/>
              <w:adjustRightInd w:val="0"/>
              <w:spacing w:after="0" w:line="240" w:lineRule="auto"/>
              <w:rPr>
                <w:rFonts w:ascii="Calibri" w:hAnsi="Calibri" w:cs="Calibri"/>
                <w:kern w:val="24"/>
                <w:szCs w:val="24"/>
              </w:rPr>
            </w:pPr>
          </w:p>
          <w:p w14:paraId="2B51BDDD" w14:textId="087F676F" w:rsidR="000C6C5E" w:rsidRPr="000C6C5E" w:rsidRDefault="00C761BA" w:rsidP="000C6C5E">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The use of a </w:t>
            </w:r>
            <w:hyperlink r:id="rId33" w:history="1">
              <w:r w:rsidR="00F3203B" w:rsidRPr="001A1ED3">
                <w:rPr>
                  <w:rStyle w:val="Hyperlink"/>
                  <w:rFonts w:ascii="Calibri" w:hAnsi="Calibri" w:cs="Calibri"/>
                  <w:kern w:val="24"/>
                  <w:szCs w:val="24"/>
                </w:rPr>
                <w:t>C</w:t>
              </w:r>
              <w:r w:rsidRPr="001A1ED3">
                <w:rPr>
                  <w:rStyle w:val="Hyperlink"/>
                  <w:rFonts w:ascii="Calibri" w:hAnsi="Calibri" w:cs="Calibri"/>
                  <w:kern w:val="24"/>
                  <w:szCs w:val="24"/>
                </w:rPr>
                <w:t xml:space="preserve">omprehensive </w:t>
              </w:r>
              <w:r w:rsidR="00F3203B" w:rsidRPr="001A1ED3">
                <w:rPr>
                  <w:rStyle w:val="Hyperlink"/>
                  <w:rFonts w:ascii="Calibri" w:hAnsi="Calibri" w:cs="Calibri"/>
                  <w:kern w:val="24"/>
                  <w:szCs w:val="24"/>
                </w:rPr>
                <w:t>U</w:t>
              </w:r>
              <w:r w:rsidRPr="001A1ED3">
                <w:rPr>
                  <w:rStyle w:val="Hyperlink"/>
                  <w:rFonts w:ascii="Calibri" w:hAnsi="Calibri" w:cs="Calibri"/>
                  <w:kern w:val="24"/>
                  <w:szCs w:val="24"/>
                </w:rPr>
                <w:t xml:space="preserve">nit-based </w:t>
              </w:r>
              <w:r w:rsidR="00F3203B" w:rsidRPr="001A1ED3">
                <w:rPr>
                  <w:rStyle w:val="Hyperlink"/>
                  <w:rFonts w:ascii="Calibri" w:hAnsi="Calibri" w:cs="Calibri"/>
                  <w:kern w:val="24"/>
                  <w:szCs w:val="24"/>
                </w:rPr>
                <w:t>S</w:t>
              </w:r>
              <w:r w:rsidRPr="001A1ED3">
                <w:rPr>
                  <w:rStyle w:val="Hyperlink"/>
                  <w:rFonts w:ascii="Calibri" w:hAnsi="Calibri" w:cs="Calibri"/>
                  <w:kern w:val="24"/>
                  <w:szCs w:val="24"/>
                </w:rPr>
                <w:t xml:space="preserve">afety </w:t>
              </w:r>
              <w:r w:rsidR="00F3203B" w:rsidRPr="001A1ED3">
                <w:rPr>
                  <w:rStyle w:val="Hyperlink"/>
                  <w:rFonts w:ascii="Calibri" w:hAnsi="Calibri" w:cs="Calibri"/>
                  <w:kern w:val="24"/>
                  <w:szCs w:val="24"/>
                </w:rPr>
                <w:t>P</w:t>
              </w:r>
              <w:r w:rsidRPr="001A1ED3">
                <w:rPr>
                  <w:rStyle w:val="Hyperlink"/>
                  <w:rFonts w:ascii="Calibri" w:hAnsi="Calibri" w:cs="Calibri"/>
                  <w:kern w:val="24"/>
                  <w:szCs w:val="24"/>
                </w:rPr>
                <w:t>rogram team</w:t>
              </w:r>
            </w:hyperlink>
            <w:r>
              <w:rPr>
                <w:rFonts w:ascii="Calibri" w:hAnsi="Calibri" w:cs="Calibri"/>
                <w:kern w:val="24"/>
                <w:szCs w:val="24"/>
              </w:rPr>
              <w:t>, also referred to as the CUSP team, can help communicate the science behind the alternatives and work to promote team engagement in learning more about benefits of using alternatives to indwelling urinary catheters. If the ICU staff or physicians are resistant to using alternatives, conducting small tests of change might be indicated.</w:t>
            </w:r>
          </w:p>
        </w:tc>
        <w:tc>
          <w:tcPr>
            <w:tcW w:w="3240" w:type="dxa"/>
            <w:tcBorders>
              <w:top w:val="single" w:sz="4" w:space="0" w:color="auto"/>
              <w:left w:val="single" w:sz="4" w:space="0" w:color="auto"/>
              <w:bottom w:val="single" w:sz="4" w:space="0" w:color="auto"/>
              <w:right w:val="single" w:sz="4" w:space="0" w:color="auto"/>
            </w:tcBorders>
          </w:tcPr>
          <w:p w14:paraId="548C0E2B" w14:textId="6DFE7BDF" w:rsidR="00C761BA" w:rsidRDefault="000C6C5E" w:rsidP="00C761BA">
            <w:r>
              <w:t>Slide 16</w:t>
            </w:r>
          </w:p>
          <w:p w14:paraId="69BB7EEE" w14:textId="3283082E" w:rsidR="00C761BA" w:rsidRDefault="003157A9" w:rsidP="00C761BA">
            <w:pPr>
              <w:autoSpaceDE w:val="0"/>
              <w:autoSpaceDN w:val="0"/>
              <w:adjustRightInd w:val="0"/>
              <w:spacing w:after="0" w:line="240" w:lineRule="auto"/>
              <w:rPr>
                <w:rFonts w:cs="Calibri"/>
                <w:kern w:val="24"/>
                <w:szCs w:val="24"/>
              </w:rPr>
            </w:pPr>
            <w:r>
              <w:rPr>
                <w:rFonts w:cs="Calibri"/>
                <w:noProof/>
                <w:kern w:val="24"/>
                <w:szCs w:val="24"/>
              </w:rPr>
              <w:drawing>
                <wp:inline distT="0" distB="0" distL="0" distR="0" wp14:anchorId="39A5A93E" wp14:editId="0BA0FC1E">
                  <wp:extent cx="1857375" cy="1438275"/>
                  <wp:effectExtent l="19050" t="19050" r="28575" b="2857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1438275"/>
                          </a:xfrm>
                          <a:prstGeom prst="rect">
                            <a:avLst/>
                          </a:prstGeom>
                          <a:noFill/>
                          <a:ln>
                            <a:solidFill>
                              <a:schemeClr val="tx1"/>
                            </a:solidFill>
                          </a:ln>
                        </pic:spPr>
                      </pic:pic>
                    </a:graphicData>
                  </a:graphic>
                </wp:inline>
              </w:drawing>
            </w:r>
          </w:p>
        </w:tc>
      </w:tr>
      <w:tr w:rsidR="00C761BA" w14:paraId="0E0C62BF" w14:textId="59016666"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77174D04" w14:textId="687BF696" w:rsidR="00C761BA" w:rsidRDefault="004B5804"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lastRenderedPageBreak/>
              <w:t>T</w:t>
            </w:r>
            <w:r w:rsidR="00C761BA">
              <w:rPr>
                <w:rFonts w:ascii="Calibri" w:hAnsi="Calibri" w:cs="Calibri"/>
                <w:kern w:val="24"/>
                <w:szCs w:val="24"/>
              </w:rPr>
              <w:t xml:space="preserve">he previous slide </w:t>
            </w:r>
            <w:r>
              <w:rPr>
                <w:rFonts w:ascii="Calibri" w:hAnsi="Calibri" w:cs="Calibri"/>
                <w:kern w:val="24"/>
                <w:szCs w:val="24"/>
              </w:rPr>
              <w:t xml:space="preserve">suggested </w:t>
            </w:r>
            <w:r w:rsidR="00C761BA">
              <w:rPr>
                <w:rFonts w:ascii="Calibri" w:hAnsi="Calibri" w:cs="Calibri"/>
                <w:kern w:val="24"/>
                <w:szCs w:val="24"/>
              </w:rPr>
              <w:t>includ</w:t>
            </w:r>
            <w:r>
              <w:rPr>
                <w:rFonts w:ascii="Calibri" w:hAnsi="Calibri" w:cs="Calibri"/>
                <w:kern w:val="24"/>
                <w:szCs w:val="24"/>
              </w:rPr>
              <w:t>ing</w:t>
            </w:r>
            <w:r w:rsidR="00C761BA">
              <w:rPr>
                <w:rFonts w:ascii="Calibri" w:hAnsi="Calibri" w:cs="Calibri"/>
                <w:kern w:val="24"/>
                <w:szCs w:val="24"/>
              </w:rPr>
              <w:t xml:space="preserve"> discussions on the use of alternatives during rounds. Multidisciplinary rounds provide an excellent opportunity to verify the need for the catheter, evaluate alternative strategies, ensure post</w:t>
            </w:r>
            <w:r>
              <w:rPr>
                <w:rFonts w:ascii="Calibri" w:hAnsi="Calibri" w:cs="Calibri"/>
                <w:kern w:val="24"/>
                <w:szCs w:val="24"/>
              </w:rPr>
              <w:t>-</w:t>
            </w:r>
            <w:r w:rsidR="00C761BA">
              <w:rPr>
                <w:rFonts w:ascii="Calibri" w:hAnsi="Calibri" w:cs="Calibri"/>
                <w:kern w:val="24"/>
                <w:szCs w:val="24"/>
              </w:rPr>
              <w:t>residual voiding, and educate patient</w:t>
            </w:r>
            <w:r>
              <w:rPr>
                <w:rFonts w:ascii="Calibri" w:hAnsi="Calibri" w:cs="Calibri"/>
                <w:kern w:val="24"/>
                <w:szCs w:val="24"/>
              </w:rPr>
              <w:t>s</w:t>
            </w:r>
            <w:r w:rsidR="00C761BA">
              <w:rPr>
                <w:rFonts w:ascii="Calibri" w:hAnsi="Calibri" w:cs="Calibri"/>
                <w:kern w:val="24"/>
                <w:szCs w:val="24"/>
              </w:rPr>
              <w:t xml:space="preserve"> and families. More on this topic can be found in the </w:t>
            </w:r>
            <w:hyperlink r:id="rId35" w:history="1">
              <w:r w:rsidR="00C761BA" w:rsidRPr="00944830">
                <w:rPr>
                  <w:rStyle w:val="Hyperlink"/>
                  <w:rFonts w:ascii="Calibri" w:hAnsi="Calibri" w:cs="Calibri"/>
                  <w:kern w:val="24"/>
                  <w:szCs w:val="24"/>
                </w:rPr>
                <w:t>Making it Work Tip Sheet: Multidisciplinary Rounds</w:t>
              </w:r>
            </w:hyperlink>
            <w:r w:rsidR="00C761BA">
              <w:rPr>
                <w:rFonts w:ascii="Calibri" w:hAnsi="Calibri" w:cs="Calibri"/>
                <w:kern w:val="24"/>
                <w:szCs w:val="24"/>
              </w:rPr>
              <w:t xml:space="preserve">. </w:t>
            </w:r>
          </w:p>
          <w:p w14:paraId="53F27DC0" w14:textId="77777777" w:rsidR="00C761BA" w:rsidRDefault="00C761BA" w:rsidP="00C761BA">
            <w:pPr>
              <w:autoSpaceDE w:val="0"/>
              <w:autoSpaceDN w:val="0"/>
              <w:adjustRightInd w:val="0"/>
              <w:spacing w:after="0" w:line="240" w:lineRule="auto"/>
              <w:rPr>
                <w:rFonts w:ascii="Calibri" w:hAnsi="Calibri" w:cs="Calibri"/>
                <w:kern w:val="24"/>
                <w:szCs w:val="24"/>
              </w:rPr>
            </w:pPr>
          </w:p>
          <w:p w14:paraId="18CF0CCA" w14:textId="02F6666B"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In order to use alternatives effectively, it is important to have the right people, the right supplies</w:t>
            </w:r>
            <w:r w:rsidR="004B5804">
              <w:rPr>
                <w:rFonts w:ascii="Calibri" w:hAnsi="Calibri" w:cs="Calibri"/>
                <w:kern w:val="24"/>
                <w:szCs w:val="24"/>
              </w:rPr>
              <w:t>,</w:t>
            </w:r>
            <w:r>
              <w:rPr>
                <w:rFonts w:ascii="Calibri" w:hAnsi="Calibri" w:cs="Calibri"/>
                <w:kern w:val="24"/>
                <w:szCs w:val="24"/>
              </w:rPr>
              <w:t xml:space="preserve"> and effective communication. CAUTI reduction can only be successful with dedicated champions. Engage and empower staff to feel part of the process, including lifting teams, care assistants, and physical therapy. </w:t>
            </w:r>
          </w:p>
          <w:p w14:paraId="5A2A5349" w14:textId="77777777" w:rsidR="00C761BA" w:rsidRDefault="00C761BA" w:rsidP="00C761BA">
            <w:pPr>
              <w:autoSpaceDE w:val="0"/>
              <w:autoSpaceDN w:val="0"/>
              <w:adjustRightInd w:val="0"/>
              <w:spacing w:after="0" w:line="240" w:lineRule="auto"/>
              <w:rPr>
                <w:rFonts w:ascii="Calibri" w:hAnsi="Calibri" w:cs="Calibri"/>
                <w:kern w:val="24"/>
                <w:szCs w:val="24"/>
              </w:rPr>
            </w:pPr>
          </w:p>
          <w:p w14:paraId="24C9F050" w14:textId="6A57C6F9"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Bedside commodes, urinals, hats, daily weights, incontinence pads</w:t>
            </w:r>
            <w:r w:rsidR="004B5804">
              <w:rPr>
                <w:rFonts w:ascii="Calibri" w:hAnsi="Calibri" w:cs="Calibri"/>
                <w:kern w:val="24"/>
                <w:szCs w:val="24"/>
              </w:rPr>
              <w:t>,</w:t>
            </w:r>
            <w:r>
              <w:rPr>
                <w:rFonts w:ascii="Calibri" w:hAnsi="Calibri" w:cs="Calibri"/>
                <w:kern w:val="24"/>
                <w:szCs w:val="24"/>
              </w:rPr>
              <w:t xml:space="preserve"> and skin</w:t>
            </w:r>
            <w:r w:rsidR="004B5804">
              <w:rPr>
                <w:rFonts w:ascii="Calibri" w:hAnsi="Calibri" w:cs="Calibri"/>
                <w:kern w:val="24"/>
                <w:szCs w:val="24"/>
              </w:rPr>
              <w:t>-</w:t>
            </w:r>
            <w:r>
              <w:rPr>
                <w:rFonts w:ascii="Calibri" w:hAnsi="Calibri" w:cs="Calibri"/>
                <w:kern w:val="24"/>
                <w:szCs w:val="24"/>
              </w:rPr>
              <w:t xml:space="preserve">care and barrier creams should consistently be made available on supply carts in all nursing units. Involve staff in the decision-making process and allow them to be a part of the trialing and purchasing of alternatives. Education on alternatives and their indications is critical and needs to be provided to all stakeholders. </w:t>
            </w:r>
          </w:p>
          <w:p w14:paraId="7214E9E7" w14:textId="77777777" w:rsidR="00C761BA" w:rsidRDefault="00C761BA" w:rsidP="00C761BA">
            <w:pPr>
              <w:autoSpaceDE w:val="0"/>
              <w:autoSpaceDN w:val="0"/>
              <w:adjustRightInd w:val="0"/>
              <w:spacing w:after="0" w:line="240" w:lineRule="auto"/>
              <w:rPr>
                <w:rFonts w:ascii="Calibri" w:hAnsi="Calibri" w:cs="Calibri"/>
                <w:kern w:val="24"/>
                <w:szCs w:val="24"/>
              </w:rPr>
            </w:pPr>
          </w:p>
          <w:p w14:paraId="275E2FA4" w14:textId="6381112A" w:rsidR="00C761BA" w:rsidRDefault="00C761BA"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Use your multidisciplinary rounds to not only evaluate if a catheter may be removed</w:t>
            </w:r>
            <w:r w:rsidR="004B5804">
              <w:rPr>
                <w:rFonts w:ascii="Calibri" w:hAnsi="Calibri" w:cs="Calibri"/>
                <w:kern w:val="24"/>
                <w:szCs w:val="24"/>
              </w:rPr>
              <w:t>,</w:t>
            </w:r>
            <w:r>
              <w:rPr>
                <w:rFonts w:ascii="Calibri" w:hAnsi="Calibri" w:cs="Calibri"/>
                <w:kern w:val="24"/>
                <w:szCs w:val="24"/>
              </w:rPr>
              <w:t xml:space="preserve"> but also use these rounds to discuss alternatives when the catheter cannot be removed.</w:t>
            </w:r>
          </w:p>
          <w:p w14:paraId="63566FA2" w14:textId="77777777" w:rsidR="00C761BA" w:rsidRDefault="00C761BA" w:rsidP="00C761BA">
            <w:pPr>
              <w:autoSpaceDE w:val="0"/>
              <w:autoSpaceDN w:val="0"/>
              <w:adjustRightInd w:val="0"/>
              <w:spacing w:after="0" w:line="240" w:lineRule="auto"/>
              <w:rPr>
                <w:rFonts w:ascii="Calibri" w:hAnsi="Calibri" w:cs="Calibri"/>
                <w:kern w:val="24"/>
                <w:szCs w:val="24"/>
              </w:rPr>
            </w:pPr>
          </w:p>
          <w:p w14:paraId="28D00264" w14:textId="32204A05" w:rsidR="00C761BA" w:rsidRPr="000C6C5E" w:rsidRDefault="00C761BA" w:rsidP="000C6C5E">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Finally, communication at the bedside and among healthcare professionals is key to success. Make sure information flows between units or departments, for instance on transfer from the </w:t>
            </w:r>
            <w:r w:rsidR="004B5804">
              <w:rPr>
                <w:rFonts w:ascii="Calibri" w:hAnsi="Calibri" w:cs="Calibri"/>
                <w:kern w:val="24"/>
                <w:szCs w:val="24"/>
              </w:rPr>
              <w:t xml:space="preserve">emergency department </w:t>
            </w:r>
            <w:r>
              <w:rPr>
                <w:rFonts w:ascii="Calibri" w:hAnsi="Calibri" w:cs="Calibri"/>
                <w:kern w:val="24"/>
                <w:szCs w:val="24"/>
              </w:rPr>
              <w:t>o</w:t>
            </w:r>
            <w:r w:rsidR="002A1AD5">
              <w:rPr>
                <w:rFonts w:ascii="Calibri" w:hAnsi="Calibri" w:cs="Calibri"/>
                <w:kern w:val="24"/>
                <w:szCs w:val="24"/>
              </w:rPr>
              <w:t>n</w:t>
            </w:r>
            <w:r>
              <w:rPr>
                <w:rFonts w:ascii="Calibri" w:hAnsi="Calibri" w:cs="Calibri"/>
                <w:kern w:val="24"/>
                <w:szCs w:val="24"/>
              </w:rPr>
              <w:t xml:space="preserve"> the ICU or from ICU to the floor.</w:t>
            </w:r>
          </w:p>
        </w:tc>
        <w:tc>
          <w:tcPr>
            <w:tcW w:w="3240" w:type="dxa"/>
            <w:tcBorders>
              <w:top w:val="single" w:sz="4" w:space="0" w:color="auto"/>
              <w:left w:val="single" w:sz="4" w:space="0" w:color="auto"/>
              <w:bottom w:val="single" w:sz="4" w:space="0" w:color="auto"/>
              <w:right w:val="single" w:sz="4" w:space="0" w:color="auto"/>
            </w:tcBorders>
          </w:tcPr>
          <w:p w14:paraId="0D673087" w14:textId="27CFB5DF" w:rsidR="00C761BA" w:rsidRDefault="000C6C5E" w:rsidP="00C761BA">
            <w:r>
              <w:t>Slide 17</w:t>
            </w:r>
          </w:p>
          <w:p w14:paraId="25C22D26" w14:textId="6E4985C5" w:rsidR="00C761BA" w:rsidRDefault="00E1260D" w:rsidP="00C761BA">
            <w:pPr>
              <w:autoSpaceDE w:val="0"/>
              <w:autoSpaceDN w:val="0"/>
              <w:adjustRightInd w:val="0"/>
              <w:spacing w:after="0" w:line="240" w:lineRule="auto"/>
              <w:rPr>
                <w:rFonts w:cs="Calibri"/>
                <w:kern w:val="24"/>
                <w:szCs w:val="24"/>
              </w:rPr>
            </w:pPr>
            <w:r>
              <w:rPr>
                <w:rFonts w:cs="Calibri"/>
                <w:noProof/>
                <w:kern w:val="24"/>
                <w:szCs w:val="24"/>
              </w:rPr>
              <w:drawing>
                <wp:inline distT="0" distB="0" distL="0" distR="0" wp14:anchorId="13BE62CF" wp14:editId="5A930870">
                  <wp:extent cx="1866900" cy="1447800"/>
                  <wp:effectExtent l="19050" t="19050" r="19050" b="190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1447800"/>
                          </a:xfrm>
                          <a:prstGeom prst="rect">
                            <a:avLst/>
                          </a:prstGeom>
                          <a:noFill/>
                          <a:ln>
                            <a:solidFill>
                              <a:schemeClr val="tx1"/>
                            </a:solidFill>
                          </a:ln>
                        </pic:spPr>
                      </pic:pic>
                    </a:graphicData>
                  </a:graphic>
                </wp:inline>
              </w:drawing>
            </w:r>
          </w:p>
        </w:tc>
      </w:tr>
      <w:tr w:rsidR="00C761BA" w14:paraId="0C68DD83" w14:textId="77777777"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74FEE105" w14:textId="70884DE5" w:rsidR="00C761BA" w:rsidRDefault="004B5804" w:rsidP="00C761BA">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Here are a</w:t>
            </w:r>
            <w:r w:rsidR="00C761BA">
              <w:rPr>
                <w:rFonts w:ascii="Calibri" w:hAnsi="Calibri" w:cs="Calibri"/>
                <w:kern w:val="24"/>
                <w:szCs w:val="24"/>
              </w:rPr>
              <w:t xml:space="preserve"> few take-home points from this module: </w:t>
            </w:r>
          </w:p>
          <w:p w14:paraId="710B6018" w14:textId="77777777" w:rsidR="00C761BA" w:rsidRDefault="00C761BA" w:rsidP="00C761BA">
            <w:pPr>
              <w:autoSpaceDE w:val="0"/>
              <w:autoSpaceDN w:val="0"/>
              <w:adjustRightInd w:val="0"/>
              <w:spacing w:after="0" w:line="240" w:lineRule="auto"/>
              <w:rPr>
                <w:rFonts w:ascii="Calibri" w:hAnsi="Calibri" w:cs="Calibri"/>
                <w:kern w:val="24"/>
                <w:szCs w:val="24"/>
              </w:rPr>
            </w:pPr>
          </w:p>
          <w:p w14:paraId="5C726C7B"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 xml:space="preserve">Stop and think critically about whether your patient needs an indwelling urinary catheter or if there are alternatives that may be appropriate </w:t>
            </w:r>
          </w:p>
          <w:p w14:paraId="2CB89CF3"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Accurate intake and output can be achieved without the use of an indwelling urinary catheter</w:t>
            </w:r>
          </w:p>
          <w:p w14:paraId="4169F031" w14:textId="77777777" w:rsidR="00C761BA" w:rsidRDefault="00C761BA" w:rsidP="00C761BA">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Educate staff on the use of alternatives and include them in the trialing and selection process</w:t>
            </w:r>
          </w:p>
          <w:p w14:paraId="2CA9425E" w14:textId="32F312AD" w:rsidR="00F700D6" w:rsidRPr="002A1AD5" w:rsidRDefault="00C761BA" w:rsidP="002A1AD5">
            <w:pPr>
              <w:numPr>
                <w:ilvl w:val="0"/>
                <w:numId w:val="9"/>
              </w:numPr>
              <w:autoSpaceDE w:val="0"/>
              <w:autoSpaceDN w:val="0"/>
              <w:adjustRightInd w:val="0"/>
              <w:spacing w:after="0" w:line="240" w:lineRule="auto"/>
              <w:ind w:left="270" w:hanging="270"/>
              <w:rPr>
                <w:rFonts w:ascii="Calibri" w:hAnsi="Calibri" w:cs="Calibri"/>
                <w:kern w:val="24"/>
                <w:szCs w:val="24"/>
              </w:rPr>
            </w:pPr>
            <w:r>
              <w:rPr>
                <w:rFonts w:ascii="Calibri" w:hAnsi="Calibri" w:cs="Calibri"/>
                <w:kern w:val="24"/>
                <w:szCs w:val="24"/>
              </w:rPr>
              <w:t>Include discussion of alternatives in daily rounding</w:t>
            </w:r>
          </w:p>
        </w:tc>
        <w:tc>
          <w:tcPr>
            <w:tcW w:w="3240" w:type="dxa"/>
            <w:tcBorders>
              <w:top w:val="single" w:sz="4" w:space="0" w:color="auto"/>
              <w:left w:val="single" w:sz="4" w:space="0" w:color="auto"/>
              <w:bottom w:val="single" w:sz="4" w:space="0" w:color="auto"/>
              <w:right w:val="single" w:sz="4" w:space="0" w:color="auto"/>
            </w:tcBorders>
          </w:tcPr>
          <w:p w14:paraId="0E371E52" w14:textId="35E382DA" w:rsidR="00C761BA" w:rsidRDefault="000C6C5E" w:rsidP="00C761BA">
            <w:r>
              <w:t>Slide 18</w:t>
            </w:r>
          </w:p>
          <w:p w14:paraId="28DEF4FA" w14:textId="222AA173" w:rsidR="00C761BA" w:rsidRDefault="00E1260D" w:rsidP="002A1AD5">
            <w:pPr>
              <w:spacing w:after="120" w:line="240" w:lineRule="auto"/>
            </w:pPr>
            <w:r>
              <w:rPr>
                <w:noProof/>
              </w:rPr>
              <w:drawing>
                <wp:inline distT="0" distB="0" distL="0" distR="0" wp14:anchorId="22195138" wp14:editId="1DEA80B7">
                  <wp:extent cx="1885950" cy="1457325"/>
                  <wp:effectExtent l="19050" t="19050" r="19050" b="285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457325"/>
                          </a:xfrm>
                          <a:prstGeom prst="rect">
                            <a:avLst/>
                          </a:prstGeom>
                          <a:noFill/>
                          <a:ln>
                            <a:solidFill>
                              <a:schemeClr val="tx1"/>
                            </a:solidFill>
                          </a:ln>
                        </pic:spPr>
                      </pic:pic>
                    </a:graphicData>
                  </a:graphic>
                </wp:inline>
              </w:drawing>
            </w:r>
          </w:p>
        </w:tc>
      </w:tr>
      <w:tr w:rsidR="00C761BA" w14:paraId="230EE7CE" w14:textId="77777777" w:rsidTr="005D144F">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8989AA2" w14:textId="77777777" w:rsidR="00C761BA" w:rsidRDefault="00C761BA" w:rsidP="00C761BA"/>
        </w:tc>
        <w:tc>
          <w:tcPr>
            <w:tcW w:w="3240" w:type="dxa"/>
            <w:tcBorders>
              <w:top w:val="single" w:sz="4" w:space="0" w:color="auto"/>
              <w:left w:val="single" w:sz="4" w:space="0" w:color="auto"/>
              <w:bottom w:val="single" w:sz="4" w:space="0" w:color="auto"/>
              <w:right w:val="single" w:sz="4" w:space="0" w:color="auto"/>
            </w:tcBorders>
          </w:tcPr>
          <w:p w14:paraId="61D8FCD9" w14:textId="4C84223B" w:rsidR="00C761BA" w:rsidRDefault="006E4CC7" w:rsidP="00C761BA">
            <w:r>
              <w:t>Slide 19</w:t>
            </w:r>
          </w:p>
          <w:p w14:paraId="4B1C9863" w14:textId="205F401C" w:rsidR="00C761BA" w:rsidRDefault="00F700D6" w:rsidP="002A1AD5">
            <w:pPr>
              <w:spacing w:after="120" w:line="240" w:lineRule="auto"/>
            </w:pPr>
            <w:r>
              <w:rPr>
                <w:noProof/>
              </w:rPr>
              <w:drawing>
                <wp:inline distT="0" distB="0" distL="0" distR="0" wp14:anchorId="012B2F05" wp14:editId="4858BA08">
                  <wp:extent cx="1871331" cy="1432583"/>
                  <wp:effectExtent l="19050" t="19050" r="15240" b="1524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7"/>
                          <a:stretch>
                            <a:fillRect/>
                          </a:stretch>
                        </pic:blipFill>
                        <pic:spPr>
                          <a:xfrm>
                            <a:off x="0" y="0"/>
                            <a:ext cx="1873795" cy="1434469"/>
                          </a:xfrm>
                          <a:prstGeom prst="rect">
                            <a:avLst/>
                          </a:prstGeom>
                          <a:ln>
                            <a:solidFill>
                              <a:schemeClr val="tx1"/>
                            </a:solidFill>
                          </a:ln>
                        </pic:spPr>
                      </pic:pic>
                    </a:graphicData>
                  </a:graphic>
                </wp:inline>
              </w:drawing>
            </w:r>
          </w:p>
        </w:tc>
      </w:tr>
    </w:tbl>
    <w:p w14:paraId="0BEF3BB6" w14:textId="281E99AC" w:rsidR="006C26D8" w:rsidRDefault="005D144F" w:rsidP="005D144F">
      <w:pPr>
        <w:spacing w:before="9000" w:after="0" w:line="240" w:lineRule="auto"/>
        <w:jc w:val="right"/>
        <w:rPr>
          <w:sz w:val="22"/>
        </w:rPr>
      </w:pPr>
      <w:r>
        <w:rPr>
          <w:sz w:val="22"/>
        </w:rPr>
        <w:t>AHRQ Pub. No. 17(22)-0019</w:t>
      </w:r>
    </w:p>
    <w:p w14:paraId="38FA22AB" w14:textId="218DCF3F" w:rsidR="005D144F" w:rsidRPr="005D144F" w:rsidRDefault="005D144F" w:rsidP="005D144F">
      <w:pPr>
        <w:spacing w:after="0" w:line="240" w:lineRule="auto"/>
        <w:jc w:val="right"/>
        <w:rPr>
          <w:sz w:val="22"/>
        </w:rPr>
      </w:pPr>
      <w:r>
        <w:rPr>
          <w:sz w:val="22"/>
        </w:rPr>
        <w:t>April 2022</w:t>
      </w:r>
    </w:p>
    <w:sectPr w:rsidR="005D144F" w:rsidRPr="005D144F" w:rsidSect="005D144F">
      <w:headerReference w:type="first" r:id="rId38"/>
      <w:footerReference w:type="first" r:id="rId39"/>
      <w:pgSz w:w="12240" w:h="15840"/>
      <w:pgMar w:top="1440" w:right="900" w:bottom="1440" w:left="1440" w:header="0"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A7C2D" w14:textId="77777777" w:rsidR="001D6E5B" w:rsidRDefault="001D6E5B" w:rsidP="00E32D5F">
      <w:pPr>
        <w:spacing w:after="0" w:line="240" w:lineRule="auto"/>
      </w:pPr>
      <w:r>
        <w:separator/>
      </w:r>
    </w:p>
  </w:endnote>
  <w:endnote w:type="continuationSeparator" w:id="0">
    <w:p w14:paraId="0E372938" w14:textId="77777777" w:rsidR="001D6E5B" w:rsidRDefault="001D6E5B"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502824"/>
      <w:docPartObj>
        <w:docPartGallery w:val="Page Numbers (Bottom of Page)"/>
        <w:docPartUnique/>
      </w:docPartObj>
    </w:sdtPr>
    <w:sdtEndPr>
      <w:rPr>
        <w:rStyle w:val="PageNumber"/>
      </w:rPr>
    </w:sdtEndPr>
    <w:sdtContent>
      <w:p w14:paraId="070785F0" w14:textId="020BBBBA" w:rsidR="0083297D" w:rsidRDefault="0083297D" w:rsidP="003B0B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14A34" w14:textId="77777777" w:rsidR="0083297D" w:rsidRDefault="0083297D" w:rsidP="00D627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1FEB" w14:textId="70D27123" w:rsidR="0083297D" w:rsidRDefault="0083297D" w:rsidP="002A1AD5">
    <w:pPr>
      <w:pStyle w:val="Footer"/>
      <w:framePr w:w="3125" w:h="316" w:hRule="exact" w:wrap="none" w:vAnchor="text" w:hAnchor="page" w:x="9081" w:y="-379"/>
      <w:rPr>
        <w:rStyle w:val="PageNumber"/>
      </w:rPr>
    </w:pPr>
    <w:r>
      <w:rPr>
        <w:rStyle w:val="PageNumber"/>
      </w:rPr>
      <w:t xml:space="preserve">                 </w:t>
    </w:r>
    <w:r w:rsidR="00FD1661">
      <w:rPr>
        <w:rStyle w:val="PageNumber"/>
      </w:rPr>
      <w:t xml:space="preserve"> </w:t>
    </w:r>
    <w:r w:rsidR="00A37C59">
      <w:rPr>
        <w:rStyle w:val="PageNumber"/>
      </w:rPr>
      <w:t>IUC Alternatives</w:t>
    </w:r>
    <w:r>
      <w:rPr>
        <w:rStyle w:val="PageNumber"/>
      </w:rPr>
      <w:t xml:space="preserve">   </w:t>
    </w:r>
    <w:sdt>
      <w:sdtPr>
        <w:rPr>
          <w:rStyle w:val="PageNumber"/>
        </w:rPr>
        <w:id w:val="1520426146"/>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AF47A6">
          <w:rPr>
            <w:rStyle w:val="PageNumber"/>
            <w:noProof/>
          </w:rPr>
          <w:t>3</w:t>
        </w:r>
        <w:r>
          <w:rPr>
            <w:rStyle w:val="PageNumber"/>
          </w:rPr>
          <w:fldChar w:fldCharType="end"/>
        </w:r>
      </w:sdtContent>
    </w:sdt>
  </w:p>
  <w:p w14:paraId="715CF71A" w14:textId="2CAEEA02" w:rsidR="0083297D" w:rsidRDefault="0083297D" w:rsidP="003B0B26">
    <w:pPr>
      <w:pStyle w:val="Footer"/>
      <w:framePr w:w="6166" w:wrap="none" w:vAnchor="text" w:hAnchor="page" w:x="571" w:y="-779"/>
      <w:ind w:right="360"/>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0DA1" w14:textId="77777777" w:rsidR="0083297D" w:rsidRDefault="0083297D">
    <w:pPr>
      <w:pStyle w:val="Footer"/>
    </w:pPr>
    <w:r>
      <w:rPr>
        <w:noProof/>
      </w:rPr>
      <w:drawing>
        <wp:anchor distT="0" distB="0" distL="114300" distR="114300" simplePos="0" relativeHeight="251661312" behindDoc="1" locked="0" layoutInCell="1" allowOverlap="1" wp14:anchorId="0A4CB49E" wp14:editId="266BF0E0">
          <wp:simplePos x="0" y="0"/>
          <wp:positionH relativeFrom="page">
            <wp:align>right</wp:align>
          </wp:positionH>
          <wp:positionV relativeFrom="paragraph">
            <wp:posOffset>-660400</wp:posOffset>
          </wp:positionV>
          <wp:extent cx="7773035" cy="822960"/>
          <wp:effectExtent l="0" t="0" r="0" b="0"/>
          <wp:wrapNone/>
          <wp:docPr id="5" name="Picture 5" descr="USA Department of Health &amp; Human Services, AHRQ: Agency for Healthcare Research and Quality, C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A Department of Health &amp; Human Services, AHRQ: Agency for Healthcare Research and Quality, CU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822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3273001"/>
      <w:docPartObj>
        <w:docPartGallery w:val="Page Numbers (Bottom of Page)"/>
        <w:docPartUnique/>
      </w:docPartObj>
    </w:sdtPr>
    <w:sdtEndPr>
      <w:rPr>
        <w:rStyle w:val="PageNumber"/>
      </w:rPr>
    </w:sdtEndPr>
    <w:sdtContent>
      <w:p w14:paraId="6751C7C4" w14:textId="24369EE9" w:rsidR="0083297D" w:rsidRDefault="0083297D" w:rsidP="000E0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0FACBF" w14:textId="087001F8" w:rsidR="0083297D" w:rsidRDefault="0083297D" w:rsidP="00EC3394">
    <w:pPr>
      <w:pStyle w:val="Footer"/>
      <w:ind w:right="360"/>
    </w:pPr>
    <w:r>
      <w:rPr>
        <w:noProof/>
      </w:rPr>
      <mc:AlternateContent>
        <mc:Choice Requires="wps">
          <w:drawing>
            <wp:anchor distT="0" distB="0" distL="114300" distR="114300" simplePos="0" relativeHeight="251682816" behindDoc="0" locked="0" layoutInCell="1" allowOverlap="1" wp14:anchorId="3DE1F711" wp14:editId="4C084DC0">
              <wp:simplePos x="0" y="0"/>
              <wp:positionH relativeFrom="column">
                <wp:posOffset>-718820</wp:posOffset>
              </wp:positionH>
              <wp:positionV relativeFrom="paragraph">
                <wp:posOffset>-120015</wp:posOffset>
              </wp:positionV>
              <wp:extent cx="3474720" cy="170180"/>
              <wp:effectExtent l="0" t="0" r="5080" b="7620"/>
              <wp:wrapNone/>
              <wp:docPr id="18" name="Text Box 18"/>
              <wp:cNvGraphicFramePr/>
              <a:graphic xmlns:a="http://schemas.openxmlformats.org/drawingml/2006/main">
                <a:graphicData uri="http://schemas.microsoft.com/office/word/2010/wordprocessingShape">
                  <wps:wsp>
                    <wps:cNvSpPr txBox="1"/>
                    <wps:spPr>
                      <a:xfrm>
                        <a:off x="0" y="0"/>
                        <a:ext cx="3474720" cy="170180"/>
                      </a:xfrm>
                      <a:prstGeom prst="rect">
                        <a:avLst/>
                      </a:prstGeom>
                      <a:noFill/>
                      <a:ln w="6350">
                        <a:noFill/>
                      </a:ln>
                    </wps:spPr>
                    <wps:txbx>
                      <w:txbxContent>
                        <w:p w14:paraId="6AD49087" w14:textId="348CB3DB" w:rsidR="0083297D" w:rsidRPr="00740E65" w:rsidRDefault="0083297D">
                          <w:pPr>
                            <w:rPr>
                              <w:rFonts w:cstheme="minorHAnsi"/>
                            </w:rPr>
                          </w:pPr>
                          <w:r w:rsidRPr="00740E65">
                            <w:rPr>
                              <w:rFonts w:cstheme="minorHAnsi"/>
                            </w:rPr>
                            <w:t>AHRQ Safety Program for ICUs: Preventing CLABSI and CAUTI</w:t>
                          </w:r>
                        </w:p>
                        <w:p w14:paraId="4A33BE52" w14:textId="77777777" w:rsidR="0083297D" w:rsidRDefault="0083297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E1F711" id="_x0000_t202" coordsize="21600,21600" o:spt="202" path="m,l,21600r21600,l21600,xe">
              <v:stroke joinstyle="miter"/>
              <v:path gradientshapeok="t" o:connecttype="rect"/>
            </v:shapetype>
            <v:shape id="Text Box 18" o:spid="_x0000_s1028" type="#_x0000_t202" style="position:absolute;margin-left:-56.6pt;margin-top:-9.45pt;width:273.6pt;height: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" filled="f" stroked="f" strokeweight=".5pt">
              <v:textbox inset="0,0,0,0">
                <w:txbxContent>
                  <w:p w14:paraId="6AD49087" w14:textId="348CB3DB" w:rsidR="0083297D" w:rsidRPr="00740E65" w:rsidRDefault="0083297D">
                    <w:pPr>
                      <w:rPr>
                        <w:rFonts w:cstheme="minorHAnsi"/>
                      </w:rPr>
                    </w:pPr>
                    <w:r w:rsidRPr="00740E65">
                      <w:rPr>
                        <w:rFonts w:cstheme="minorHAnsi"/>
                      </w:rPr>
                      <w:t>AHRQ Safety Program for ICUs: Preventing CLABSI and CAUTI</w:t>
                    </w:r>
                  </w:p>
                  <w:p w14:paraId="4A33BE52" w14:textId="77777777" w:rsidR="0083297D" w:rsidRDefault="0083297D"/>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261E285" wp14:editId="7E403FEE">
              <wp:simplePos x="0" y="0"/>
              <wp:positionH relativeFrom="column">
                <wp:posOffset>6533618</wp:posOffset>
              </wp:positionH>
              <wp:positionV relativeFrom="paragraph">
                <wp:posOffset>70251</wp:posOffset>
              </wp:positionV>
              <wp:extent cx="244773" cy="183902"/>
              <wp:effectExtent l="0" t="0" r="0" b="698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4773" cy="183902"/>
                      </a:xfrm>
                      <a:prstGeom prst="rect">
                        <a:avLst/>
                      </a:prstGeom>
                      <a:noFill/>
                      <a:ln w="6350">
                        <a:noFill/>
                      </a:ln>
                    </wps:spPr>
                    <wps:txbx>
                      <w:txbxContent>
                        <w:p w14:paraId="6BAE6045" w14:textId="6AA9C1BB" w:rsidR="0083297D" w:rsidRPr="00C7432E" w:rsidRDefault="0083297D" w:rsidP="00C7432E">
                          <w:pPr>
                            <w:jc w:val="righ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1E285" id="Text Box 16" o:spid="_x0000_s1029" type="#_x0000_t202" alt="&quot;&quot;" style="position:absolute;margin-left:514.45pt;margin-top:5.55pt;width:19.25pt;height: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" filled="f" stroked="f" strokeweight=".5pt">
              <v:textbox inset="0,0,0,0">
                <w:txbxContent>
                  <w:p w14:paraId="6BAE6045" w14:textId="6AA9C1BB" w:rsidR="0083297D" w:rsidRPr="00C7432E" w:rsidRDefault="0083297D" w:rsidP="00C7432E">
                    <w:pPr>
                      <w:jc w:val="right"/>
                      <w:rPr>
                        <w:sz w:val="20"/>
                        <w:szCs w:val="20"/>
                      </w:rPr>
                    </w:pPr>
                  </w:p>
                </w:txbxContent>
              </v:textbox>
            </v:shape>
          </w:pict>
        </mc:Fallback>
      </mc:AlternateContent>
    </w:r>
  </w:p>
  <w:p w14:paraId="4B811C7F" w14:textId="3AE3A797" w:rsidR="0083297D" w:rsidRDefault="00832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718FC" w14:textId="77777777" w:rsidR="001D6E5B" w:rsidRDefault="001D6E5B" w:rsidP="00E32D5F">
      <w:pPr>
        <w:spacing w:after="0" w:line="240" w:lineRule="auto"/>
      </w:pPr>
      <w:r>
        <w:separator/>
      </w:r>
    </w:p>
  </w:footnote>
  <w:footnote w:type="continuationSeparator" w:id="0">
    <w:p w14:paraId="3B006152" w14:textId="77777777" w:rsidR="001D6E5B" w:rsidRDefault="001D6E5B"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5133564"/>
      <w:docPartObj>
        <w:docPartGallery w:val="Page Numbers (Top of Page)"/>
        <w:docPartUnique/>
      </w:docPartObj>
    </w:sdtPr>
    <w:sdtEndPr>
      <w:rPr>
        <w:rStyle w:val="PageNumber"/>
      </w:rPr>
    </w:sdtEndPr>
    <w:sdtContent>
      <w:p w14:paraId="6D541BE7" w14:textId="2017D807" w:rsidR="0083297D" w:rsidRDefault="0083297D" w:rsidP="000E00A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C24B3" w14:textId="77777777" w:rsidR="0083297D" w:rsidRDefault="0083297D" w:rsidP="00D476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DF485" w14:textId="77777777" w:rsidR="0083297D" w:rsidRDefault="0083297D" w:rsidP="00D47649">
    <w:pPr>
      <w:pStyle w:val="Header"/>
      <w:ind w:right="360"/>
    </w:pPr>
  </w:p>
  <w:p w14:paraId="425A84E2" w14:textId="77777777" w:rsidR="0083297D" w:rsidRDefault="0083297D">
    <w:pPr>
      <w:pStyle w:val="Header"/>
    </w:pPr>
  </w:p>
  <w:p w14:paraId="25A8A19A" w14:textId="77777777" w:rsidR="0083297D" w:rsidRDefault="0083297D">
    <w:pPr>
      <w:pStyle w:val="Header"/>
    </w:pPr>
  </w:p>
  <w:p w14:paraId="514C6012" w14:textId="77777777" w:rsidR="0083297D" w:rsidRDefault="0083297D">
    <w:pPr>
      <w:pStyle w:val="Header"/>
    </w:pPr>
  </w:p>
  <w:p w14:paraId="7A0E652F" w14:textId="1379A824" w:rsidR="0083297D" w:rsidRDefault="002A1AD5">
    <w:pPr>
      <w:pStyle w:val="Header"/>
    </w:pPr>
    <w:r>
      <w:rPr>
        <w:noProof/>
      </w:rPr>
      <mc:AlternateContent>
        <mc:Choice Requires="wps">
          <w:drawing>
            <wp:anchor distT="0" distB="0" distL="114300" distR="114300" simplePos="0" relativeHeight="251684864" behindDoc="0" locked="0" layoutInCell="1" allowOverlap="1" wp14:anchorId="5C35CFFB" wp14:editId="5A72FD66">
              <wp:simplePos x="0" y="0"/>
              <wp:positionH relativeFrom="column">
                <wp:posOffset>-698500</wp:posOffset>
              </wp:positionH>
              <wp:positionV relativeFrom="paragraph">
                <wp:posOffset>8920480</wp:posOffset>
              </wp:positionV>
              <wp:extent cx="4292600"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292600" cy="323850"/>
                      </a:xfrm>
                      <a:prstGeom prst="rect">
                        <a:avLst/>
                      </a:prstGeom>
                      <a:noFill/>
                      <a:ln w="6350">
                        <a:noFill/>
                      </a:ln>
                    </wps:spPr>
                    <wps:txbx>
                      <w:txbxContent>
                        <w:p w14:paraId="0A958010" w14:textId="44EFB4F6" w:rsidR="0083297D" w:rsidRDefault="0083297D">
                          <w:r>
                            <w:t>AHRQ Safety Program for ICUs: Preventing CLABSI and CAUTI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35CFFB" id="_x0000_t202" coordsize="21600,21600" o:spt="202" path="m,l,21600r21600,l21600,xe">
              <v:stroke joinstyle="miter"/>
              <v:path gradientshapeok="t" o:connecttype="rect"/>
            </v:shapetype>
            <v:shape id="Text Box 24" o:spid="_x0000_s1026" type="#_x0000_t202" style="position:absolute;margin-left:-55pt;margin-top:702.4pt;width:338pt;height:2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" filled="f" stroked="f" strokeweight=".5pt">
              <v:textbox>
                <w:txbxContent>
                  <w:p w14:paraId="0A958010" w14:textId="44EFB4F6" w:rsidR="0083297D" w:rsidRDefault="0083297D">
                    <w:r>
                      <w:t>AHRQ Safety Program for ICUs: Preventing CLABSI and CAUTI</w:t>
                    </w:r>
                  </w:p>
                </w:txbxContent>
              </v:textbox>
            </v:shape>
          </w:pict>
        </mc:Fallback>
      </mc:AlternateContent>
    </w:r>
    <w:r w:rsidR="0083297D">
      <w:rPr>
        <w:noProof/>
      </w:rPr>
      <w:drawing>
        <wp:anchor distT="0" distB="0" distL="114300" distR="114300" simplePos="0" relativeHeight="251683840" behindDoc="1" locked="0" layoutInCell="1" allowOverlap="1" wp14:anchorId="7540FCB4" wp14:editId="6AA0E9AC">
          <wp:simplePos x="0" y="0"/>
          <wp:positionH relativeFrom="column">
            <wp:posOffset>3778687</wp:posOffset>
          </wp:positionH>
          <wp:positionV relativeFrom="paragraph">
            <wp:posOffset>8806180</wp:posOffset>
          </wp:positionV>
          <wp:extent cx="3289300" cy="762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89300" cy="76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1E13F" w14:textId="2CAE382F" w:rsidR="0083297D" w:rsidRDefault="0083297D">
    <w:pPr>
      <w:pStyle w:val="Header"/>
    </w:pPr>
    <w:r>
      <w:rPr>
        <w:noProof/>
      </w:rPr>
      <mc:AlternateContent>
        <mc:Choice Requires="wps">
          <w:drawing>
            <wp:anchor distT="45720" distB="45720" distL="114300" distR="114300" simplePos="0" relativeHeight="251675648" behindDoc="0" locked="0" layoutInCell="1" allowOverlap="1" wp14:anchorId="32AE3F89" wp14:editId="777EF702">
              <wp:simplePos x="0" y="0"/>
              <wp:positionH relativeFrom="page">
                <wp:posOffset>1570990</wp:posOffset>
              </wp:positionH>
              <wp:positionV relativeFrom="paragraph">
                <wp:posOffset>76200</wp:posOffset>
              </wp:positionV>
              <wp:extent cx="6106160" cy="140462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1404620"/>
                      </a:xfrm>
                      <a:prstGeom prst="rect">
                        <a:avLst/>
                      </a:prstGeom>
                      <a:noFill/>
                      <a:ln w="9525">
                        <a:noFill/>
                        <a:miter lim="800000"/>
                        <a:headEnd/>
                        <a:tailEnd/>
                      </a:ln>
                    </wps:spPr>
                    <wps:txbx>
                      <w:txbxContent>
                        <w:p w14:paraId="7C8DD928" w14:textId="6DE023A3" w:rsidR="0083297D" w:rsidRPr="00ED16F2" w:rsidRDefault="0083297D" w:rsidP="00ED16F2">
                          <w:pPr>
                            <w:jc w:val="center"/>
                            <w:rPr>
                              <w:b/>
                              <w:bCs/>
                              <w:sz w:val="48"/>
                              <w:szCs w:val="52"/>
                            </w:rPr>
                          </w:pPr>
                          <w:r w:rsidRPr="00ED16F2">
                            <w:rPr>
                              <w:b/>
                              <w:bCs/>
                              <w:sz w:val="48"/>
                              <w:szCs w:val="52"/>
                            </w:rPr>
                            <w:t>AHRQ Safety Program for Intensive Care Units: Preventing CLABSI and CAUTI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AE3F89" id="_x0000_t202" coordsize="21600,21600" o:spt="202" path="m,l,21600r21600,l21600,xe">
              <v:stroke joinstyle="miter"/>
              <v:path gradientshapeok="t" o:connecttype="rect"/>
            </v:shapetype>
            <v:shape id="Text Box 2" o:spid="_x0000_s1027" type="#_x0000_t202" style="position:absolute;margin-left:123.7pt;margin-top:6pt;width:480.8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" filled="f" stroked="f">
              <v:textbox style="mso-fit-shape-to-text:t">
                <w:txbxContent>
                  <w:p w14:paraId="7C8DD928" w14:textId="6DE023A3" w:rsidR="0083297D" w:rsidRPr="00ED16F2" w:rsidRDefault="0083297D" w:rsidP="00ED16F2">
                    <w:pPr>
                      <w:jc w:val="center"/>
                      <w:rPr>
                        <w:b/>
                        <w:bCs/>
                        <w:sz w:val="48"/>
                        <w:szCs w:val="52"/>
                      </w:rPr>
                    </w:pPr>
                    <w:r w:rsidRPr="00ED16F2">
                      <w:rPr>
                        <w:b/>
                        <w:bCs/>
                        <w:sz w:val="48"/>
                        <w:szCs w:val="52"/>
                      </w:rPr>
                      <w:t>AHRQ Safety Program for Intensive Care Units: Preventing CLABSI and CAUTI</w:t>
                    </w:r>
                  </w:p>
                </w:txbxContent>
              </v:textbox>
              <w10:wrap type="square" anchorx="page"/>
            </v:shape>
          </w:pict>
        </mc:Fallback>
      </mc:AlternateContent>
    </w:r>
    <w:r>
      <w:rPr>
        <w:noProof/>
      </w:rPr>
      <w:drawing>
        <wp:anchor distT="0" distB="0" distL="114300" distR="114300" simplePos="0" relativeHeight="251663360" behindDoc="1" locked="0" layoutInCell="1" allowOverlap="1" wp14:anchorId="639E0DF9" wp14:editId="297C302D">
          <wp:simplePos x="0" y="0"/>
          <wp:positionH relativeFrom="page">
            <wp:posOffset>-6350</wp:posOffset>
          </wp:positionH>
          <wp:positionV relativeFrom="paragraph">
            <wp:posOffset>12700</wp:posOffset>
          </wp:positionV>
          <wp:extent cx="7870825" cy="1633855"/>
          <wp:effectExtent l="0" t="0" r="0" b="4445"/>
          <wp:wrapNone/>
          <wp:docPr id="4" name="Picture 4" descr="Prevent HAIs&#10;Healthcare-Associated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event HAIs&#10;Healthcare-Associated Infe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0825" cy="1633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B1926" w14:textId="77777777" w:rsidR="0083297D" w:rsidRDefault="00832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405EFE"/>
    <w:lvl w:ilvl="0">
      <w:numFmt w:val="bullet"/>
      <w:lvlText w:val="*"/>
      <w:lvlJc w:val="left"/>
    </w:lvl>
  </w:abstractNum>
  <w:abstractNum w:abstractNumId="1" w15:restartNumberingAfterBreak="0">
    <w:nsid w:val="173D401D"/>
    <w:multiLevelType w:val="hybridMultilevel"/>
    <w:tmpl w:val="A134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64F6A"/>
    <w:multiLevelType w:val="hybridMultilevel"/>
    <w:tmpl w:val="CA34A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07F52"/>
    <w:multiLevelType w:val="hybridMultilevel"/>
    <w:tmpl w:val="5CA8008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2481298B"/>
    <w:multiLevelType w:val="hybridMultilevel"/>
    <w:tmpl w:val="FCBEAF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258DC"/>
    <w:multiLevelType w:val="hybridMultilevel"/>
    <w:tmpl w:val="E710113E"/>
    <w:lvl w:ilvl="0" w:tplc="DDBC3614">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67A00"/>
    <w:multiLevelType w:val="hybridMultilevel"/>
    <w:tmpl w:val="4900D4B6"/>
    <w:lvl w:ilvl="0" w:tplc="0409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47340E"/>
    <w:multiLevelType w:val="hybridMultilevel"/>
    <w:tmpl w:val="6E287EA4"/>
    <w:lvl w:ilvl="0" w:tplc="04090001">
      <w:start w:val="1"/>
      <w:numFmt w:val="bullet"/>
      <w:lvlText w:val=""/>
      <w:lvlJc w:val="left"/>
      <w:pPr>
        <w:ind w:left="360" w:hanging="360"/>
      </w:pPr>
      <w:rPr>
        <w:rFonts w:ascii="Symbol" w:hAnsi="Symbo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0658C8"/>
    <w:multiLevelType w:val="hybridMultilevel"/>
    <w:tmpl w:val="C5E8F9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5D427CE"/>
    <w:multiLevelType w:val="hybridMultilevel"/>
    <w:tmpl w:val="9110BCE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465F5CB9"/>
    <w:multiLevelType w:val="hybridMultilevel"/>
    <w:tmpl w:val="ED72E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395157"/>
    <w:multiLevelType w:val="hybridMultilevel"/>
    <w:tmpl w:val="83221A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DCB2E72"/>
    <w:multiLevelType w:val="hybridMultilevel"/>
    <w:tmpl w:val="902ECF7E"/>
    <w:lvl w:ilvl="0" w:tplc="8D2401DE">
      <w:start w:val="1"/>
      <w:numFmt w:val="bullet"/>
      <w:lvlText w:val=""/>
      <w:lvlJc w:val="left"/>
      <w:pPr>
        <w:ind w:left="-450" w:hanging="360"/>
      </w:pPr>
      <w:rPr>
        <w:rFonts w:ascii="Symbol" w:hAnsi="Symbol" w:hint="default"/>
        <w:sz w:val="12"/>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num w:numId="1">
    <w:abstractNumId w:val="8"/>
  </w:num>
  <w:num w:numId="2">
    <w:abstractNumId w:val="9"/>
  </w:num>
  <w:num w:numId="3">
    <w:abstractNumId w:val="5"/>
  </w:num>
  <w:num w:numId="4">
    <w:abstractNumId w:val="3"/>
  </w:num>
  <w:num w:numId="5">
    <w:abstractNumId w:val="7"/>
  </w:num>
  <w:num w:numId="6">
    <w:abstractNumId w:val="2"/>
  </w:num>
  <w:num w:numId="7">
    <w:abstractNumId w:val="4"/>
  </w:num>
  <w:num w:numId="8">
    <w:abstractNumId w:val="6"/>
  </w:num>
  <w:num w:numId="9">
    <w:abstractNumId w:val="0"/>
    <w:lvlOverride w:ilvl="0">
      <w:lvl w:ilvl="0">
        <w:numFmt w:val="bullet"/>
        <w:lvlText w:val="•"/>
        <w:legacy w:legacy="1" w:legacySpace="0" w:legacyIndent="0"/>
        <w:lvlJc w:val="left"/>
        <w:rPr>
          <w:rFonts w:ascii="Arial" w:hAnsi="Arial" w:cs="Arial" w:hint="default"/>
          <w:sz w:val="24"/>
        </w:rPr>
      </w:lvl>
    </w:lvlOverride>
  </w:num>
  <w:num w:numId="10">
    <w:abstractNumId w:val="11"/>
  </w:num>
  <w:num w:numId="11">
    <w:abstractNumId w:val="0"/>
    <w:lvlOverride w:ilvl="0">
      <w:lvl w:ilvl="0">
        <w:numFmt w:val="bullet"/>
        <w:lvlText w:val="-"/>
        <w:legacy w:legacy="1" w:legacySpace="0" w:legacyIndent="0"/>
        <w:lvlJc w:val="left"/>
        <w:rPr>
          <w:rFonts w:ascii="Calibri" w:hAnsi="Calibri" w:cs="Calibri" w:hint="default"/>
          <w:sz w:val="24"/>
        </w:rPr>
      </w:lvl>
    </w:lvlOverride>
  </w:num>
  <w:num w:numId="12">
    <w:abstractNumId w:val="10"/>
  </w:num>
  <w:num w:numId="13">
    <w:abstractNumId w:val="0"/>
    <w:lvlOverride w:ilvl="0">
      <w:lvl w:ilvl="0">
        <w:numFmt w:val="bullet"/>
        <w:lvlText w:val="•"/>
        <w:legacy w:legacy="1" w:legacySpace="0" w:legacyIndent="0"/>
        <w:lvlJc w:val="left"/>
        <w:pPr>
          <w:ind w:left="0" w:firstLine="0"/>
        </w:pPr>
        <w:rPr>
          <w:rFonts w:ascii="Calibri" w:hAnsi="Calibri" w:cs="Calibri" w:hint="default"/>
          <w:sz w:val="24"/>
        </w:rPr>
      </w:lvl>
    </w:lvlOverride>
  </w:num>
  <w:num w:numId="14">
    <w:abstractNumId w:val="0"/>
    <w:lvlOverride w:ilvl="0">
      <w:lvl w:ilvl="0">
        <w:numFmt w:val="bullet"/>
        <w:lvlText w:val="•"/>
        <w:legacy w:legacy="1" w:legacySpace="0" w:legacyIndent="0"/>
        <w:lvlJc w:val="left"/>
        <w:pPr>
          <w:ind w:left="0" w:firstLine="0"/>
        </w:pPr>
        <w:rPr>
          <w:rFonts w:ascii="Arial" w:hAnsi="Arial" w:cs="Arial" w:hint="default"/>
          <w:sz w:val="21"/>
        </w:rPr>
      </w:lvl>
    </w:lvlOverride>
  </w:num>
  <w:num w:numId="15">
    <w:abstractNumId w:val="0"/>
    <w:lvlOverride w:ilvl="0">
      <w:lvl w:ilvl="0">
        <w:numFmt w:val="bullet"/>
        <w:lvlText w:val="•"/>
        <w:legacy w:legacy="1" w:legacySpace="0" w:legacyIndent="0"/>
        <w:lvlJc w:val="left"/>
        <w:rPr>
          <w:rFonts w:ascii="Calibri" w:hAnsi="Calibri" w:cs="Calibri" w:hint="default"/>
          <w:sz w:val="22"/>
        </w:rPr>
      </w:lvl>
    </w:lvlOverride>
  </w:num>
  <w:num w:numId="16">
    <w:abstractNumId w:val="0"/>
    <w:lvlOverride w:ilvl="0">
      <w:lvl w:ilvl="0">
        <w:numFmt w:val="bullet"/>
        <w:lvlText w:val="•"/>
        <w:legacy w:legacy="1" w:legacySpace="0" w:legacyIndent="0"/>
        <w:lvlJc w:val="left"/>
        <w:rPr>
          <w:rFonts w:ascii="Helvetica" w:hAnsi="Helvetica" w:cs="Helvetica" w:hint="default"/>
          <w:sz w:val="26"/>
        </w:rPr>
      </w:lvl>
    </w:lvlOverride>
  </w:num>
  <w:num w:numId="17">
    <w:abstractNumId w:val="0"/>
    <w:lvlOverride w:ilvl="0">
      <w:lvl w:ilvl="0">
        <w:numFmt w:val="bullet"/>
        <w:lvlText w:val="•"/>
        <w:legacy w:legacy="1" w:legacySpace="0" w:legacyIndent="0"/>
        <w:lvlJc w:val="left"/>
        <w:rPr>
          <w:rFonts w:ascii="Arial" w:hAnsi="Arial" w:cs="Arial" w:hint="default"/>
          <w:sz w:val="22"/>
          <w:szCs w:val="22"/>
        </w:rPr>
      </w:lvl>
    </w:lvlOverride>
  </w:num>
  <w:num w:numId="18">
    <w:abstractNumId w:val="0"/>
    <w:lvlOverride w:ilvl="0">
      <w:lvl w:ilvl="0">
        <w:numFmt w:val="bullet"/>
        <w:lvlText w:val="•"/>
        <w:legacy w:legacy="1" w:legacySpace="0" w:legacyIndent="0"/>
        <w:lvlJc w:val="left"/>
        <w:rPr>
          <w:rFonts w:ascii="Arial" w:hAnsi="Arial" w:cs="Arial" w:hint="default"/>
          <w:sz w:val="22"/>
          <w:szCs w:val="22"/>
        </w:rPr>
      </w:lvl>
    </w:lvlOverride>
  </w:num>
  <w:num w:numId="19">
    <w:abstractNumId w:val="0"/>
    <w:lvlOverride w:ilvl="0">
      <w:lvl w:ilvl="0">
        <w:numFmt w:val="bullet"/>
        <w:lvlText w:val="•"/>
        <w:legacy w:legacy="1" w:legacySpace="0" w:legacyIndent="0"/>
        <w:lvlJc w:val="left"/>
        <w:rPr>
          <w:rFonts w:ascii="Arial" w:hAnsi="Arial" w:cs="Arial" w:hint="default"/>
          <w:sz w:val="22"/>
          <w:szCs w:val="22"/>
        </w:rPr>
      </w:lvl>
    </w:lvlOverride>
  </w:num>
  <w:num w:numId="20">
    <w:abstractNumId w:val="0"/>
    <w:lvlOverride w:ilvl="0">
      <w:lvl w:ilvl="0">
        <w:numFmt w:val="bullet"/>
        <w:lvlText w:val="•"/>
        <w:legacy w:legacy="1" w:legacySpace="0" w:legacyIndent="0"/>
        <w:lvlJc w:val="left"/>
        <w:rPr>
          <w:rFonts w:ascii="Calibri" w:hAnsi="Calibri" w:cs="Calibri" w:hint="default"/>
          <w:sz w:val="22"/>
          <w:szCs w:val="22"/>
        </w:rPr>
      </w:lvl>
    </w:lvlOverride>
  </w:num>
  <w:num w:numId="21">
    <w:abstractNumId w:val="0"/>
    <w:lvlOverride w:ilvl="0">
      <w:lvl w:ilvl="0">
        <w:numFmt w:val="bullet"/>
        <w:lvlText w:val="•"/>
        <w:legacy w:legacy="1" w:legacySpace="0" w:legacyIndent="0"/>
        <w:lvlJc w:val="left"/>
        <w:rPr>
          <w:rFonts w:ascii="Calibri" w:hAnsi="Calibri" w:cs="Calibri" w:hint="default"/>
          <w:sz w:val="22"/>
          <w:szCs w:val="22"/>
        </w:rPr>
      </w:lvl>
    </w:lvlOverride>
  </w:num>
  <w:num w:numId="22">
    <w:abstractNumId w:val="1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F3"/>
    <w:rsid w:val="00033EC5"/>
    <w:rsid w:val="00037C03"/>
    <w:rsid w:val="00054A8F"/>
    <w:rsid w:val="000828DC"/>
    <w:rsid w:val="00092DD3"/>
    <w:rsid w:val="000964B1"/>
    <w:rsid w:val="000A552C"/>
    <w:rsid w:val="000B2336"/>
    <w:rsid w:val="000C6C5E"/>
    <w:rsid w:val="000E00A8"/>
    <w:rsid w:val="001069F6"/>
    <w:rsid w:val="00116CE0"/>
    <w:rsid w:val="001239F9"/>
    <w:rsid w:val="00123A29"/>
    <w:rsid w:val="00134062"/>
    <w:rsid w:val="001536E5"/>
    <w:rsid w:val="00164F43"/>
    <w:rsid w:val="0017646D"/>
    <w:rsid w:val="001A1ED3"/>
    <w:rsid w:val="001A5B39"/>
    <w:rsid w:val="001C6AFA"/>
    <w:rsid w:val="001D6E5B"/>
    <w:rsid w:val="001D706E"/>
    <w:rsid w:val="001D7487"/>
    <w:rsid w:val="001E3C16"/>
    <w:rsid w:val="00217719"/>
    <w:rsid w:val="00233279"/>
    <w:rsid w:val="00256CD0"/>
    <w:rsid w:val="00276CAD"/>
    <w:rsid w:val="002864DD"/>
    <w:rsid w:val="002A1AD5"/>
    <w:rsid w:val="002E32B0"/>
    <w:rsid w:val="0030462D"/>
    <w:rsid w:val="003157A9"/>
    <w:rsid w:val="003268E7"/>
    <w:rsid w:val="003526B5"/>
    <w:rsid w:val="00367B86"/>
    <w:rsid w:val="00385928"/>
    <w:rsid w:val="00391BE7"/>
    <w:rsid w:val="003B0B26"/>
    <w:rsid w:val="003B76DF"/>
    <w:rsid w:val="003C48DB"/>
    <w:rsid w:val="003E65B9"/>
    <w:rsid w:val="003F627A"/>
    <w:rsid w:val="00415150"/>
    <w:rsid w:val="00436490"/>
    <w:rsid w:val="00492A31"/>
    <w:rsid w:val="00497A13"/>
    <w:rsid w:val="004A31CD"/>
    <w:rsid w:val="004B5804"/>
    <w:rsid w:val="004B60F3"/>
    <w:rsid w:val="004D5F75"/>
    <w:rsid w:val="004E0078"/>
    <w:rsid w:val="0050437B"/>
    <w:rsid w:val="00505FDD"/>
    <w:rsid w:val="005070CE"/>
    <w:rsid w:val="0051347F"/>
    <w:rsid w:val="00537208"/>
    <w:rsid w:val="00542622"/>
    <w:rsid w:val="00580EB4"/>
    <w:rsid w:val="00591320"/>
    <w:rsid w:val="00597314"/>
    <w:rsid w:val="005B073B"/>
    <w:rsid w:val="005B2A59"/>
    <w:rsid w:val="005C655D"/>
    <w:rsid w:val="005D144F"/>
    <w:rsid w:val="005E4503"/>
    <w:rsid w:val="005F0850"/>
    <w:rsid w:val="005F1512"/>
    <w:rsid w:val="00615A8C"/>
    <w:rsid w:val="00626C04"/>
    <w:rsid w:val="00644FB3"/>
    <w:rsid w:val="00682796"/>
    <w:rsid w:val="00687C2F"/>
    <w:rsid w:val="00695C5C"/>
    <w:rsid w:val="006A44B4"/>
    <w:rsid w:val="006B7A85"/>
    <w:rsid w:val="006C26D8"/>
    <w:rsid w:val="006D6FA0"/>
    <w:rsid w:val="006E4CC7"/>
    <w:rsid w:val="007051B5"/>
    <w:rsid w:val="00707A43"/>
    <w:rsid w:val="007310A7"/>
    <w:rsid w:val="00735977"/>
    <w:rsid w:val="00740E65"/>
    <w:rsid w:val="007448CD"/>
    <w:rsid w:val="00777CEC"/>
    <w:rsid w:val="007A2576"/>
    <w:rsid w:val="007A6A3D"/>
    <w:rsid w:val="007B3088"/>
    <w:rsid w:val="007C70A9"/>
    <w:rsid w:val="007D74B3"/>
    <w:rsid w:val="0081609A"/>
    <w:rsid w:val="0083297D"/>
    <w:rsid w:val="008B25E5"/>
    <w:rsid w:val="008D3BCF"/>
    <w:rsid w:val="008D6CC2"/>
    <w:rsid w:val="008F7806"/>
    <w:rsid w:val="00944830"/>
    <w:rsid w:val="00946D27"/>
    <w:rsid w:val="009831B1"/>
    <w:rsid w:val="009957CD"/>
    <w:rsid w:val="009A6CAD"/>
    <w:rsid w:val="00A14F29"/>
    <w:rsid w:val="00A2110E"/>
    <w:rsid w:val="00A24AC5"/>
    <w:rsid w:val="00A263C8"/>
    <w:rsid w:val="00A37C59"/>
    <w:rsid w:val="00A440CF"/>
    <w:rsid w:val="00A729FA"/>
    <w:rsid w:val="00AA55F8"/>
    <w:rsid w:val="00AB65EC"/>
    <w:rsid w:val="00AB7A6A"/>
    <w:rsid w:val="00AC6CA8"/>
    <w:rsid w:val="00AF47A6"/>
    <w:rsid w:val="00B02FA1"/>
    <w:rsid w:val="00B1576F"/>
    <w:rsid w:val="00B20770"/>
    <w:rsid w:val="00B56683"/>
    <w:rsid w:val="00B846C3"/>
    <w:rsid w:val="00B86B3C"/>
    <w:rsid w:val="00BC73B2"/>
    <w:rsid w:val="00BF6EFC"/>
    <w:rsid w:val="00C05561"/>
    <w:rsid w:val="00C44143"/>
    <w:rsid w:val="00C5156A"/>
    <w:rsid w:val="00C72F3F"/>
    <w:rsid w:val="00C7432E"/>
    <w:rsid w:val="00C761BA"/>
    <w:rsid w:val="00C85247"/>
    <w:rsid w:val="00CB2A6F"/>
    <w:rsid w:val="00CC4539"/>
    <w:rsid w:val="00CC55E8"/>
    <w:rsid w:val="00D00EAC"/>
    <w:rsid w:val="00D0568E"/>
    <w:rsid w:val="00D1625C"/>
    <w:rsid w:val="00D24E88"/>
    <w:rsid w:val="00D47649"/>
    <w:rsid w:val="00D627CA"/>
    <w:rsid w:val="00D913C0"/>
    <w:rsid w:val="00D96469"/>
    <w:rsid w:val="00DA056B"/>
    <w:rsid w:val="00DA254E"/>
    <w:rsid w:val="00DB5365"/>
    <w:rsid w:val="00DC2504"/>
    <w:rsid w:val="00DC580D"/>
    <w:rsid w:val="00DD257C"/>
    <w:rsid w:val="00DF7291"/>
    <w:rsid w:val="00DF743C"/>
    <w:rsid w:val="00E05999"/>
    <w:rsid w:val="00E1260D"/>
    <w:rsid w:val="00E32D5F"/>
    <w:rsid w:val="00E35770"/>
    <w:rsid w:val="00E40CED"/>
    <w:rsid w:val="00E64E0B"/>
    <w:rsid w:val="00E764D2"/>
    <w:rsid w:val="00E85A17"/>
    <w:rsid w:val="00E947B3"/>
    <w:rsid w:val="00EC3394"/>
    <w:rsid w:val="00ED16F2"/>
    <w:rsid w:val="00EE2384"/>
    <w:rsid w:val="00F10439"/>
    <w:rsid w:val="00F3203B"/>
    <w:rsid w:val="00F700D6"/>
    <w:rsid w:val="00F767A5"/>
    <w:rsid w:val="00FD1661"/>
    <w:rsid w:val="00FD2ED3"/>
    <w:rsid w:val="00FD3DB0"/>
    <w:rsid w:val="00FE0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25703"/>
  <w15:docId w15:val="{76DD55F6-4077-47F3-B36E-5652AD7F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AD5"/>
    <w:rPr>
      <w:sz w:val="24"/>
    </w:rPr>
  </w:style>
  <w:style w:type="paragraph" w:styleId="Heading1">
    <w:name w:val="heading 1"/>
    <w:basedOn w:val="Normal"/>
    <w:next w:val="Normal"/>
    <w:link w:val="Heading1Char"/>
    <w:uiPriority w:val="9"/>
    <w:qFormat/>
    <w:rsid w:val="001A5B3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paragraph" w:styleId="Title">
    <w:name w:val="Title"/>
    <w:basedOn w:val="Normal"/>
    <w:next w:val="Normal"/>
    <w:link w:val="TitleChar"/>
    <w:uiPriority w:val="10"/>
    <w:qFormat/>
    <w:rsid w:val="00ED16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6F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D16F2"/>
    <w:rPr>
      <w:color w:val="0000FF" w:themeColor="hyperlink"/>
      <w:u w:val="single"/>
    </w:rPr>
  </w:style>
  <w:style w:type="character" w:styleId="CommentReference">
    <w:name w:val="annotation reference"/>
    <w:basedOn w:val="DefaultParagraphFont"/>
    <w:uiPriority w:val="99"/>
    <w:semiHidden/>
    <w:unhideWhenUsed/>
    <w:rsid w:val="00ED16F2"/>
    <w:rPr>
      <w:sz w:val="16"/>
      <w:szCs w:val="16"/>
    </w:rPr>
  </w:style>
  <w:style w:type="paragraph" w:styleId="CommentText">
    <w:name w:val="annotation text"/>
    <w:basedOn w:val="Normal"/>
    <w:link w:val="CommentTextChar"/>
    <w:uiPriority w:val="99"/>
    <w:semiHidden/>
    <w:unhideWhenUsed/>
    <w:rsid w:val="00ED16F2"/>
    <w:pPr>
      <w:spacing w:line="240" w:lineRule="auto"/>
    </w:pPr>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semiHidden/>
    <w:rsid w:val="00ED16F2"/>
    <w:rPr>
      <w:rFonts w:ascii="Calibri" w:eastAsia="MS Mincho" w:hAnsi="Calibri" w:cs="Times New Roman"/>
      <w:sz w:val="20"/>
      <w:szCs w:val="20"/>
    </w:rPr>
  </w:style>
  <w:style w:type="table" w:styleId="TableGrid">
    <w:name w:val="Table Grid"/>
    <w:basedOn w:val="TableNormal"/>
    <w:uiPriority w:val="39"/>
    <w:rsid w:val="00ED1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16F2"/>
    <w:pPr>
      <w:spacing w:after="0"/>
      <w:ind w:left="720"/>
      <w:contextualSpacing/>
    </w:pPr>
    <w:rPr>
      <w:rFonts w:cstheme="minorHAnsi"/>
      <w:lang w:eastAsia="ja-JP"/>
    </w:rPr>
  </w:style>
  <w:style w:type="character" w:customStyle="1" w:styleId="ListParagraphChar">
    <w:name w:val="List Paragraph Char"/>
    <w:basedOn w:val="DefaultParagraphFont"/>
    <w:link w:val="ListParagraph"/>
    <w:uiPriority w:val="34"/>
    <w:rsid w:val="00ED16F2"/>
    <w:rPr>
      <w:rFonts w:cstheme="minorHAnsi"/>
      <w:lang w:eastAsia="ja-JP"/>
    </w:rPr>
  </w:style>
  <w:style w:type="paragraph" w:styleId="CommentSubject">
    <w:name w:val="annotation subject"/>
    <w:basedOn w:val="CommentText"/>
    <w:next w:val="CommentText"/>
    <w:link w:val="CommentSubjectChar"/>
    <w:uiPriority w:val="99"/>
    <w:semiHidden/>
    <w:unhideWhenUsed/>
    <w:rsid w:val="003F627A"/>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F627A"/>
    <w:rPr>
      <w:rFonts w:ascii="Calibri" w:eastAsia="MS Mincho" w:hAnsi="Calibri" w:cs="Times New Roman"/>
      <w:b/>
      <w:bCs/>
      <w:sz w:val="20"/>
      <w:szCs w:val="20"/>
    </w:rPr>
  </w:style>
  <w:style w:type="character" w:styleId="PageNumber">
    <w:name w:val="page number"/>
    <w:basedOn w:val="DefaultParagraphFont"/>
    <w:uiPriority w:val="99"/>
    <w:semiHidden/>
    <w:unhideWhenUsed/>
    <w:rsid w:val="00D627CA"/>
  </w:style>
  <w:style w:type="character" w:styleId="FollowedHyperlink">
    <w:name w:val="FollowedHyperlink"/>
    <w:basedOn w:val="DefaultParagraphFont"/>
    <w:uiPriority w:val="99"/>
    <w:semiHidden/>
    <w:unhideWhenUsed/>
    <w:rsid w:val="00134062"/>
    <w:rPr>
      <w:color w:val="800080" w:themeColor="followedHyperlink"/>
      <w:u w:val="single"/>
    </w:rPr>
  </w:style>
  <w:style w:type="paragraph" w:styleId="Revision">
    <w:name w:val="Revision"/>
    <w:hidden/>
    <w:uiPriority w:val="99"/>
    <w:semiHidden/>
    <w:rsid w:val="004D5F75"/>
    <w:pPr>
      <w:spacing w:after="0" w:line="240" w:lineRule="auto"/>
    </w:pPr>
  </w:style>
  <w:style w:type="paragraph" w:styleId="NormalWeb">
    <w:name w:val="Normal (Web)"/>
    <w:basedOn w:val="Normal"/>
    <w:uiPriority w:val="99"/>
    <w:unhideWhenUsed/>
    <w:rsid w:val="00C761BA"/>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C761BA"/>
    <w:rPr>
      <w:rFonts w:ascii="Segoe UI" w:hAnsi="Segoe UI" w:cs="Segoe UI" w:hint="default"/>
      <w:sz w:val="18"/>
      <w:szCs w:val="18"/>
    </w:rPr>
  </w:style>
  <w:style w:type="paragraph" w:customStyle="1" w:styleId="H1">
    <w:name w:val="H1"/>
    <w:basedOn w:val="Heading1"/>
    <w:qFormat/>
    <w:rsid w:val="002A1AD5"/>
    <w:pPr>
      <w:spacing w:before="0" w:after="480" w:line="240" w:lineRule="auto"/>
      <w:jc w:val="center"/>
    </w:pPr>
    <w:rPr>
      <w:rFonts w:asciiTheme="minorHAnsi" w:hAnsiTheme="minorHAnsi"/>
      <w:b/>
      <w:color w:val="auto"/>
      <w:spacing w:val="-10"/>
      <w:kern w:val="28"/>
      <w:sz w:val="48"/>
    </w:rPr>
  </w:style>
  <w:style w:type="character" w:customStyle="1" w:styleId="Heading1Char">
    <w:name w:val="Heading 1 Char"/>
    <w:basedOn w:val="DefaultParagraphFont"/>
    <w:link w:val="Heading1"/>
    <w:uiPriority w:val="9"/>
    <w:rsid w:val="001A5B39"/>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497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apic.org/Professional-Practice/Implementation-guides/"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hyperlink" Target="http://www.ahrq.gov/hai/tools/clabsi-cauti-icu/implement/cusp-modules.html"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ahrq.gov/sites/default/files/wysiwyg/hai/tools/clabsi-cauti-icu/multidisciplinary-rounding.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kim\AppData\Local\Microsoft\Windows\INetCache\Content.Outlook\AR0HXFBX\HAICUS~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91A8E2C15B644EB109C55159B022C3" ma:contentTypeVersion="13" ma:contentTypeDescription="Create a new document." ma:contentTypeScope="" ma:versionID="4c60dff343324a68a7e5d4cf1764ba70">
  <xsd:schema xmlns:xsd="http://www.w3.org/2001/XMLSchema" xmlns:xs="http://www.w3.org/2001/XMLSchema" xmlns:p="http://schemas.microsoft.com/office/2006/metadata/properties" xmlns:ns2="39102c36-9e6c-42d1-a6d1-3ebaac80f85f" xmlns:ns3="31c1b98b-3864-4577-aa97-53156bf25148" targetNamespace="http://schemas.microsoft.com/office/2006/metadata/properties" ma:root="true" ma:fieldsID="27fb09903d97c77d0fbdfc2432dbc701" ns2:_="" ns3:_="">
    <xsd:import namespace="39102c36-9e6c-42d1-a6d1-3ebaac80f85f"/>
    <xsd:import namespace="31c1b98b-3864-4577-aa97-53156bf251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02c36-9e6c-42d1-a6d1-3ebaac80f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c1b98b-3864-4577-aa97-53156bf2514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D89856-96C7-4312-A481-19CE7EF63C72}">
  <ds:schemaRefs>
    <ds:schemaRef ds:uri="http://schemas.openxmlformats.org/officeDocument/2006/bibliography"/>
  </ds:schemaRefs>
</ds:datastoreItem>
</file>

<file path=customXml/itemProps2.xml><?xml version="1.0" encoding="utf-8"?>
<ds:datastoreItem xmlns:ds="http://schemas.openxmlformats.org/officeDocument/2006/customXml" ds:itemID="{FE74688F-5E2E-4164-A5F1-653D3BF43F89}">
  <ds:schemaRefs>
    <ds:schemaRef ds:uri="http://schemas.microsoft.com/sharepoint/v3/contenttype/forms"/>
  </ds:schemaRefs>
</ds:datastoreItem>
</file>

<file path=customXml/itemProps3.xml><?xml version="1.0" encoding="utf-8"?>
<ds:datastoreItem xmlns:ds="http://schemas.openxmlformats.org/officeDocument/2006/customXml" ds:itemID="{5DFD1C78-65C6-46A2-AB36-8737997E9D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DF3059-4A46-4B79-9907-CAABD7212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02c36-9e6c-42d1-a6d1-3ebaac80f85f"/>
    <ds:schemaRef ds:uri="31c1b98b-3864-4577-aa97-53156bf25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HAICUS~1</Template>
  <TotalTime>35</TotalTime>
  <Pages>11</Pages>
  <Words>2711</Words>
  <Characters>15458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Venous Catheter Indications and Alternatives Facilitator Notes</dc:title>
  <dc:subject>Prevent CLABSI and CAUTI in the Intensive Care Unit Setting</dc:subject>
  <dc:creator>"Agency for Healthcare Research and Quality (AHRQ)"</dc:creator>
  <cp:keywords>CLABSI; CAUTI</cp:keywords>
  <dc:description/>
  <cp:lastModifiedBy>Heidenrich, Christine (AHRQ/OC) (CTR)</cp:lastModifiedBy>
  <cp:revision>6</cp:revision>
  <dcterms:created xsi:type="dcterms:W3CDTF">2022-02-08T14:30:00Z</dcterms:created>
  <dcterms:modified xsi:type="dcterms:W3CDTF">2022-02-22T18:23:00Z</dcterms:modified>
  <cp:category>CLABSI; CAUTI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0x0101003491A8E2C15B644EB109C55159B022C3</vt:lpwstr>
  </property>
</Properties>
</file>