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C1231" w14:textId="77777777" w:rsidR="00E32D5F" w:rsidRDefault="00E32D5F"/>
    <w:p w14:paraId="27E2C409" w14:textId="77777777" w:rsidR="00A14F29" w:rsidRDefault="00A14F29"/>
    <w:p w14:paraId="5B6EE7A6" w14:textId="5F8474C7" w:rsidR="00687C2F" w:rsidRPr="00D25EBC" w:rsidRDefault="001D7487" w:rsidP="00D25EBC">
      <w:pPr>
        <w:pStyle w:val="Heading1"/>
      </w:pPr>
      <w:r w:rsidRPr="00D25EBC">
        <w:t>CAUT</w:t>
      </w:r>
      <w:r w:rsidR="00687C2F" w:rsidRPr="00D25EBC">
        <w:t xml:space="preserve">I Module: </w:t>
      </w:r>
    </w:p>
    <w:p w14:paraId="30901352" w14:textId="77777777" w:rsidR="00625E36" w:rsidRPr="00D25EBC" w:rsidRDefault="00625E36" w:rsidP="0056652E">
      <w:pPr>
        <w:pStyle w:val="Heading1"/>
        <w:spacing w:after="480"/>
      </w:pPr>
      <w:r w:rsidRPr="00D25EBC">
        <w:t>Urine Culturing Stewardship in the ICU Setting</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3261"/>
      </w:tblGrid>
      <w:tr w:rsidR="009831B1" w:rsidRPr="00A177C8" w14:paraId="3F3A4419" w14:textId="55E75453" w:rsidTr="0056652E">
        <w:trPr>
          <w:cantSplit/>
          <w:trHeight w:val="146"/>
          <w:tblHeader/>
        </w:trPr>
        <w:tc>
          <w:tcPr>
            <w:tcW w:w="6655" w:type="dxa"/>
            <w:tcBorders>
              <w:top w:val="single" w:sz="4" w:space="0" w:color="auto"/>
              <w:left w:val="single" w:sz="4" w:space="0" w:color="auto"/>
              <w:bottom w:val="single" w:sz="4" w:space="0" w:color="auto"/>
              <w:right w:val="single" w:sz="4" w:space="0" w:color="auto"/>
            </w:tcBorders>
          </w:tcPr>
          <w:p w14:paraId="6E90AC98" w14:textId="77777777" w:rsidR="009831B1" w:rsidRPr="00A177C8" w:rsidRDefault="009831B1" w:rsidP="009831B1">
            <w:pPr>
              <w:autoSpaceDE w:val="0"/>
              <w:autoSpaceDN w:val="0"/>
              <w:adjustRightInd w:val="0"/>
              <w:spacing w:after="0" w:line="240" w:lineRule="auto"/>
              <w:jc w:val="center"/>
              <w:rPr>
                <w:rFonts w:cs="Calibri"/>
                <w:b/>
                <w:kern w:val="24"/>
                <w:sz w:val="24"/>
                <w:szCs w:val="24"/>
              </w:rPr>
            </w:pPr>
            <w:r w:rsidRPr="00A177C8">
              <w:rPr>
                <w:rFonts w:cs="Calibri"/>
                <w:b/>
                <w:kern w:val="24"/>
                <w:sz w:val="24"/>
                <w:szCs w:val="24"/>
              </w:rPr>
              <w:t>Facilitator Guide</w:t>
            </w:r>
          </w:p>
        </w:tc>
        <w:tc>
          <w:tcPr>
            <w:tcW w:w="3261" w:type="dxa"/>
            <w:tcBorders>
              <w:top w:val="single" w:sz="4" w:space="0" w:color="auto"/>
              <w:left w:val="single" w:sz="4" w:space="0" w:color="auto"/>
              <w:bottom w:val="single" w:sz="4" w:space="0" w:color="auto"/>
              <w:right w:val="single" w:sz="4" w:space="0" w:color="auto"/>
            </w:tcBorders>
          </w:tcPr>
          <w:p w14:paraId="269AD8DC" w14:textId="388F4BFC" w:rsidR="009831B1" w:rsidRPr="00A177C8" w:rsidRDefault="009831B1" w:rsidP="009831B1">
            <w:pPr>
              <w:autoSpaceDE w:val="0"/>
              <w:autoSpaceDN w:val="0"/>
              <w:adjustRightInd w:val="0"/>
              <w:spacing w:after="0" w:line="240" w:lineRule="auto"/>
              <w:jc w:val="center"/>
              <w:rPr>
                <w:rFonts w:cs="Calibri"/>
                <w:b/>
                <w:kern w:val="24"/>
                <w:sz w:val="24"/>
                <w:szCs w:val="24"/>
              </w:rPr>
            </w:pPr>
            <w:r w:rsidRPr="00A177C8">
              <w:rPr>
                <w:b/>
              </w:rPr>
              <w:t>Slide Number and Image</w:t>
            </w:r>
          </w:p>
        </w:tc>
      </w:tr>
      <w:tr w:rsidR="0021713F" w14:paraId="2A131DBA" w14:textId="1D7E2832" w:rsidTr="0056652E">
        <w:trPr>
          <w:cantSplit/>
          <w:trHeight w:val="2960"/>
        </w:trPr>
        <w:tc>
          <w:tcPr>
            <w:tcW w:w="6655" w:type="dxa"/>
            <w:tcBorders>
              <w:top w:val="single" w:sz="4" w:space="0" w:color="auto"/>
              <w:left w:val="single" w:sz="4" w:space="0" w:color="auto"/>
              <w:bottom w:val="single" w:sz="4" w:space="0" w:color="auto"/>
              <w:right w:val="single" w:sz="4" w:space="0" w:color="auto"/>
            </w:tcBorders>
          </w:tcPr>
          <w:p w14:paraId="25504A62" w14:textId="77777777" w:rsidR="0021713F" w:rsidRDefault="0021713F" w:rsidP="0021713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module, titled “Urine Culturing Stewardship in the ICU Setting” is part of the Agency for Healthcare Research and Quality’s Safety Program for ICUs (intensive care units). The module addresses urine culturing stewardship to prevent CAUTI (catheter-associated urinary tract infections) in the ICU setting.</w:t>
            </w:r>
          </w:p>
          <w:p w14:paraId="144252B8" w14:textId="77777777" w:rsidR="0021713F" w:rsidRDefault="0021713F" w:rsidP="0021713F">
            <w:pPr>
              <w:autoSpaceDE w:val="0"/>
              <w:autoSpaceDN w:val="0"/>
              <w:adjustRightInd w:val="0"/>
              <w:spacing w:after="0" w:line="240" w:lineRule="auto"/>
              <w:rPr>
                <w:rFonts w:ascii="Calibri" w:hAnsi="Calibri" w:cs="Calibri"/>
                <w:kern w:val="24"/>
                <w:sz w:val="24"/>
                <w:szCs w:val="24"/>
              </w:rPr>
            </w:pPr>
          </w:p>
          <w:p w14:paraId="1A221F2F" w14:textId="2985678C" w:rsidR="0021713F" w:rsidRPr="0056652E" w:rsidRDefault="0021713F" w:rsidP="0056652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module will identify the situations in which urine cultures are appropriate or inappropriate. By preventing inappropriate urine culturing, this module may help your team avoid </w:t>
            </w:r>
            <w:r w:rsidR="00184337">
              <w:rPr>
                <w:rFonts w:ascii="Calibri" w:hAnsi="Calibri" w:cs="Calibri"/>
                <w:kern w:val="24"/>
                <w:sz w:val="24"/>
                <w:szCs w:val="24"/>
              </w:rPr>
              <w:t>CAUTIs</w:t>
            </w:r>
            <w:r>
              <w:rPr>
                <w:rFonts w:ascii="Calibri" w:hAnsi="Calibri" w:cs="Calibri"/>
                <w:kern w:val="24"/>
                <w:sz w:val="24"/>
                <w:szCs w:val="24"/>
              </w:rPr>
              <w:t>.</w:t>
            </w:r>
          </w:p>
        </w:tc>
        <w:tc>
          <w:tcPr>
            <w:tcW w:w="3261" w:type="dxa"/>
            <w:tcBorders>
              <w:top w:val="single" w:sz="4" w:space="0" w:color="auto"/>
              <w:left w:val="single" w:sz="4" w:space="0" w:color="auto"/>
              <w:bottom w:val="single" w:sz="4" w:space="0" w:color="auto"/>
              <w:right w:val="single" w:sz="4" w:space="0" w:color="auto"/>
            </w:tcBorders>
          </w:tcPr>
          <w:p w14:paraId="23B6E14A" w14:textId="77777777" w:rsidR="0021713F" w:rsidRDefault="0021713F" w:rsidP="0021713F">
            <w:r>
              <w:t>Slide 1</w:t>
            </w:r>
          </w:p>
          <w:p w14:paraId="0BD8C974" w14:textId="3D5CB4A6" w:rsidR="0021713F" w:rsidRPr="00C171DB" w:rsidRDefault="00104ABE" w:rsidP="0021713F">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06FDA418" wp14:editId="1083140B">
                  <wp:extent cx="1838325" cy="1381125"/>
                  <wp:effectExtent l="19050" t="19050" r="28575" b="2857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21713F" w14:paraId="457FCC22" w14:textId="16B51EF7" w:rsidTr="0056652E">
        <w:trPr>
          <w:cantSplit/>
          <w:trHeight w:val="3500"/>
        </w:trPr>
        <w:tc>
          <w:tcPr>
            <w:tcW w:w="6655" w:type="dxa"/>
            <w:tcBorders>
              <w:top w:val="single" w:sz="4" w:space="0" w:color="auto"/>
              <w:left w:val="single" w:sz="4" w:space="0" w:color="auto"/>
              <w:bottom w:val="single" w:sz="4" w:space="0" w:color="auto"/>
              <w:right w:val="single" w:sz="4" w:space="0" w:color="auto"/>
            </w:tcBorders>
          </w:tcPr>
          <w:p w14:paraId="392D39E5" w14:textId="06CEE7B1" w:rsidR="0021713F" w:rsidRDefault="0021713F" w:rsidP="0021713F">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Here is a presentation of a case study. Ms. Allen is a 65-year-old woman with atrial fibrillation on warfarin and urine retention from multiple sclerosis</w:t>
            </w:r>
            <w:r w:rsidR="00184337">
              <w:rPr>
                <w:rFonts w:ascii="Calibri" w:hAnsi="Calibri" w:cs="Calibri"/>
                <w:kern w:val="24"/>
                <w:sz w:val="24"/>
                <w:szCs w:val="24"/>
              </w:rPr>
              <w:t>,</w:t>
            </w:r>
            <w:r>
              <w:rPr>
                <w:rFonts w:ascii="Calibri" w:hAnsi="Calibri" w:cs="Calibri"/>
                <w:kern w:val="24"/>
                <w:sz w:val="24"/>
                <w:szCs w:val="24"/>
              </w:rPr>
              <w:t xml:space="preserve"> which requires a chronic indwelling urinary catheter. She is admitted to the ICU with an upper GI bleed from a high INR. Her temp</w:t>
            </w:r>
            <w:r w:rsidR="00F76DBA">
              <w:rPr>
                <w:rFonts w:ascii="Calibri" w:hAnsi="Calibri" w:cs="Calibri"/>
                <w:kern w:val="24"/>
                <w:sz w:val="24"/>
                <w:szCs w:val="24"/>
              </w:rPr>
              <w:t>erature</w:t>
            </w:r>
            <w:r>
              <w:rPr>
                <w:rFonts w:ascii="Calibri" w:hAnsi="Calibri" w:cs="Calibri"/>
                <w:kern w:val="24"/>
                <w:sz w:val="24"/>
                <w:szCs w:val="24"/>
              </w:rPr>
              <w:t xml:space="preserve"> is 100.8 degrees Fahrenheit, heart rate 130, respiratory rate 22, and blood pressure 97/42. Her white blood cell count is 11</w:t>
            </w:r>
            <w:r w:rsidR="00184337">
              <w:rPr>
                <w:rFonts w:ascii="Calibri" w:hAnsi="Calibri" w:cs="Calibri"/>
                <w:kern w:val="24"/>
                <w:sz w:val="24"/>
                <w:szCs w:val="24"/>
              </w:rPr>
              <w:t>,</w:t>
            </w:r>
            <w:r>
              <w:rPr>
                <w:rFonts w:ascii="Calibri" w:hAnsi="Calibri" w:cs="Calibri"/>
                <w:kern w:val="24"/>
                <w:sz w:val="24"/>
                <w:szCs w:val="24"/>
              </w:rPr>
              <w:t xml:space="preserve"> and her hemoglobin is now 7.6 g/dL. Physical exam reveals cloudy urine in her catheter tubing.</w:t>
            </w:r>
          </w:p>
          <w:p w14:paraId="1712DD56" w14:textId="77777777" w:rsidR="0021713F" w:rsidRDefault="0021713F" w:rsidP="0021713F">
            <w:pPr>
              <w:autoSpaceDE w:val="0"/>
              <w:autoSpaceDN w:val="0"/>
              <w:adjustRightInd w:val="0"/>
              <w:spacing w:after="0" w:line="240" w:lineRule="auto"/>
              <w:rPr>
                <w:rFonts w:ascii="Calibri" w:hAnsi="Calibri" w:cs="Calibri"/>
                <w:kern w:val="24"/>
                <w:sz w:val="24"/>
                <w:szCs w:val="24"/>
              </w:rPr>
            </w:pPr>
          </w:p>
          <w:p w14:paraId="29ABF918" w14:textId="7DE220E6" w:rsidR="0021713F" w:rsidRPr="0056652E" w:rsidRDefault="005E2B87" w:rsidP="0021713F">
            <w:pPr>
              <w:autoSpaceDE w:val="0"/>
              <w:autoSpaceDN w:val="0"/>
              <w:adjustRightInd w:val="0"/>
              <w:spacing w:after="0" w:line="240" w:lineRule="auto"/>
              <w:rPr>
                <w:rFonts w:cstheme="minorHAnsi"/>
              </w:rPr>
            </w:pPr>
            <w:r>
              <w:rPr>
                <w:rFonts w:ascii="Calibri" w:hAnsi="Calibri" w:cs="Calibri"/>
                <w:kern w:val="24"/>
                <w:sz w:val="24"/>
                <w:szCs w:val="24"/>
              </w:rPr>
              <w:t xml:space="preserve">Should Ms. Allen have a urinalysis </w:t>
            </w:r>
            <w:r w:rsidR="00EB2861">
              <w:rPr>
                <w:rFonts w:ascii="Calibri" w:hAnsi="Calibri" w:cs="Calibri"/>
                <w:kern w:val="24"/>
                <w:sz w:val="24"/>
                <w:szCs w:val="24"/>
              </w:rPr>
              <w:t xml:space="preserve">or UA </w:t>
            </w:r>
            <w:r>
              <w:rPr>
                <w:rFonts w:ascii="Calibri" w:hAnsi="Calibri" w:cs="Calibri"/>
                <w:kern w:val="24"/>
                <w:sz w:val="24"/>
                <w:szCs w:val="24"/>
              </w:rPr>
              <w:t>and urine culture? W</w:t>
            </w:r>
            <w:r w:rsidR="0021713F">
              <w:rPr>
                <w:rFonts w:ascii="Calibri" w:hAnsi="Calibri" w:cs="Calibri"/>
                <w:kern w:val="24"/>
                <w:sz w:val="24"/>
                <w:szCs w:val="24"/>
              </w:rPr>
              <w:t>e</w:t>
            </w:r>
            <w:r w:rsidR="0021713F" w:rsidRPr="0046151B">
              <w:rPr>
                <w:rFonts w:cstheme="minorHAnsi"/>
              </w:rPr>
              <w:t xml:space="preserve"> will return to this case study to answer the question</w:t>
            </w:r>
            <w:r w:rsidR="0021713F">
              <w:rPr>
                <w:rFonts w:cstheme="minorHAnsi"/>
              </w:rPr>
              <w:t>.</w:t>
            </w:r>
          </w:p>
        </w:tc>
        <w:tc>
          <w:tcPr>
            <w:tcW w:w="3261" w:type="dxa"/>
            <w:tcBorders>
              <w:top w:val="single" w:sz="4" w:space="0" w:color="auto"/>
              <w:left w:val="single" w:sz="4" w:space="0" w:color="auto"/>
              <w:bottom w:val="single" w:sz="4" w:space="0" w:color="auto"/>
              <w:right w:val="single" w:sz="4" w:space="0" w:color="auto"/>
            </w:tcBorders>
          </w:tcPr>
          <w:p w14:paraId="21B7CD61" w14:textId="77777777" w:rsidR="0021713F" w:rsidRDefault="0021713F" w:rsidP="0021713F">
            <w:r>
              <w:t>Slide 2</w:t>
            </w:r>
          </w:p>
          <w:p w14:paraId="3D71A992" w14:textId="52A21D13" w:rsidR="0021713F" w:rsidRDefault="000D79C0" w:rsidP="0021713F">
            <w:pPr>
              <w:autoSpaceDE w:val="0"/>
              <w:autoSpaceDN w:val="0"/>
              <w:adjustRightInd w:val="0"/>
              <w:spacing w:after="0" w:line="240" w:lineRule="auto"/>
              <w:rPr>
                <w:rFonts w:cs="Calibri"/>
                <w:kern w:val="24"/>
                <w:sz w:val="24"/>
                <w:szCs w:val="24"/>
              </w:rPr>
            </w:pPr>
            <w:r>
              <w:rPr>
                <w:noProof/>
              </w:rPr>
              <w:drawing>
                <wp:inline distT="0" distB="0" distL="0" distR="0" wp14:anchorId="30424B1A" wp14:editId="0FA4B35B">
                  <wp:extent cx="1822925" cy="1367942"/>
                  <wp:effectExtent l="19050" t="19050" r="25400" b="2286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a:stretch>
                            <a:fillRect/>
                          </a:stretch>
                        </pic:blipFill>
                        <pic:spPr>
                          <a:xfrm>
                            <a:off x="0" y="0"/>
                            <a:ext cx="1824975" cy="1369480"/>
                          </a:xfrm>
                          <a:prstGeom prst="rect">
                            <a:avLst/>
                          </a:prstGeom>
                          <a:ln>
                            <a:solidFill>
                              <a:schemeClr val="tx1"/>
                            </a:solidFill>
                          </a:ln>
                        </pic:spPr>
                      </pic:pic>
                    </a:graphicData>
                  </a:graphic>
                </wp:inline>
              </w:drawing>
            </w:r>
          </w:p>
        </w:tc>
      </w:tr>
    </w:tbl>
    <w:p w14:paraId="060F6238" w14:textId="1737BA70" w:rsidR="006C26D8" w:rsidRDefault="006C26D8"/>
    <w:p w14:paraId="561FCFA0" w14:textId="0A43AE0F" w:rsidR="006C26D8" w:rsidRDefault="006C26D8">
      <w:pPr>
        <w:sectPr w:rsidR="006C26D8" w:rsidSect="00276CA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0" w:gutter="0"/>
          <w:cols w:space="720"/>
          <w:titlePg/>
          <w:docGrid w:linePitch="360"/>
        </w:sect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3240"/>
      </w:tblGrid>
      <w:tr w:rsidR="0056652E" w14:paraId="27058DA7" w14:textId="77777777" w:rsidTr="004871F6">
        <w:trPr>
          <w:trHeight w:val="260"/>
          <w:tblHeader/>
        </w:trPr>
        <w:tc>
          <w:tcPr>
            <w:tcW w:w="6655" w:type="dxa"/>
            <w:tcBorders>
              <w:top w:val="single" w:sz="4" w:space="0" w:color="auto"/>
              <w:left w:val="single" w:sz="4" w:space="0" w:color="auto"/>
              <w:bottom w:val="single" w:sz="4" w:space="0" w:color="auto"/>
              <w:right w:val="single" w:sz="4" w:space="0" w:color="auto"/>
            </w:tcBorders>
          </w:tcPr>
          <w:p w14:paraId="5F882108" w14:textId="2666F5F1" w:rsidR="0056652E" w:rsidRDefault="0056652E" w:rsidP="007C33CD">
            <w:pPr>
              <w:autoSpaceDE w:val="0"/>
              <w:autoSpaceDN w:val="0"/>
              <w:adjustRightInd w:val="0"/>
              <w:spacing w:after="0" w:line="240" w:lineRule="auto"/>
              <w:jc w:val="center"/>
              <w:rPr>
                <w:rFonts w:ascii="Calibri" w:hAnsi="Calibri" w:cs="Calibri"/>
                <w:kern w:val="24"/>
                <w:sz w:val="24"/>
                <w:szCs w:val="24"/>
              </w:rPr>
            </w:pPr>
            <w:r w:rsidRPr="00A177C8">
              <w:rPr>
                <w:rFonts w:cs="Calibri"/>
                <w:b/>
                <w:kern w:val="24"/>
                <w:sz w:val="24"/>
                <w:szCs w:val="24"/>
              </w:rPr>
              <w:lastRenderedPageBreak/>
              <w:t>Facilitator Guide</w:t>
            </w:r>
          </w:p>
        </w:tc>
        <w:tc>
          <w:tcPr>
            <w:tcW w:w="3240" w:type="dxa"/>
            <w:tcBorders>
              <w:top w:val="single" w:sz="4" w:space="0" w:color="auto"/>
              <w:left w:val="single" w:sz="4" w:space="0" w:color="auto"/>
              <w:bottom w:val="single" w:sz="4" w:space="0" w:color="auto"/>
              <w:right w:val="single" w:sz="4" w:space="0" w:color="auto"/>
            </w:tcBorders>
          </w:tcPr>
          <w:p w14:paraId="04680E9F" w14:textId="56F5D313" w:rsidR="0056652E" w:rsidRDefault="0056652E" w:rsidP="004871F6">
            <w:pPr>
              <w:spacing w:after="0"/>
              <w:jc w:val="center"/>
            </w:pPr>
            <w:r w:rsidRPr="00A177C8">
              <w:rPr>
                <w:b/>
              </w:rPr>
              <w:t>Slide Number and Image</w:t>
            </w:r>
          </w:p>
        </w:tc>
      </w:tr>
      <w:tr w:rsidR="005E2B87" w14:paraId="728A8871" w14:textId="3DD0E18F" w:rsidTr="00597314">
        <w:trPr>
          <w:trHeight w:val="4000"/>
        </w:trPr>
        <w:tc>
          <w:tcPr>
            <w:tcW w:w="6655" w:type="dxa"/>
            <w:tcBorders>
              <w:top w:val="single" w:sz="4" w:space="0" w:color="auto"/>
              <w:left w:val="single" w:sz="4" w:space="0" w:color="auto"/>
              <w:bottom w:val="single" w:sz="4" w:space="0" w:color="auto"/>
              <w:right w:val="single" w:sz="4" w:space="0" w:color="auto"/>
            </w:tcBorders>
          </w:tcPr>
          <w:p w14:paraId="384013E2" w14:textId="0546E022"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Urine culturing stewardship means</w:t>
            </w:r>
            <w:r>
              <w:rPr>
                <w:rFonts w:ascii="Calibri" w:hAnsi="Calibri" w:cs="Calibri"/>
                <w:i/>
                <w:iCs/>
                <w:kern w:val="24"/>
                <w:sz w:val="24"/>
                <w:szCs w:val="24"/>
              </w:rPr>
              <w:t xml:space="preserve"> </w:t>
            </w:r>
            <w:r>
              <w:rPr>
                <w:rFonts w:ascii="Calibri" w:hAnsi="Calibri" w:cs="Calibri"/>
                <w:kern w:val="24"/>
                <w:sz w:val="24"/>
                <w:szCs w:val="24"/>
              </w:rPr>
              <w:t>ordering urine cultures thoughtfully, so they inform the care of individual patients. It is needed because urine cultures can be harmful if they’re ordered in the wrong situation. They can contribute to misdiagnosis, overtreatment with antibiotics, multidrug</w:t>
            </w:r>
            <w:r w:rsidR="00184337">
              <w:rPr>
                <w:rFonts w:ascii="Calibri" w:hAnsi="Calibri" w:cs="Calibri"/>
                <w:kern w:val="24"/>
                <w:sz w:val="24"/>
                <w:szCs w:val="24"/>
              </w:rPr>
              <w:t>-</w:t>
            </w:r>
            <w:r>
              <w:rPr>
                <w:rFonts w:ascii="Calibri" w:hAnsi="Calibri" w:cs="Calibri"/>
                <w:kern w:val="24"/>
                <w:sz w:val="24"/>
                <w:szCs w:val="24"/>
              </w:rPr>
              <w:t xml:space="preserve">resistant infections, increased rates of hospital-acquired </w:t>
            </w:r>
            <w:proofErr w:type="spellStart"/>
            <w:r w:rsidR="00991467" w:rsidRPr="00991467">
              <w:rPr>
                <w:rFonts w:ascii="Calibri" w:hAnsi="Calibri" w:cs="Calibri"/>
                <w:i/>
                <w:iCs/>
                <w:kern w:val="24"/>
                <w:sz w:val="24"/>
                <w:szCs w:val="24"/>
              </w:rPr>
              <w:t>Clostridioides</w:t>
            </w:r>
            <w:proofErr w:type="spellEnd"/>
            <w:r w:rsidRPr="005F066C">
              <w:rPr>
                <w:rFonts w:ascii="Calibri" w:hAnsi="Calibri" w:cs="Calibri"/>
                <w:i/>
                <w:iCs/>
                <w:kern w:val="24"/>
                <w:sz w:val="24"/>
                <w:szCs w:val="24"/>
              </w:rPr>
              <w:t xml:space="preserve"> difficile</w:t>
            </w:r>
            <w:r>
              <w:rPr>
                <w:rFonts w:ascii="Calibri" w:hAnsi="Calibri" w:cs="Calibri"/>
                <w:kern w:val="24"/>
                <w:sz w:val="24"/>
                <w:szCs w:val="24"/>
              </w:rPr>
              <w:t xml:space="preserve"> and overreporting of CAUTI, all which can increase the hospitals’ financial burden. </w:t>
            </w:r>
          </w:p>
          <w:p w14:paraId="0D479EDE" w14:textId="77777777" w:rsidR="005E2B87" w:rsidRDefault="005E2B87" w:rsidP="005E2B87">
            <w:pPr>
              <w:autoSpaceDE w:val="0"/>
              <w:autoSpaceDN w:val="0"/>
              <w:adjustRightInd w:val="0"/>
              <w:spacing w:after="0" w:line="240" w:lineRule="auto"/>
              <w:rPr>
                <w:rFonts w:ascii="Calibri" w:hAnsi="Calibri" w:cs="Calibri"/>
                <w:i/>
                <w:iCs/>
                <w:kern w:val="24"/>
                <w:sz w:val="24"/>
                <w:szCs w:val="24"/>
              </w:rPr>
            </w:pPr>
          </w:p>
          <w:p w14:paraId="12E19129" w14:textId="61F2B25F"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Ideally, stewardship applies to the ordering, collection, processing, interpretation, and clinical application of urine cultures. We will focus on </w:t>
            </w:r>
            <w:r w:rsidR="00184337">
              <w:rPr>
                <w:rFonts w:ascii="Calibri" w:hAnsi="Calibri" w:cs="Calibri"/>
                <w:kern w:val="24"/>
                <w:sz w:val="24"/>
                <w:szCs w:val="24"/>
              </w:rPr>
              <w:t xml:space="preserve">the </w:t>
            </w:r>
            <w:r>
              <w:rPr>
                <w:rFonts w:ascii="Calibri" w:hAnsi="Calibri" w:cs="Calibri"/>
                <w:kern w:val="24"/>
                <w:sz w:val="24"/>
                <w:szCs w:val="24"/>
              </w:rPr>
              <w:t>urine culture process, including the order and collection, because these are the steps that affect the patients most often.</w:t>
            </w:r>
          </w:p>
        </w:tc>
        <w:tc>
          <w:tcPr>
            <w:tcW w:w="3240" w:type="dxa"/>
            <w:tcBorders>
              <w:top w:val="single" w:sz="4" w:space="0" w:color="auto"/>
              <w:left w:val="single" w:sz="4" w:space="0" w:color="auto"/>
              <w:bottom w:val="single" w:sz="4" w:space="0" w:color="auto"/>
              <w:right w:val="single" w:sz="4" w:space="0" w:color="auto"/>
            </w:tcBorders>
          </w:tcPr>
          <w:p w14:paraId="5BB091BB" w14:textId="77777777" w:rsidR="005E2B87" w:rsidRDefault="005E2B87" w:rsidP="005E2B87">
            <w:r>
              <w:t>Slide 3</w:t>
            </w:r>
          </w:p>
          <w:p w14:paraId="1169F62E" w14:textId="1AD71899" w:rsidR="005E2B87" w:rsidRDefault="000D79C0" w:rsidP="005E2B87">
            <w:pPr>
              <w:autoSpaceDE w:val="0"/>
              <w:autoSpaceDN w:val="0"/>
              <w:adjustRightInd w:val="0"/>
              <w:spacing w:after="0" w:line="240" w:lineRule="auto"/>
              <w:rPr>
                <w:rFonts w:cs="Calibri"/>
                <w:kern w:val="24"/>
                <w:sz w:val="24"/>
                <w:szCs w:val="24"/>
              </w:rPr>
            </w:pPr>
            <w:r>
              <w:rPr>
                <w:noProof/>
              </w:rPr>
              <w:drawing>
                <wp:inline distT="0" distB="0" distL="0" distR="0" wp14:anchorId="48D76EF0" wp14:editId="3C8156DE">
                  <wp:extent cx="1812571" cy="1360627"/>
                  <wp:effectExtent l="19050" t="19050" r="16510" b="1143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9"/>
                          <a:stretch>
                            <a:fillRect/>
                          </a:stretch>
                        </pic:blipFill>
                        <pic:spPr>
                          <a:xfrm>
                            <a:off x="0" y="0"/>
                            <a:ext cx="1818392" cy="1364996"/>
                          </a:xfrm>
                          <a:prstGeom prst="rect">
                            <a:avLst/>
                          </a:prstGeom>
                          <a:ln>
                            <a:solidFill>
                              <a:schemeClr val="tx1"/>
                            </a:solidFill>
                          </a:ln>
                        </pic:spPr>
                      </pic:pic>
                    </a:graphicData>
                  </a:graphic>
                </wp:inline>
              </w:drawing>
            </w:r>
          </w:p>
        </w:tc>
      </w:tr>
      <w:tr w:rsidR="005E2B87" w14:paraId="3B470F6B" w14:textId="29160446" w:rsidTr="00FD1661">
        <w:trPr>
          <w:trHeight w:val="1700"/>
        </w:trPr>
        <w:tc>
          <w:tcPr>
            <w:tcW w:w="6655" w:type="dxa"/>
            <w:tcBorders>
              <w:top w:val="single" w:sz="4" w:space="0" w:color="auto"/>
              <w:left w:val="single" w:sz="4" w:space="0" w:color="auto"/>
              <w:bottom w:val="single" w:sz="4" w:space="0" w:color="auto"/>
              <w:right w:val="single" w:sz="4" w:space="0" w:color="auto"/>
            </w:tcBorders>
          </w:tcPr>
          <w:p w14:paraId="153E0391" w14:textId="605DF38D"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You may be wondering why we’re talking about urine culturing as it relates to preventing CAUTI. White blood cells may be found in a urine sample for many reasons beside infection, including colonization or irritation from the catheter itself. Urine in the presence of a catheter is frequently colonized by bacteria; this is called biofilm, which may never cause an infection. In fact, the risk of bacteriuria in a catheterized patient increases </w:t>
            </w:r>
            <w:r w:rsidR="00184337">
              <w:rPr>
                <w:rFonts w:ascii="Calibri" w:hAnsi="Calibri" w:cs="Calibri"/>
                <w:kern w:val="24"/>
                <w:sz w:val="24"/>
                <w:szCs w:val="24"/>
              </w:rPr>
              <w:t>3</w:t>
            </w:r>
            <w:r>
              <w:rPr>
                <w:rFonts w:ascii="Calibri" w:hAnsi="Calibri" w:cs="Calibri"/>
                <w:kern w:val="24"/>
                <w:sz w:val="24"/>
                <w:szCs w:val="24"/>
              </w:rPr>
              <w:t xml:space="preserve"> to </w:t>
            </w:r>
            <w:r w:rsidR="00184337">
              <w:rPr>
                <w:rFonts w:ascii="Calibri" w:hAnsi="Calibri" w:cs="Calibri"/>
                <w:kern w:val="24"/>
                <w:sz w:val="24"/>
                <w:szCs w:val="24"/>
              </w:rPr>
              <w:t>8</w:t>
            </w:r>
            <w:r>
              <w:rPr>
                <w:rFonts w:ascii="Calibri" w:hAnsi="Calibri" w:cs="Calibri"/>
                <w:kern w:val="24"/>
                <w:sz w:val="24"/>
                <w:szCs w:val="24"/>
              </w:rPr>
              <w:t xml:space="preserve"> percent per day. Within 30 days, 98 percent of catheterized patients will have bacteriuria. </w:t>
            </w:r>
          </w:p>
          <w:p w14:paraId="071B7EC9"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44DBA5D5" w14:textId="396779CE"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Bacteriuria diagnosed by a </w:t>
            </w:r>
            <w:r w:rsidR="00EB2861">
              <w:rPr>
                <w:rFonts w:ascii="Calibri" w:hAnsi="Calibri" w:cs="Calibri"/>
                <w:kern w:val="24"/>
                <w:sz w:val="24"/>
                <w:szCs w:val="24"/>
              </w:rPr>
              <w:t>UA</w:t>
            </w:r>
            <w:r>
              <w:rPr>
                <w:rFonts w:ascii="Calibri" w:hAnsi="Calibri" w:cs="Calibri"/>
                <w:kern w:val="24"/>
                <w:sz w:val="24"/>
                <w:szCs w:val="24"/>
              </w:rPr>
              <w:t xml:space="preserve"> or a culture without signs or symptoms is defined as asymptomatic bacteriuria (ASB)</w:t>
            </w:r>
            <w:r w:rsidR="00184337">
              <w:rPr>
                <w:rFonts w:ascii="Calibri" w:hAnsi="Calibri" w:cs="Calibri"/>
                <w:kern w:val="24"/>
                <w:sz w:val="24"/>
                <w:szCs w:val="24"/>
              </w:rPr>
              <w:t>,</w:t>
            </w:r>
            <w:r>
              <w:rPr>
                <w:rFonts w:ascii="Calibri" w:hAnsi="Calibri" w:cs="Calibri"/>
                <w:kern w:val="24"/>
                <w:sz w:val="24"/>
                <w:szCs w:val="24"/>
              </w:rPr>
              <w:t xml:space="preserve"> which should rarely be treated in catheterized patients</w:t>
            </w:r>
            <w:r w:rsidR="00184337">
              <w:rPr>
                <w:rFonts w:ascii="Calibri" w:hAnsi="Calibri" w:cs="Calibri"/>
                <w:kern w:val="24"/>
                <w:sz w:val="24"/>
                <w:szCs w:val="24"/>
              </w:rPr>
              <w:t>,</w:t>
            </w:r>
            <w:r>
              <w:rPr>
                <w:rFonts w:ascii="Calibri" w:hAnsi="Calibri" w:cs="Calibri"/>
                <w:kern w:val="24"/>
                <w:sz w:val="24"/>
                <w:szCs w:val="24"/>
              </w:rPr>
              <w:t xml:space="preserve"> especially in the ICU setting. </w:t>
            </w:r>
            <w:r w:rsidRPr="008A00ED">
              <w:rPr>
                <w:rFonts w:ascii="Calibri" w:hAnsi="Calibri" w:cs="Calibri"/>
                <w:kern w:val="24"/>
                <w:sz w:val="24"/>
                <w:szCs w:val="24"/>
              </w:rPr>
              <w:t>ASB occurs as much as 50</w:t>
            </w:r>
            <w:r w:rsidR="00184337">
              <w:rPr>
                <w:rFonts w:ascii="Calibri" w:hAnsi="Calibri" w:cs="Calibri"/>
                <w:kern w:val="24"/>
                <w:sz w:val="24"/>
                <w:szCs w:val="24"/>
              </w:rPr>
              <w:t xml:space="preserve"> percent</w:t>
            </w:r>
            <w:r w:rsidRPr="008A00ED">
              <w:rPr>
                <w:rFonts w:ascii="Calibri" w:hAnsi="Calibri" w:cs="Calibri"/>
                <w:kern w:val="24"/>
                <w:sz w:val="24"/>
                <w:szCs w:val="24"/>
              </w:rPr>
              <w:t xml:space="preserve"> of the time in patients with an indwelling urinary catheter</w:t>
            </w:r>
            <w:r>
              <w:rPr>
                <w:rFonts w:ascii="Calibri" w:hAnsi="Calibri" w:cs="Calibri"/>
                <w:kern w:val="24"/>
                <w:sz w:val="24"/>
                <w:szCs w:val="24"/>
              </w:rPr>
              <w:t>. However, when a urine culture is ordered and comes back positive, many practitioners will treat it as a true infection. Treatment of A</w:t>
            </w:r>
            <w:r w:rsidR="00184337">
              <w:rPr>
                <w:rFonts w:ascii="Calibri" w:hAnsi="Calibri" w:cs="Calibri"/>
                <w:kern w:val="24"/>
                <w:sz w:val="24"/>
                <w:szCs w:val="24"/>
              </w:rPr>
              <w:t>S</w:t>
            </w:r>
            <w:r>
              <w:rPr>
                <w:rFonts w:ascii="Calibri" w:hAnsi="Calibri" w:cs="Calibri"/>
                <w:kern w:val="24"/>
                <w:sz w:val="24"/>
                <w:szCs w:val="24"/>
              </w:rPr>
              <w:t xml:space="preserve">B is one of the most common cause of inappropriate antibiotic prescription in hospitals. </w:t>
            </w:r>
          </w:p>
          <w:p w14:paraId="3975BACA"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0D7ACE3F" w14:textId="36B1DCF9" w:rsidR="000D79C0" w:rsidRPr="000D79C0" w:rsidRDefault="005E2B87" w:rsidP="000D79C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While there are exceptions to rules about treating ASB, such as pregnancy and urologic procedures, these are rare in the ICU setting.</w:t>
            </w:r>
          </w:p>
        </w:tc>
        <w:tc>
          <w:tcPr>
            <w:tcW w:w="3240" w:type="dxa"/>
            <w:tcBorders>
              <w:top w:val="single" w:sz="4" w:space="0" w:color="auto"/>
              <w:left w:val="single" w:sz="4" w:space="0" w:color="auto"/>
              <w:bottom w:val="single" w:sz="4" w:space="0" w:color="auto"/>
              <w:right w:val="single" w:sz="4" w:space="0" w:color="auto"/>
            </w:tcBorders>
          </w:tcPr>
          <w:p w14:paraId="5B723B4F" w14:textId="77777777" w:rsidR="005E2B87" w:rsidRDefault="005E2B87" w:rsidP="005E2B87">
            <w:r>
              <w:t>Slide 4</w:t>
            </w:r>
          </w:p>
          <w:p w14:paraId="4CAEC8CC" w14:textId="6783776D" w:rsidR="005E2B87" w:rsidRDefault="000D79C0" w:rsidP="005E2B87">
            <w:pPr>
              <w:autoSpaceDE w:val="0"/>
              <w:autoSpaceDN w:val="0"/>
              <w:adjustRightInd w:val="0"/>
              <w:spacing w:after="0" w:line="240" w:lineRule="auto"/>
              <w:rPr>
                <w:rFonts w:cs="Calibri"/>
                <w:kern w:val="24"/>
                <w:sz w:val="24"/>
                <w:szCs w:val="24"/>
              </w:rPr>
            </w:pPr>
            <w:r>
              <w:rPr>
                <w:noProof/>
              </w:rPr>
              <w:drawing>
                <wp:inline distT="0" distB="0" distL="0" distR="0" wp14:anchorId="39896C29" wp14:editId="48EE4DF3">
                  <wp:extent cx="1821485" cy="1364307"/>
                  <wp:effectExtent l="19050" t="19050" r="26670" b="2667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0"/>
                          <a:stretch>
                            <a:fillRect/>
                          </a:stretch>
                        </pic:blipFill>
                        <pic:spPr>
                          <a:xfrm>
                            <a:off x="0" y="0"/>
                            <a:ext cx="1824227" cy="1366360"/>
                          </a:xfrm>
                          <a:prstGeom prst="rect">
                            <a:avLst/>
                          </a:prstGeom>
                          <a:ln>
                            <a:solidFill>
                              <a:schemeClr val="tx1"/>
                            </a:solidFill>
                          </a:ln>
                        </pic:spPr>
                      </pic:pic>
                    </a:graphicData>
                  </a:graphic>
                </wp:inline>
              </w:drawing>
            </w:r>
          </w:p>
        </w:tc>
      </w:tr>
      <w:tr w:rsidR="005E2B87" w14:paraId="25D68096" w14:textId="685A0C01"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1201BD8B" w14:textId="31622042"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Returning to the </w:t>
            </w:r>
            <w:r w:rsidR="00184337">
              <w:rPr>
                <w:rFonts w:ascii="Calibri" w:hAnsi="Calibri" w:cs="Calibri"/>
                <w:kern w:val="24"/>
                <w:sz w:val="24"/>
                <w:szCs w:val="24"/>
              </w:rPr>
              <w:t>c</w:t>
            </w:r>
            <w:r>
              <w:rPr>
                <w:rFonts w:ascii="Calibri" w:hAnsi="Calibri" w:cs="Calibri"/>
                <w:kern w:val="24"/>
                <w:sz w:val="24"/>
                <w:szCs w:val="24"/>
              </w:rPr>
              <w:t>ase of Ms. Allen, one must evaluate her for signs and symptoms of CAUTI. Does she have symptoms suggestive of a CAUTI</w:t>
            </w:r>
            <w:r w:rsidR="00184337">
              <w:rPr>
                <w:rFonts w:ascii="Calibri" w:hAnsi="Calibri" w:cs="Calibri"/>
                <w:kern w:val="24"/>
                <w:sz w:val="24"/>
                <w:szCs w:val="24"/>
              </w:rPr>
              <w:t>,</w:t>
            </w:r>
            <w:r>
              <w:rPr>
                <w:rFonts w:ascii="Calibri" w:hAnsi="Calibri" w:cs="Calibri"/>
                <w:kern w:val="24"/>
                <w:sz w:val="24"/>
                <w:szCs w:val="24"/>
              </w:rPr>
              <w:t xml:space="preserve"> including flank pain or CVA (costovertebral angle) tenderness, presence of acute hematuria</w:t>
            </w:r>
            <w:r w:rsidR="00184337">
              <w:rPr>
                <w:rFonts w:ascii="Calibri" w:hAnsi="Calibri" w:cs="Calibri"/>
                <w:kern w:val="24"/>
                <w:sz w:val="24"/>
                <w:szCs w:val="24"/>
              </w:rPr>
              <w:t>,</w:t>
            </w:r>
            <w:r>
              <w:rPr>
                <w:rFonts w:ascii="Calibri" w:hAnsi="Calibri" w:cs="Calibri"/>
                <w:kern w:val="24"/>
                <w:sz w:val="24"/>
                <w:szCs w:val="24"/>
              </w:rPr>
              <w:t xml:space="preserve"> or new pelvic discomfort of pain</w:t>
            </w:r>
            <w:r w:rsidR="00184337">
              <w:rPr>
                <w:rFonts w:ascii="Calibri" w:hAnsi="Calibri" w:cs="Calibri"/>
                <w:kern w:val="24"/>
                <w:sz w:val="24"/>
                <w:szCs w:val="24"/>
              </w:rPr>
              <w:t>?</w:t>
            </w:r>
            <w:r>
              <w:rPr>
                <w:rFonts w:ascii="Calibri" w:hAnsi="Calibri" w:cs="Calibri"/>
                <w:kern w:val="24"/>
                <w:sz w:val="24"/>
                <w:szCs w:val="24"/>
              </w:rPr>
              <w:t xml:space="preserve"> </w:t>
            </w:r>
          </w:p>
          <w:p w14:paraId="67D14B0B"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6338E51F" w14:textId="1C7C5726"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Does she have a new onset or worsening of sepsis without evidence of another source from the history, physical exam</w:t>
            </w:r>
            <w:r w:rsidR="008F1A28">
              <w:rPr>
                <w:rFonts w:ascii="Calibri" w:hAnsi="Calibri" w:cs="Calibri"/>
                <w:kern w:val="24"/>
                <w:sz w:val="24"/>
                <w:szCs w:val="24"/>
              </w:rPr>
              <w:t>,</w:t>
            </w:r>
            <w:r>
              <w:rPr>
                <w:rFonts w:ascii="Calibri" w:hAnsi="Calibri" w:cs="Calibri"/>
                <w:kern w:val="24"/>
                <w:sz w:val="24"/>
                <w:szCs w:val="24"/>
              </w:rPr>
              <w:t xml:space="preserve"> or labs</w:t>
            </w:r>
            <w:r w:rsidR="008F1A28">
              <w:rPr>
                <w:rFonts w:ascii="Calibri" w:hAnsi="Calibri" w:cs="Calibri"/>
                <w:kern w:val="24"/>
                <w:sz w:val="24"/>
                <w:szCs w:val="24"/>
              </w:rPr>
              <w:t>?</w:t>
            </w:r>
            <w:r>
              <w:rPr>
                <w:rFonts w:ascii="Calibri" w:hAnsi="Calibri" w:cs="Calibri"/>
                <w:kern w:val="24"/>
                <w:sz w:val="24"/>
                <w:szCs w:val="24"/>
              </w:rPr>
              <w:t xml:space="preserve"> Is she experiencing a fever or altered mental status without another source by history, physical exam</w:t>
            </w:r>
            <w:r w:rsidR="008F1A28">
              <w:rPr>
                <w:rFonts w:ascii="Calibri" w:hAnsi="Calibri" w:cs="Calibri"/>
                <w:kern w:val="24"/>
                <w:sz w:val="24"/>
                <w:szCs w:val="24"/>
              </w:rPr>
              <w:t>,</w:t>
            </w:r>
            <w:r>
              <w:rPr>
                <w:rFonts w:ascii="Calibri" w:hAnsi="Calibri" w:cs="Calibri"/>
                <w:kern w:val="24"/>
                <w:sz w:val="24"/>
                <w:szCs w:val="24"/>
              </w:rPr>
              <w:t xml:space="preserve"> or labs? Lastly, in spinal cord patients similar to her, does she demonstrate increased spasticity, autonomic dysreflexia</w:t>
            </w:r>
            <w:r w:rsidR="008F1A28">
              <w:rPr>
                <w:rFonts w:ascii="Calibri" w:hAnsi="Calibri" w:cs="Calibri"/>
                <w:kern w:val="24"/>
                <w:sz w:val="24"/>
                <w:szCs w:val="24"/>
              </w:rPr>
              <w:t>,</w:t>
            </w:r>
            <w:r>
              <w:rPr>
                <w:rFonts w:ascii="Calibri" w:hAnsi="Calibri" w:cs="Calibri"/>
                <w:kern w:val="24"/>
                <w:sz w:val="24"/>
                <w:szCs w:val="24"/>
              </w:rPr>
              <w:t xml:space="preserve"> or a sense of unease? </w:t>
            </w:r>
          </w:p>
          <w:p w14:paraId="18BAC755"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2ADAC579" w14:textId="60771CF7"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addition—it is important to note that patients whose catheters have been recently removed can experience dysuria, urgency, or frequency.</w:t>
            </w:r>
          </w:p>
        </w:tc>
        <w:tc>
          <w:tcPr>
            <w:tcW w:w="3240" w:type="dxa"/>
            <w:tcBorders>
              <w:top w:val="single" w:sz="4" w:space="0" w:color="auto"/>
              <w:left w:val="single" w:sz="4" w:space="0" w:color="auto"/>
              <w:bottom w:val="single" w:sz="4" w:space="0" w:color="auto"/>
              <w:right w:val="single" w:sz="4" w:space="0" w:color="auto"/>
            </w:tcBorders>
          </w:tcPr>
          <w:p w14:paraId="59AC2A07" w14:textId="77777777" w:rsidR="005E2B87" w:rsidRDefault="005E2B87" w:rsidP="005E2B87">
            <w:r>
              <w:lastRenderedPageBreak/>
              <w:t>Slide 5</w:t>
            </w:r>
          </w:p>
          <w:p w14:paraId="618B70A8" w14:textId="7CD1DEC6" w:rsidR="005E2B87" w:rsidRDefault="000D79C0" w:rsidP="005E2B87">
            <w:pPr>
              <w:autoSpaceDE w:val="0"/>
              <w:autoSpaceDN w:val="0"/>
              <w:adjustRightInd w:val="0"/>
              <w:spacing w:after="0" w:line="240" w:lineRule="auto"/>
              <w:rPr>
                <w:rFonts w:cs="Calibri"/>
                <w:kern w:val="24"/>
                <w:sz w:val="24"/>
                <w:szCs w:val="24"/>
              </w:rPr>
            </w:pPr>
            <w:r>
              <w:rPr>
                <w:noProof/>
              </w:rPr>
              <w:lastRenderedPageBreak/>
              <w:drawing>
                <wp:inline distT="0" distB="0" distL="0" distR="0" wp14:anchorId="1A5C52A9" wp14:editId="7931522B">
                  <wp:extent cx="1836144" cy="1382573"/>
                  <wp:effectExtent l="19050" t="19050" r="12065" b="2730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1"/>
                          <a:stretch>
                            <a:fillRect/>
                          </a:stretch>
                        </pic:blipFill>
                        <pic:spPr>
                          <a:xfrm>
                            <a:off x="0" y="0"/>
                            <a:ext cx="1841157" cy="1386348"/>
                          </a:xfrm>
                          <a:prstGeom prst="rect">
                            <a:avLst/>
                          </a:prstGeom>
                          <a:ln>
                            <a:solidFill>
                              <a:schemeClr val="tx1"/>
                            </a:solidFill>
                          </a:ln>
                        </pic:spPr>
                      </pic:pic>
                    </a:graphicData>
                  </a:graphic>
                </wp:inline>
              </w:drawing>
            </w:r>
          </w:p>
        </w:tc>
      </w:tr>
      <w:tr w:rsidR="005E2B87" w14:paraId="3AB67BAC" w14:textId="3D6DC542"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073E1AF8" w14:textId="6928181B"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 xml:space="preserve">In contrast, the appearance or odor of urine does not suggest the presence of CAUTI. This includes color, smell, urine cloudiness, or sediment. </w:t>
            </w:r>
          </w:p>
          <w:p w14:paraId="749D5650"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53053110" w14:textId="3AE508D2"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Pyuria is also not predictive of urine infection. Pyuria, or pus in the urine, does not distinguish between ASB and CAUTI. Pyuria is nonspecific and can be caused by other things such as the catheter itself, bladder distension, or the presence of asymptomatic bacteriuria. As stated previously, with the rate of colonization of the catheter at 3</w:t>
            </w:r>
            <w:r w:rsidR="008F1A28">
              <w:rPr>
                <w:rFonts w:ascii="Calibri" w:hAnsi="Calibri" w:cs="Calibri"/>
                <w:kern w:val="24"/>
                <w:sz w:val="24"/>
                <w:szCs w:val="24"/>
              </w:rPr>
              <w:t xml:space="preserve"> to </w:t>
            </w:r>
            <w:r>
              <w:rPr>
                <w:rFonts w:ascii="Calibri" w:hAnsi="Calibri" w:cs="Calibri"/>
                <w:kern w:val="24"/>
                <w:sz w:val="24"/>
                <w:szCs w:val="24"/>
              </w:rPr>
              <w:t>6</w:t>
            </w:r>
            <w:r w:rsidR="008F1A28">
              <w:rPr>
                <w:rFonts w:ascii="Calibri" w:hAnsi="Calibri" w:cs="Calibri"/>
                <w:kern w:val="24"/>
                <w:sz w:val="24"/>
                <w:szCs w:val="24"/>
              </w:rPr>
              <w:t xml:space="preserve"> percent</w:t>
            </w:r>
            <w:r>
              <w:rPr>
                <w:rFonts w:ascii="Calibri" w:hAnsi="Calibri" w:cs="Calibri"/>
                <w:kern w:val="24"/>
                <w:sz w:val="24"/>
                <w:szCs w:val="24"/>
              </w:rPr>
              <w:t xml:space="preserve"> per day, the presence of asymptomatic bacteriuria increases daily with almost all patients’ catheters colonized </w:t>
            </w:r>
            <w:r w:rsidR="00F76DBA">
              <w:rPr>
                <w:rFonts w:ascii="Calibri" w:hAnsi="Calibri" w:cs="Calibri"/>
                <w:kern w:val="24"/>
                <w:sz w:val="24"/>
                <w:szCs w:val="24"/>
              </w:rPr>
              <w:t>for the first</w:t>
            </w:r>
            <w:r>
              <w:rPr>
                <w:rFonts w:ascii="Calibri" w:hAnsi="Calibri" w:cs="Calibri"/>
                <w:kern w:val="24"/>
                <w:sz w:val="24"/>
                <w:szCs w:val="24"/>
              </w:rPr>
              <w:t xml:space="preserve"> month. Thus</w:t>
            </w:r>
            <w:r w:rsidR="008F1A28">
              <w:rPr>
                <w:rFonts w:ascii="Calibri" w:hAnsi="Calibri" w:cs="Calibri"/>
                <w:kern w:val="24"/>
                <w:sz w:val="24"/>
                <w:szCs w:val="24"/>
              </w:rPr>
              <w:t>,</w:t>
            </w:r>
            <w:r>
              <w:rPr>
                <w:rFonts w:ascii="Calibri" w:hAnsi="Calibri" w:cs="Calibri"/>
                <w:kern w:val="24"/>
                <w:sz w:val="24"/>
                <w:szCs w:val="24"/>
              </w:rPr>
              <w:t xml:space="preserve"> the presence, absence, or degree of pyuria should not be used to differentiate ASB from CAUTI.</w:t>
            </w:r>
          </w:p>
          <w:p w14:paraId="09382708"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4A3E06D1" w14:textId="77777777"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Because bacteriuria should not be treated in the absence of symptoms, none of these findings should trigger a urine culture, and patients should NOT be screened for CAUTI on admission to the hospital or ICU or when a new catheter is put in place.</w:t>
            </w:r>
          </w:p>
          <w:p w14:paraId="48986082"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741A9441" w14:textId="549F07C5"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One strategy to eliminate the last inappropriate trigger is to request that specimen containers be removed from the </w:t>
            </w:r>
            <w:r w:rsidR="006A2EE1">
              <w:rPr>
                <w:rFonts w:ascii="Calibri" w:hAnsi="Calibri" w:cs="Calibri"/>
                <w:kern w:val="24"/>
                <w:sz w:val="24"/>
                <w:szCs w:val="24"/>
              </w:rPr>
              <w:t xml:space="preserve">catheter </w:t>
            </w:r>
            <w:r>
              <w:rPr>
                <w:rFonts w:ascii="Calibri" w:hAnsi="Calibri" w:cs="Calibri"/>
                <w:kern w:val="24"/>
                <w:sz w:val="24"/>
                <w:szCs w:val="24"/>
              </w:rPr>
              <w:t>insertion kits to help prevent a culture from being obtained.</w:t>
            </w:r>
          </w:p>
        </w:tc>
        <w:tc>
          <w:tcPr>
            <w:tcW w:w="3240" w:type="dxa"/>
            <w:tcBorders>
              <w:top w:val="single" w:sz="4" w:space="0" w:color="auto"/>
              <w:left w:val="single" w:sz="4" w:space="0" w:color="auto"/>
              <w:bottom w:val="single" w:sz="4" w:space="0" w:color="auto"/>
              <w:right w:val="single" w:sz="4" w:space="0" w:color="auto"/>
            </w:tcBorders>
          </w:tcPr>
          <w:p w14:paraId="6AD78DC5" w14:textId="77777777" w:rsidR="005E2B87" w:rsidRDefault="005E2B87" w:rsidP="005E2B87">
            <w:r>
              <w:t>Slide 6</w:t>
            </w:r>
          </w:p>
          <w:p w14:paraId="373541DB" w14:textId="71F80924" w:rsidR="005E2B87" w:rsidRDefault="000D79C0" w:rsidP="005E2B87">
            <w:pPr>
              <w:autoSpaceDE w:val="0"/>
              <w:autoSpaceDN w:val="0"/>
              <w:adjustRightInd w:val="0"/>
              <w:spacing w:after="0" w:line="240" w:lineRule="auto"/>
              <w:rPr>
                <w:rFonts w:cs="Calibri"/>
                <w:kern w:val="24"/>
                <w:sz w:val="24"/>
                <w:szCs w:val="24"/>
              </w:rPr>
            </w:pPr>
            <w:r>
              <w:rPr>
                <w:noProof/>
              </w:rPr>
              <w:drawing>
                <wp:inline distT="0" distB="0" distL="0" distR="0" wp14:anchorId="5383A93B" wp14:editId="742A353A">
                  <wp:extent cx="1845058" cy="1382573"/>
                  <wp:effectExtent l="19050" t="19050" r="22225" b="2730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2"/>
                          <a:stretch>
                            <a:fillRect/>
                          </a:stretch>
                        </pic:blipFill>
                        <pic:spPr>
                          <a:xfrm>
                            <a:off x="0" y="0"/>
                            <a:ext cx="1853439" cy="1388853"/>
                          </a:xfrm>
                          <a:prstGeom prst="rect">
                            <a:avLst/>
                          </a:prstGeom>
                          <a:ln>
                            <a:solidFill>
                              <a:schemeClr val="tx1"/>
                            </a:solidFill>
                          </a:ln>
                        </pic:spPr>
                      </pic:pic>
                    </a:graphicData>
                  </a:graphic>
                </wp:inline>
              </w:drawing>
            </w:r>
          </w:p>
        </w:tc>
      </w:tr>
      <w:tr w:rsidR="005E2B87" w14:paraId="10EDD68D" w14:textId="112C2FF9"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2F7E850A" w14:textId="23F23667"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a study examining knowledge and practices of physicians and nurses related to urine cultures in catheterized patients in an academic center and community hospital, over a 2-year period, the investigators </w:t>
            </w:r>
            <w:r w:rsidRPr="00751324">
              <w:rPr>
                <w:rFonts w:ascii="Calibri" w:hAnsi="Calibri" w:cs="Calibri"/>
                <w:kern w:val="24"/>
                <w:sz w:val="24"/>
                <w:szCs w:val="24"/>
              </w:rPr>
              <w:t xml:space="preserve">identified </w:t>
            </w:r>
            <w:r>
              <w:rPr>
                <w:rFonts w:ascii="Calibri" w:hAnsi="Calibri" w:cs="Calibri"/>
                <w:kern w:val="24"/>
                <w:sz w:val="24"/>
                <w:szCs w:val="24"/>
              </w:rPr>
              <w:t>184 CAUTIs</w:t>
            </w:r>
            <w:r w:rsidR="008F1A28">
              <w:rPr>
                <w:rFonts w:ascii="Calibri" w:hAnsi="Calibri" w:cs="Calibri"/>
                <w:kern w:val="24"/>
                <w:sz w:val="24"/>
                <w:szCs w:val="24"/>
              </w:rPr>
              <w:t>,</w:t>
            </w:r>
            <w:r>
              <w:rPr>
                <w:rFonts w:ascii="Calibri" w:hAnsi="Calibri" w:cs="Calibri"/>
                <w:kern w:val="24"/>
                <w:sz w:val="24"/>
                <w:szCs w:val="24"/>
              </w:rPr>
              <w:t xml:space="preserve"> of which 86</w:t>
            </w:r>
            <w:r w:rsidR="008F1A28">
              <w:rPr>
                <w:rFonts w:ascii="Calibri" w:hAnsi="Calibri" w:cs="Calibri"/>
                <w:kern w:val="24"/>
                <w:sz w:val="24"/>
                <w:szCs w:val="24"/>
              </w:rPr>
              <w:t xml:space="preserve"> percent</w:t>
            </w:r>
            <w:r>
              <w:rPr>
                <w:rFonts w:ascii="Calibri" w:hAnsi="Calibri" w:cs="Calibri"/>
                <w:kern w:val="24"/>
                <w:sz w:val="24"/>
                <w:szCs w:val="24"/>
              </w:rPr>
              <w:t xml:space="preserve"> of th</w:t>
            </w:r>
            <w:r w:rsidR="00755FD4">
              <w:rPr>
                <w:rFonts w:ascii="Calibri" w:hAnsi="Calibri" w:cs="Calibri"/>
                <w:kern w:val="24"/>
                <w:sz w:val="24"/>
                <w:szCs w:val="24"/>
              </w:rPr>
              <w:t>ese CAUTI cases, the cultures</w:t>
            </w:r>
            <w:r>
              <w:rPr>
                <w:rFonts w:ascii="Calibri" w:hAnsi="Calibri" w:cs="Calibri"/>
                <w:kern w:val="24"/>
                <w:sz w:val="24"/>
                <w:szCs w:val="24"/>
              </w:rPr>
              <w:t xml:space="preserve"> were ordered inappropriately. </w:t>
            </w:r>
          </w:p>
          <w:p w14:paraId="23C29A4A"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7BA5D18F" w14:textId="7A29D892" w:rsidR="005E2B87" w:rsidRDefault="008F1A28"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Sixty-two percent</w:t>
            </w:r>
            <w:r w:rsidR="005E2B87">
              <w:rPr>
                <w:rFonts w:ascii="Calibri" w:hAnsi="Calibri" w:cs="Calibri"/>
                <w:kern w:val="24"/>
                <w:sz w:val="24"/>
                <w:szCs w:val="24"/>
              </w:rPr>
              <w:t xml:space="preserve"> of cultures were obtained through pan culturing practices rather than symptom</w:t>
            </w:r>
            <w:r>
              <w:rPr>
                <w:rFonts w:ascii="Calibri" w:hAnsi="Calibri" w:cs="Calibri"/>
                <w:kern w:val="24"/>
                <w:sz w:val="24"/>
                <w:szCs w:val="24"/>
              </w:rPr>
              <w:t>-</w:t>
            </w:r>
            <w:r w:rsidR="005E2B87">
              <w:rPr>
                <w:rFonts w:ascii="Calibri" w:hAnsi="Calibri" w:cs="Calibri"/>
                <w:kern w:val="24"/>
                <w:sz w:val="24"/>
                <w:szCs w:val="24"/>
              </w:rPr>
              <w:t xml:space="preserve">directed testing. </w:t>
            </w:r>
          </w:p>
          <w:p w14:paraId="2365627F" w14:textId="326653EC"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When physicians and nurses were surveyed as to what prompted urine culture ordering, appearance and odor drove nurses to request a urine culture between 61 and 74</w:t>
            </w:r>
            <w:r w:rsidR="008F1A28">
              <w:rPr>
                <w:rFonts w:ascii="Calibri" w:hAnsi="Calibri" w:cs="Calibri"/>
                <w:kern w:val="24"/>
                <w:sz w:val="24"/>
                <w:szCs w:val="24"/>
              </w:rPr>
              <w:t xml:space="preserve"> percent</w:t>
            </w:r>
            <w:r>
              <w:rPr>
                <w:rFonts w:ascii="Calibri" w:hAnsi="Calibri" w:cs="Calibri"/>
                <w:kern w:val="24"/>
                <w:sz w:val="24"/>
                <w:szCs w:val="24"/>
              </w:rPr>
              <w:t xml:space="preserve"> of the time. </w:t>
            </w:r>
          </w:p>
          <w:p w14:paraId="03806C3F"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3F393688" w14:textId="73F9FAD0"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With physicians, presence of dysuria and/or pain while catheterized and presence of WBC in the UA drove culture decisions. Both nurses and physician equally used pan culturing or including urine </w:t>
            </w:r>
            <w:r w:rsidR="00F76DBA">
              <w:rPr>
                <w:rFonts w:ascii="Calibri" w:hAnsi="Calibri" w:cs="Calibri"/>
                <w:kern w:val="24"/>
                <w:sz w:val="24"/>
                <w:szCs w:val="24"/>
              </w:rPr>
              <w:t xml:space="preserve">along </w:t>
            </w:r>
            <w:r>
              <w:rPr>
                <w:rFonts w:ascii="Calibri" w:hAnsi="Calibri" w:cs="Calibri"/>
                <w:kern w:val="24"/>
                <w:sz w:val="24"/>
                <w:szCs w:val="24"/>
              </w:rPr>
              <w:t>with blood and sputum versus focus</w:t>
            </w:r>
            <w:r w:rsidR="00F76DBA">
              <w:rPr>
                <w:rFonts w:ascii="Calibri" w:hAnsi="Calibri" w:cs="Calibri"/>
                <w:kern w:val="24"/>
                <w:sz w:val="24"/>
                <w:szCs w:val="24"/>
              </w:rPr>
              <w:t>ing</w:t>
            </w:r>
            <w:r>
              <w:rPr>
                <w:rFonts w:ascii="Calibri" w:hAnsi="Calibri" w:cs="Calibri"/>
                <w:kern w:val="24"/>
                <w:sz w:val="24"/>
                <w:szCs w:val="24"/>
              </w:rPr>
              <w:t xml:space="preserve"> on patient</w:t>
            </w:r>
            <w:r w:rsidR="008F1A28">
              <w:rPr>
                <w:rFonts w:ascii="Calibri" w:hAnsi="Calibri" w:cs="Calibri"/>
                <w:kern w:val="24"/>
                <w:sz w:val="24"/>
                <w:szCs w:val="24"/>
              </w:rPr>
              <w:t>-</w:t>
            </w:r>
            <w:r>
              <w:rPr>
                <w:rFonts w:ascii="Calibri" w:hAnsi="Calibri" w:cs="Calibri"/>
                <w:kern w:val="24"/>
                <w:sz w:val="24"/>
                <w:szCs w:val="24"/>
              </w:rPr>
              <w:t xml:space="preserve">specific symptoms </w:t>
            </w:r>
            <w:r w:rsidR="008F1A28">
              <w:rPr>
                <w:rFonts w:ascii="Calibri" w:hAnsi="Calibri" w:cs="Calibri"/>
                <w:kern w:val="24"/>
                <w:sz w:val="24"/>
                <w:szCs w:val="24"/>
              </w:rPr>
              <w:t>of</w:t>
            </w:r>
            <w:r>
              <w:rPr>
                <w:rFonts w:ascii="Calibri" w:hAnsi="Calibri" w:cs="Calibri"/>
                <w:kern w:val="24"/>
                <w:sz w:val="24"/>
                <w:szCs w:val="24"/>
              </w:rPr>
              <w:t xml:space="preserve"> a CAUTI.</w:t>
            </w:r>
          </w:p>
        </w:tc>
        <w:tc>
          <w:tcPr>
            <w:tcW w:w="3240" w:type="dxa"/>
            <w:tcBorders>
              <w:top w:val="single" w:sz="4" w:space="0" w:color="auto"/>
              <w:left w:val="single" w:sz="4" w:space="0" w:color="auto"/>
              <w:bottom w:val="single" w:sz="4" w:space="0" w:color="auto"/>
              <w:right w:val="single" w:sz="4" w:space="0" w:color="auto"/>
            </w:tcBorders>
          </w:tcPr>
          <w:p w14:paraId="77F9432B" w14:textId="77777777" w:rsidR="005E2B87" w:rsidRDefault="005E2B87" w:rsidP="005E2B87">
            <w:r>
              <w:lastRenderedPageBreak/>
              <w:t>Slide 7</w:t>
            </w:r>
          </w:p>
          <w:p w14:paraId="67392CE2" w14:textId="3BCF35AF" w:rsidR="005E2B87" w:rsidRDefault="00104ABE" w:rsidP="005E2B87">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2725C15B" wp14:editId="1248EAC8">
                  <wp:extent cx="1838325" cy="1381125"/>
                  <wp:effectExtent l="19050" t="19050" r="28575" b="2857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5E2B87" w14:paraId="18AA956C" w14:textId="177BDA9B"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3EA9DB23" w14:textId="62C8D455" w:rsidR="005E2B87" w:rsidRDefault="005E2B87" w:rsidP="005E2B87">
            <w:pPr>
              <w:autoSpaceDE w:val="0"/>
              <w:autoSpaceDN w:val="0"/>
              <w:adjustRightInd w:val="0"/>
              <w:spacing w:after="0" w:line="240" w:lineRule="auto"/>
              <w:rPr>
                <w:rFonts w:ascii="Calibri" w:hAnsi="Calibri" w:cs="Calibri"/>
                <w:kern w:val="24"/>
                <w:sz w:val="24"/>
                <w:szCs w:val="24"/>
              </w:rPr>
            </w:pPr>
            <w:r w:rsidRPr="00DC5EC5">
              <w:rPr>
                <w:rFonts w:ascii="Calibri" w:hAnsi="Calibri" w:cs="Calibri"/>
                <w:kern w:val="24"/>
                <w:sz w:val="24"/>
                <w:szCs w:val="24"/>
              </w:rPr>
              <w:t>When making decision</w:t>
            </w:r>
            <w:r>
              <w:rPr>
                <w:rFonts w:ascii="Calibri" w:hAnsi="Calibri" w:cs="Calibri"/>
                <w:kern w:val="24"/>
                <w:sz w:val="24"/>
                <w:szCs w:val="24"/>
              </w:rPr>
              <w:t>s</w:t>
            </w:r>
            <w:r w:rsidRPr="00DC5EC5">
              <w:rPr>
                <w:rFonts w:ascii="Calibri" w:hAnsi="Calibri" w:cs="Calibri"/>
                <w:kern w:val="24"/>
                <w:sz w:val="24"/>
                <w:szCs w:val="24"/>
              </w:rPr>
              <w:t xml:space="preserve"> about whether to culture urine in the event of </w:t>
            </w:r>
            <w:r>
              <w:rPr>
                <w:rFonts w:ascii="Calibri" w:hAnsi="Calibri" w:cs="Calibri"/>
                <w:kern w:val="24"/>
                <w:sz w:val="24"/>
                <w:szCs w:val="24"/>
              </w:rPr>
              <w:t>a new fever in an adult patient in the ICU who has previously been afebrile and in whom the source of fever is not initially obvious, it is important to understand that catheter-associated bacteriuria usually represents colonization</w:t>
            </w:r>
            <w:r w:rsidR="008F1A28">
              <w:rPr>
                <w:rFonts w:ascii="Calibri" w:hAnsi="Calibri" w:cs="Calibri"/>
                <w:kern w:val="24"/>
                <w:sz w:val="24"/>
                <w:szCs w:val="24"/>
              </w:rPr>
              <w:t>. I</w:t>
            </w:r>
            <w:r>
              <w:rPr>
                <w:rFonts w:ascii="Calibri" w:hAnsi="Calibri" w:cs="Calibri"/>
                <w:kern w:val="24"/>
                <w:sz w:val="24"/>
                <w:szCs w:val="24"/>
              </w:rPr>
              <w:t xml:space="preserve">t is rarely symptomatic and rarely the cause of fever or secondary blood-stream infection, even in immunocompromised patients. This is true unless there is urinary obstruction or if the patient has had recent urologic manipulation or surgery, or the patient is </w:t>
            </w:r>
            <w:proofErr w:type="spellStart"/>
            <w:r>
              <w:rPr>
                <w:rFonts w:ascii="Calibri" w:hAnsi="Calibri" w:cs="Calibri"/>
                <w:kern w:val="24"/>
                <w:sz w:val="24"/>
                <w:szCs w:val="24"/>
              </w:rPr>
              <w:t>granulocytopenic</w:t>
            </w:r>
            <w:proofErr w:type="spellEnd"/>
            <w:r>
              <w:rPr>
                <w:rFonts w:ascii="Calibri" w:hAnsi="Calibri" w:cs="Calibri"/>
                <w:kern w:val="24"/>
                <w:sz w:val="24"/>
                <w:szCs w:val="24"/>
              </w:rPr>
              <w:t>.</w:t>
            </w:r>
            <w:r w:rsidDel="00350DD9">
              <w:rPr>
                <w:rFonts w:ascii="Calibri" w:hAnsi="Calibri" w:cs="Calibri"/>
                <w:kern w:val="24"/>
                <w:sz w:val="24"/>
                <w:szCs w:val="24"/>
              </w:rPr>
              <w:t xml:space="preserve"> </w:t>
            </w:r>
          </w:p>
          <w:p w14:paraId="1548B32C"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210E5037" w14:textId="77777777"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Symptoms of UTI are rarely reported in ICU patients, which can be a barrier to patient evaluation for UTI.</w:t>
            </w:r>
          </w:p>
          <w:p w14:paraId="3D280E6B"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752E9F85" w14:textId="5817ED21"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Therefore, if sepsis is suspected without a clear source, a urine culture may be appropriate because CAUTI is often a diagnosis of exclusion in such situations, and in most ICUs, UTIs are related to urinary catheters. </w:t>
            </w:r>
          </w:p>
        </w:tc>
        <w:tc>
          <w:tcPr>
            <w:tcW w:w="3240" w:type="dxa"/>
            <w:tcBorders>
              <w:top w:val="single" w:sz="4" w:space="0" w:color="auto"/>
              <w:left w:val="single" w:sz="4" w:space="0" w:color="auto"/>
              <w:bottom w:val="single" w:sz="4" w:space="0" w:color="auto"/>
              <w:right w:val="single" w:sz="4" w:space="0" w:color="auto"/>
            </w:tcBorders>
          </w:tcPr>
          <w:p w14:paraId="6D15EF5A" w14:textId="77777777" w:rsidR="005E2B87" w:rsidRDefault="005E2B87" w:rsidP="005E2B87">
            <w:r>
              <w:t>Slide 8</w:t>
            </w:r>
          </w:p>
          <w:p w14:paraId="057E337F" w14:textId="3EC12D79" w:rsidR="005E2B87" w:rsidRDefault="00104ABE" w:rsidP="005E2B87">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28B00288" wp14:editId="1263C61D">
                  <wp:extent cx="1838325" cy="1381125"/>
                  <wp:effectExtent l="19050" t="19050" r="28575" b="2857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5E2B87" w14:paraId="3389B792" w14:textId="558A31AD" w:rsidTr="000D79C0">
        <w:trPr>
          <w:trHeight w:val="800"/>
        </w:trPr>
        <w:tc>
          <w:tcPr>
            <w:tcW w:w="6655" w:type="dxa"/>
            <w:tcBorders>
              <w:top w:val="single" w:sz="4" w:space="0" w:color="auto"/>
              <w:left w:val="single" w:sz="4" w:space="0" w:color="auto"/>
              <w:bottom w:val="single" w:sz="4" w:space="0" w:color="auto"/>
              <w:right w:val="single" w:sz="4" w:space="0" w:color="auto"/>
            </w:tcBorders>
          </w:tcPr>
          <w:p w14:paraId="7C187122" w14:textId="13F22AC8"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With a greater understanding of how and why inappropriate cultures are ordered and why it is important to decide to culture based on a patient's clinical signs and symptoms</w:t>
            </w:r>
            <w:r w:rsidR="008F1A28">
              <w:rPr>
                <w:rFonts w:ascii="Calibri" w:hAnsi="Calibri" w:cs="Calibri"/>
                <w:kern w:val="24"/>
                <w:sz w:val="24"/>
                <w:szCs w:val="24"/>
              </w:rPr>
              <w:t>,</w:t>
            </w:r>
            <w:r>
              <w:rPr>
                <w:rFonts w:ascii="Calibri" w:hAnsi="Calibri" w:cs="Calibri"/>
                <w:kern w:val="24"/>
                <w:sz w:val="24"/>
                <w:szCs w:val="24"/>
              </w:rPr>
              <w:t xml:space="preserve"> it becomes necessary to incorporate both technical and socio-adaptive strategies into your diagnostic stewardship program.</w:t>
            </w:r>
          </w:p>
          <w:p w14:paraId="50B91765"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67C359C7" w14:textId="4D86ABF4"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first step is to develop unit or institutional evidence-based guidelines for UC indications, collection, processing</w:t>
            </w:r>
            <w:r w:rsidR="008F1A28">
              <w:rPr>
                <w:rFonts w:ascii="Calibri" w:hAnsi="Calibri" w:cs="Calibri"/>
                <w:kern w:val="24"/>
                <w:sz w:val="24"/>
                <w:szCs w:val="24"/>
              </w:rPr>
              <w:t>,</w:t>
            </w:r>
            <w:r>
              <w:rPr>
                <w:rFonts w:ascii="Calibri" w:hAnsi="Calibri" w:cs="Calibri"/>
                <w:kern w:val="24"/>
                <w:sz w:val="24"/>
                <w:szCs w:val="24"/>
              </w:rPr>
              <w:t xml:space="preserve"> and reporting of results. Once the ground rules are laid out, the next step is education of all providers and nurses on key components of the guideline. </w:t>
            </w:r>
          </w:p>
          <w:p w14:paraId="4C580A33"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61F9499B" w14:textId="06FB591B" w:rsidR="005E2B87" w:rsidRPr="000D79C0"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Active review of culture ordering and peer feedback is an effective </w:t>
            </w:r>
            <w:r w:rsidR="008F1A28">
              <w:rPr>
                <w:rFonts w:ascii="Calibri" w:hAnsi="Calibri" w:cs="Calibri"/>
                <w:kern w:val="24"/>
                <w:sz w:val="24"/>
                <w:szCs w:val="24"/>
              </w:rPr>
              <w:t>way</w:t>
            </w:r>
            <w:r>
              <w:rPr>
                <w:rFonts w:ascii="Calibri" w:hAnsi="Calibri" w:cs="Calibri"/>
                <w:kern w:val="24"/>
                <w:sz w:val="24"/>
                <w:szCs w:val="24"/>
              </w:rPr>
              <w:t xml:space="preserve"> to begin chang</w:t>
            </w:r>
            <w:r w:rsidR="008F1A28">
              <w:rPr>
                <w:rFonts w:ascii="Calibri" w:hAnsi="Calibri" w:cs="Calibri"/>
                <w:kern w:val="24"/>
                <w:sz w:val="24"/>
                <w:szCs w:val="24"/>
              </w:rPr>
              <w:t>ing</w:t>
            </w:r>
            <w:r>
              <w:rPr>
                <w:rFonts w:ascii="Calibri" w:hAnsi="Calibri" w:cs="Calibri"/>
                <w:kern w:val="24"/>
                <w:sz w:val="24"/>
                <w:szCs w:val="24"/>
              </w:rPr>
              <w:t xml:space="preserve"> orde</w:t>
            </w:r>
            <w:r w:rsidR="000D79C0">
              <w:rPr>
                <w:rFonts w:ascii="Calibri" w:hAnsi="Calibri" w:cs="Calibri"/>
                <w:kern w:val="24"/>
                <w:sz w:val="24"/>
                <w:szCs w:val="24"/>
              </w:rPr>
              <w:t>ring practices.</w:t>
            </w:r>
          </w:p>
        </w:tc>
        <w:tc>
          <w:tcPr>
            <w:tcW w:w="3240" w:type="dxa"/>
            <w:tcBorders>
              <w:top w:val="single" w:sz="4" w:space="0" w:color="auto"/>
              <w:left w:val="single" w:sz="4" w:space="0" w:color="auto"/>
              <w:bottom w:val="single" w:sz="4" w:space="0" w:color="auto"/>
              <w:right w:val="single" w:sz="4" w:space="0" w:color="auto"/>
            </w:tcBorders>
          </w:tcPr>
          <w:p w14:paraId="3E88970D" w14:textId="77777777" w:rsidR="005E2B87" w:rsidRDefault="005E2B87" w:rsidP="005E2B87">
            <w:r>
              <w:t>Slide 9</w:t>
            </w:r>
          </w:p>
          <w:p w14:paraId="31A0AFF0" w14:textId="4DB18E7A" w:rsidR="005E2B87" w:rsidRDefault="000D79C0" w:rsidP="005E2B87">
            <w:pPr>
              <w:autoSpaceDE w:val="0"/>
              <w:autoSpaceDN w:val="0"/>
              <w:adjustRightInd w:val="0"/>
              <w:spacing w:after="0" w:line="240" w:lineRule="auto"/>
              <w:rPr>
                <w:rFonts w:cs="Calibri"/>
                <w:kern w:val="24"/>
                <w:sz w:val="24"/>
                <w:szCs w:val="24"/>
              </w:rPr>
            </w:pPr>
            <w:r>
              <w:rPr>
                <w:noProof/>
              </w:rPr>
              <w:drawing>
                <wp:inline distT="0" distB="0" distL="0" distR="0" wp14:anchorId="2FB3AC66" wp14:editId="18B3F6A4">
                  <wp:extent cx="1828037" cy="1375258"/>
                  <wp:effectExtent l="19050" t="19050" r="20320" b="1587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5"/>
                          <a:stretch>
                            <a:fillRect/>
                          </a:stretch>
                        </pic:blipFill>
                        <pic:spPr>
                          <a:xfrm>
                            <a:off x="0" y="0"/>
                            <a:ext cx="1831433" cy="1377813"/>
                          </a:xfrm>
                          <a:prstGeom prst="rect">
                            <a:avLst/>
                          </a:prstGeom>
                          <a:ln>
                            <a:solidFill>
                              <a:schemeClr val="tx1"/>
                            </a:solidFill>
                          </a:ln>
                        </pic:spPr>
                      </pic:pic>
                    </a:graphicData>
                  </a:graphic>
                </wp:inline>
              </w:drawing>
            </w:r>
          </w:p>
        </w:tc>
      </w:tr>
      <w:tr w:rsidR="005E2B87" w14:paraId="6DBBFB0D" w14:textId="7C8A47DA"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2ADFB9CD" w14:textId="521F537E" w:rsidR="005E2B87" w:rsidRPr="00DC5EC5" w:rsidRDefault="005E2B87" w:rsidP="005E2B87">
            <w:pPr>
              <w:autoSpaceDE w:val="0"/>
              <w:autoSpaceDN w:val="0"/>
              <w:adjustRightInd w:val="0"/>
              <w:spacing w:after="0" w:line="240" w:lineRule="auto"/>
              <w:rPr>
                <w:rFonts w:ascii="Calibri" w:hAnsi="Calibri" w:cs="Calibri"/>
                <w:i/>
                <w:iCs/>
                <w:kern w:val="24"/>
                <w:sz w:val="40"/>
                <w:szCs w:val="40"/>
              </w:rPr>
            </w:pPr>
            <w:r>
              <w:rPr>
                <w:rFonts w:ascii="Calibri" w:hAnsi="Calibri" w:cs="Calibri"/>
                <w:kern w:val="24"/>
                <w:sz w:val="24"/>
                <w:szCs w:val="24"/>
              </w:rPr>
              <w:lastRenderedPageBreak/>
              <w:t xml:space="preserve">The slide shows an </w:t>
            </w:r>
            <w:hyperlink r:id="rId26" w:history="1">
              <w:r w:rsidRPr="00624C0C">
                <w:rPr>
                  <w:rStyle w:val="Hyperlink"/>
                  <w:rFonts w:ascii="Calibri" w:hAnsi="Calibri" w:cs="Calibri"/>
                  <w:kern w:val="24"/>
                  <w:sz w:val="24"/>
                  <w:szCs w:val="24"/>
                </w:rPr>
                <w:t>example tool</w:t>
              </w:r>
            </w:hyperlink>
            <w:r>
              <w:rPr>
                <w:rFonts w:ascii="Calibri" w:hAnsi="Calibri" w:cs="Calibri"/>
                <w:kern w:val="24"/>
                <w:sz w:val="24"/>
                <w:szCs w:val="24"/>
              </w:rPr>
              <w:t xml:space="preserve"> from the Massachusetts Coalition for the Prevention of Medical Errors project. This was created as a tool for emergency departments. </w:t>
            </w:r>
            <w:r w:rsidR="008F1A28">
              <w:rPr>
                <w:rFonts w:ascii="Calibri" w:hAnsi="Calibri" w:cs="Calibri"/>
                <w:kern w:val="24"/>
                <w:sz w:val="24"/>
                <w:szCs w:val="24"/>
              </w:rPr>
              <w:t>Underneath</w:t>
            </w:r>
            <w:r w:rsidR="00624C0C">
              <w:rPr>
                <w:rFonts w:ascii="Calibri" w:hAnsi="Calibri" w:cs="Calibri"/>
                <w:kern w:val="24"/>
                <w:sz w:val="24"/>
                <w:szCs w:val="24"/>
              </w:rPr>
              <w:t xml:space="preserve"> is an </w:t>
            </w:r>
            <w:hyperlink r:id="rId27" w:history="1">
              <w:r w:rsidR="00624C0C" w:rsidRPr="00624C0C">
                <w:rPr>
                  <w:rStyle w:val="Hyperlink"/>
                  <w:rFonts w:ascii="Calibri" w:hAnsi="Calibri" w:cs="Calibri"/>
                  <w:kern w:val="24"/>
                  <w:sz w:val="24"/>
                  <w:szCs w:val="24"/>
                </w:rPr>
                <w:t>infographic poster</w:t>
              </w:r>
            </w:hyperlink>
            <w:r w:rsidR="00624C0C">
              <w:rPr>
                <w:rFonts w:ascii="Calibri" w:hAnsi="Calibri" w:cs="Calibri"/>
                <w:kern w:val="24"/>
                <w:sz w:val="24"/>
                <w:szCs w:val="24"/>
              </w:rPr>
              <w:t xml:space="preserve"> from the AHRQ Toolkit for Reducing CAUTI in Hospitals. </w:t>
            </w:r>
            <w:r>
              <w:rPr>
                <w:rFonts w:ascii="Calibri" w:hAnsi="Calibri" w:cs="Calibri"/>
                <w:kern w:val="24"/>
                <w:sz w:val="24"/>
                <w:szCs w:val="24"/>
              </w:rPr>
              <w:t>Posters can be displayed on the unit, in break rooms, or even staff restrooms, to keep the topic on everyone’s mind.</w:t>
            </w:r>
          </w:p>
          <w:p w14:paraId="63E7B51A"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4B1B9929" w14:textId="02508AC6"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Remember that education is always by itself a necessary but weak intervention. Physicians order most cultures, and you can reach out to them at their gatherings like grand rounds, conferences, and staff meetings with brief presentations that emphasize the role of physician evaluation. Nurses might have skills workshops or required competencies</w:t>
            </w:r>
            <w:r w:rsidR="00FF01F7">
              <w:rPr>
                <w:rFonts w:ascii="Calibri" w:hAnsi="Calibri" w:cs="Calibri"/>
                <w:kern w:val="24"/>
                <w:sz w:val="24"/>
                <w:szCs w:val="24"/>
              </w:rPr>
              <w:t xml:space="preserve"> through the hospital</w:t>
            </w:r>
            <w:r>
              <w:rPr>
                <w:rFonts w:ascii="Calibri" w:hAnsi="Calibri" w:cs="Calibri"/>
                <w:kern w:val="24"/>
                <w:sz w:val="24"/>
                <w:szCs w:val="24"/>
              </w:rPr>
              <w:t xml:space="preserve"> </w:t>
            </w:r>
            <w:r w:rsidR="00624C0C">
              <w:rPr>
                <w:rFonts w:ascii="Calibri" w:hAnsi="Calibri" w:cs="Calibri"/>
                <w:kern w:val="24"/>
                <w:sz w:val="24"/>
                <w:szCs w:val="24"/>
              </w:rPr>
              <w:t>that</w:t>
            </w:r>
            <w:r>
              <w:rPr>
                <w:rFonts w:ascii="Calibri" w:hAnsi="Calibri" w:cs="Calibri"/>
                <w:kern w:val="24"/>
                <w:sz w:val="24"/>
                <w:szCs w:val="24"/>
              </w:rPr>
              <w:t xml:space="preserve"> provide a good opportunity to add information about urine culture stewardship. You can create a strong culture of safety by discussing quality pearls like culturing stewardship at change of shift huddles. </w:t>
            </w:r>
          </w:p>
          <w:p w14:paraId="7CCF9740"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42EA7EE4" w14:textId="77777777"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Most staff can be reached with informational pocket or ID badge cards, as well as with posters on the unit. These will be more impactful if they contain feedback on how the unit is doing; individualized feedback should be sent privately. </w:t>
            </w:r>
          </w:p>
          <w:p w14:paraId="3912C86C"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209F97AD" w14:textId="35D9DCB0"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Don’t forget to educate new staff during orientation, including when </w:t>
            </w:r>
            <w:r w:rsidR="00FF01F7">
              <w:rPr>
                <w:rFonts w:ascii="Calibri" w:hAnsi="Calibri" w:cs="Calibri"/>
                <w:kern w:val="24"/>
                <w:sz w:val="24"/>
                <w:szCs w:val="24"/>
              </w:rPr>
              <w:t xml:space="preserve">residents or nursing </w:t>
            </w:r>
            <w:r>
              <w:rPr>
                <w:rFonts w:ascii="Calibri" w:hAnsi="Calibri" w:cs="Calibri"/>
                <w:kern w:val="24"/>
                <w:sz w:val="24"/>
                <w:szCs w:val="24"/>
              </w:rPr>
              <w:t>students rotate through the unit.</w:t>
            </w:r>
          </w:p>
          <w:p w14:paraId="258A836B"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4F4D90E2" w14:textId="28F0F6A9"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All of this education is hard work, but once you change the culture, you have to maintain the improvement. This means periodic </w:t>
            </w:r>
            <w:proofErr w:type="gramStart"/>
            <w:r>
              <w:rPr>
                <w:rFonts w:ascii="Calibri" w:hAnsi="Calibri" w:cs="Calibri"/>
                <w:kern w:val="24"/>
                <w:sz w:val="24"/>
                <w:szCs w:val="24"/>
              </w:rPr>
              <w:t>reminders, but</w:t>
            </w:r>
            <w:proofErr w:type="gramEnd"/>
            <w:r>
              <w:rPr>
                <w:rFonts w:ascii="Calibri" w:hAnsi="Calibri" w:cs="Calibri"/>
                <w:kern w:val="24"/>
                <w:sz w:val="24"/>
                <w:szCs w:val="24"/>
              </w:rPr>
              <w:t xml:space="preserve"> chang</w:t>
            </w:r>
            <w:r w:rsidR="00624C0C">
              <w:rPr>
                <w:rFonts w:ascii="Calibri" w:hAnsi="Calibri" w:cs="Calibri"/>
                <w:kern w:val="24"/>
                <w:sz w:val="24"/>
                <w:szCs w:val="24"/>
              </w:rPr>
              <w:t>ing</w:t>
            </w:r>
            <w:r>
              <w:rPr>
                <w:rFonts w:ascii="Calibri" w:hAnsi="Calibri" w:cs="Calibri"/>
                <w:kern w:val="24"/>
                <w:sz w:val="24"/>
                <w:szCs w:val="24"/>
              </w:rPr>
              <w:t xml:space="preserve"> the ordering process</w:t>
            </w:r>
            <w:r w:rsidR="00624C0C">
              <w:rPr>
                <w:rFonts w:ascii="Calibri" w:hAnsi="Calibri" w:cs="Calibri"/>
                <w:kern w:val="24"/>
                <w:sz w:val="24"/>
                <w:szCs w:val="24"/>
              </w:rPr>
              <w:t xml:space="preserve"> </w:t>
            </w:r>
            <w:r>
              <w:rPr>
                <w:rFonts w:ascii="Calibri" w:hAnsi="Calibri" w:cs="Calibri"/>
                <w:kern w:val="24"/>
                <w:sz w:val="24"/>
                <w:szCs w:val="24"/>
              </w:rPr>
              <w:t>will provide ongoing reminders to staff wit</w:t>
            </w:r>
            <w:r w:rsidR="000D79C0">
              <w:rPr>
                <w:rFonts w:ascii="Calibri" w:hAnsi="Calibri" w:cs="Calibri"/>
                <w:kern w:val="24"/>
                <w:sz w:val="24"/>
                <w:szCs w:val="24"/>
              </w:rPr>
              <w:t xml:space="preserve">h no more effort on your part. </w:t>
            </w:r>
          </w:p>
        </w:tc>
        <w:tc>
          <w:tcPr>
            <w:tcW w:w="3240" w:type="dxa"/>
            <w:tcBorders>
              <w:top w:val="single" w:sz="4" w:space="0" w:color="auto"/>
              <w:left w:val="single" w:sz="4" w:space="0" w:color="auto"/>
              <w:bottom w:val="single" w:sz="4" w:space="0" w:color="auto"/>
              <w:right w:val="single" w:sz="4" w:space="0" w:color="auto"/>
            </w:tcBorders>
          </w:tcPr>
          <w:p w14:paraId="48878305" w14:textId="77777777" w:rsidR="005E2B87" w:rsidRDefault="005E2B87" w:rsidP="005E2B87">
            <w:r>
              <w:t>Slide 10</w:t>
            </w:r>
          </w:p>
          <w:p w14:paraId="5FF362D7" w14:textId="0F90CEDF" w:rsidR="005E2B87" w:rsidRDefault="000D79C0" w:rsidP="005E2B87">
            <w:pPr>
              <w:autoSpaceDE w:val="0"/>
              <w:autoSpaceDN w:val="0"/>
              <w:adjustRightInd w:val="0"/>
              <w:spacing w:after="0" w:line="240" w:lineRule="auto"/>
              <w:rPr>
                <w:rFonts w:cs="Calibri"/>
                <w:kern w:val="24"/>
                <w:sz w:val="24"/>
                <w:szCs w:val="24"/>
              </w:rPr>
            </w:pPr>
            <w:r>
              <w:rPr>
                <w:noProof/>
              </w:rPr>
              <w:drawing>
                <wp:inline distT="0" distB="0" distL="0" distR="0" wp14:anchorId="415D0C04" wp14:editId="4B09BC95">
                  <wp:extent cx="1836115" cy="1368586"/>
                  <wp:effectExtent l="19050" t="19050" r="12065" b="2222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8"/>
                          <a:stretch>
                            <a:fillRect/>
                          </a:stretch>
                        </pic:blipFill>
                        <pic:spPr>
                          <a:xfrm>
                            <a:off x="0" y="0"/>
                            <a:ext cx="1839698" cy="1371256"/>
                          </a:xfrm>
                          <a:prstGeom prst="rect">
                            <a:avLst/>
                          </a:prstGeom>
                          <a:ln>
                            <a:solidFill>
                              <a:schemeClr val="tx1"/>
                            </a:solidFill>
                          </a:ln>
                        </pic:spPr>
                      </pic:pic>
                    </a:graphicData>
                  </a:graphic>
                </wp:inline>
              </w:drawing>
            </w:r>
          </w:p>
        </w:tc>
      </w:tr>
      <w:tr w:rsidR="005E2B87" w14:paraId="31293E6B" w14:textId="1723BAA2"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02F5F79F" w14:textId="161E9355" w:rsidR="005E2B87" w:rsidRPr="000D79C0"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next step in your diagnostic stewardship journey is to make it easier for the provider to do the right thing by incorporating preculture strategies into the electronic health record (EHR). This means prework before the culture is drawn to ensure correct indications are used. The CUSP team can work with the organizational CAUTI committee and the </w:t>
            </w:r>
            <w:r w:rsidR="00624C0C">
              <w:rPr>
                <w:rFonts w:ascii="Calibri" w:hAnsi="Calibri" w:cs="Calibri"/>
                <w:kern w:val="24"/>
                <w:sz w:val="24"/>
                <w:szCs w:val="24"/>
              </w:rPr>
              <w:t>a</w:t>
            </w:r>
            <w:r>
              <w:rPr>
                <w:rFonts w:ascii="Calibri" w:hAnsi="Calibri" w:cs="Calibri"/>
                <w:kern w:val="24"/>
                <w:sz w:val="24"/>
                <w:szCs w:val="24"/>
              </w:rPr>
              <w:t xml:space="preserve">ntibiotic </w:t>
            </w:r>
            <w:r w:rsidR="00624C0C">
              <w:rPr>
                <w:rFonts w:ascii="Calibri" w:hAnsi="Calibri" w:cs="Calibri"/>
                <w:kern w:val="24"/>
                <w:sz w:val="24"/>
                <w:szCs w:val="24"/>
              </w:rPr>
              <w:t>s</w:t>
            </w:r>
            <w:r>
              <w:rPr>
                <w:rFonts w:ascii="Calibri" w:hAnsi="Calibri" w:cs="Calibri"/>
                <w:kern w:val="24"/>
                <w:sz w:val="24"/>
                <w:szCs w:val="24"/>
              </w:rPr>
              <w:t>tewardship committee to help get this prioritized into the EHR.</w:t>
            </w:r>
          </w:p>
        </w:tc>
        <w:tc>
          <w:tcPr>
            <w:tcW w:w="3240" w:type="dxa"/>
            <w:tcBorders>
              <w:top w:val="single" w:sz="4" w:space="0" w:color="auto"/>
              <w:left w:val="single" w:sz="4" w:space="0" w:color="auto"/>
              <w:bottom w:val="single" w:sz="4" w:space="0" w:color="auto"/>
              <w:right w:val="single" w:sz="4" w:space="0" w:color="auto"/>
            </w:tcBorders>
          </w:tcPr>
          <w:p w14:paraId="3EBA521F" w14:textId="77777777" w:rsidR="005E2B87" w:rsidRDefault="005E2B87" w:rsidP="005E2B87">
            <w:r>
              <w:t>Slide 11</w:t>
            </w:r>
          </w:p>
          <w:p w14:paraId="50BB9B3D" w14:textId="0DE82E49" w:rsidR="005E2B87" w:rsidRDefault="000D79C0" w:rsidP="0056652E">
            <w:pPr>
              <w:autoSpaceDE w:val="0"/>
              <w:autoSpaceDN w:val="0"/>
              <w:adjustRightInd w:val="0"/>
              <w:spacing w:after="120" w:line="240" w:lineRule="auto"/>
              <w:rPr>
                <w:rFonts w:cs="Calibri"/>
                <w:kern w:val="24"/>
                <w:sz w:val="24"/>
                <w:szCs w:val="24"/>
              </w:rPr>
            </w:pPr>
            <w:r>
              <w:rPr>
                <w:noProof/>
              </w:rPr>
              <w:drawing>
                <wp:inline distT="0" distB="0" distL="0" distR="0" wp14:anchorId="1F445128" wp14:editId="4F947326">
                  <wp:extent cx="1836881" cy="1367943"/>
                  <wp:effectExtent l="19050" t="19050" r="11430" b="2286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29"/>
                          <a:stretch>
                            <a:fillRect/>
                          </a:stretch>
                        </pic:blipFill>
                        <pic:spPr>
                          <a:xfrm>
                            <a:off x="0" y="0"/>
                            <a:ext cx="1841616" cy="1371469"/>
                          </a:xfrm>
                          <a:prstGeom prst="rect">
                            <a:avLst/>
                          </a:prstGeom>
                          <a:ln>
                            <a:solidFill>
                              <a:schemeClr val="tx1"/>
                            </a:solidFill>
                          </a:ln>
                        </pic:spPr>
                      </pic:pic>
                    </a:graphicData>
                  </a:graphic>
                </wp:inline>
              </w:drawing>
            </w:r>
          </w:p>
        </w:tc>
      </w:tr>
      <w:tr w:rsidR="005E2B87" w14:paraId="6AC3DF10" w14:textId="483F4A74"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7C7071E9" w14:textId="59F0B79E"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Instead of addressing issues after the UA or culture is finalized</w:t>
            </w:r>
            <w:r w:rsidR="00624C0C">
              <w:rPr>
                <w:rFonts w:ascii="Calibri" w:hAnsi="Calibri" w:cs="Calibri"/>
                <w:kern w:val="24"/>
                <w:sz w:val="24"/>
                <w:szCs w:val="24"/>
              </w:rPr>
              <w:t>,</w:t>
            </w:r>
            <w:r>
              <w:rPr>
                <w:rFonts w:ascii="Calibri" w:hAnsi="Calibri" w:cs="Calibri"/>
                <w:kern w:val="24"/>
                <w:sz w:val="24"/>
                <w:szCs w:val="24"/>
              </w:rPr>
              <w:t xml:space="preserve"> consider designing strategies to prevent urine from being cultured inappropriately by incorporating indications into the EHR. </w:t>
            </w:r>
          </w:p>
          <w:p w14:paraId="00CEE39F"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1BFEF480" w14:textId="5B57A380"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Consider modifying your </w:t>
            </w:r>
            <w:r w:rsidR="00624C0C">
              <w:rPr>
                <w:rFonts w:ascii="Calibri" w:hAnsi="Calibri" w:cs="Calibri"/>
                <w:kern w:val="24"/>
                <w:sz w:val="24"/>
                <w:szCs w:val="24"/>
              </w:rPr>
              <w:t>EHR</w:t>
            </w:r>
            <w:r>
              <w:rPr>
                <w:rFonts w:ascii="Calibri" w:hAnsi="Calibri" w:cs="Calibri"/>
                <w:kern w:val="24"/>
                <w:sz w:val="24"/>
                <w:szCs w:val="24"/>
              </w:rPr>
              <w:t xml:space="preserve"> to include appropriate indications for UA </w:t>
            </w:r>
            <w:r w:rsidR="00624C0C">
              <w:rPr>
                <w:rFonts w:ascii="Calibri" w:hAnsi="Calibri" w:cs="Calibri"/>
                <w:kern w:val="24"/>
                <w:sz w:val="24"/>
                <w:szCs w:val="24"/>
              </w:rPr>
              <w:t>and</w:t>
            </w:r>
            <w:r>
              <w:rPr>
                <w:rFonts w:ascii="Calibri" w:hAnsi="Calibri" w:cs="Calibri"/>
                <w:kern w:val="24"/>
                <w:sz w:val="24"/>
                <w:szCs w:val="24"/>
              </w:rPr>
              <w:t xml:space="preserve"> urine cultures that clearly address patient symptomatology</w:t>
            </w:r>
            <w:r w:rsidR="00624C0C">
              <w:rPr>
                <w:rFonts w:ascii="Calibri" w:hAnsi="Calibri" w:cs="Calibri"/>
                <w:kern w:val="24"/>
                <w:sz w:val="24"/>
                <w:szCs w:val="24"/>
              </w:rPr>
              <w:t>.</w:t>
            </w:r>
            <w:r>
              <w:rPr>
                <w:rFonts w:ascii="Calibri" w:hAnsi="Calibri" w:cs="Calibri"/>
                <w:kern w:val="24"/>
                <w:sz w:val="24"/>
                <w:szCs w:val="24"/>
              </w:rPr>
              <w:t xml:space="preserve"> </w:t>
            </w:r>
          </w:p>
          <w:p w14:paraId="1EF68CA6"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737E797B" w14:textId="383C80EA"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Try to minimize all automatic orders that might contribute to incorrect ordering of urine culture where it's appropriate</w:t>
            </w:r>
            <w:r w:rsidR="00624C0C">
              <w:rPr>
                <w:rFonts w:ascii="Calibri" w:hAnsi="Calibri" w:cs="Calibri"/>
                <w:kern w:val="24"/>
                <w:sz w:val="24"/>
                <w:szCs w:val="24"/>
              </w:rPr>
              <w:t>.</w:t>
            </w:r>
            <w:r>
              <w:rPr>
                <w:rFonts w:ascii="Calibri" w:hAnsi="Calibri" w:cs="Calibri"/>
                <w:kern w:val="24"/>
                <w:sz w:val="24"/>
                <w:szCs w:val="24"/>
              </w:rPr>
              <w:t xml:space="preserve"> </w:t>
            </w:r>
          </w:p>
          <w:p w14:paraId="56075C94"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4BEDACB3" w14:textId="4082ADB9"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There are positives and negatives to reflex culturing. Multiple studies have shown that it decreases the number of cultures done in both the emergency department and the hospital. However, there is inconsistency in the published literature of what criteria a UA reflexes to a culture. Positive leukocyte esterase, positive nitrite, presence of bacteria, and the amount of white blood cells seem to vary significantly from </w:t>
            </w:r>
            <w:r>
              <w:rPr>
                <w:rFonts w:ascii="Calibri" w:hAnsi="Calibri" w:cs="Calibri"/>
                <w:kern w:val="24"/>
                <w:sz w:val="24"/>
                <w:szCs w:val="24"/>
                <w:u w:val="single"/>
              </w:rPr>
              <w:t>&gt;</w:t>
            </w:r>
            <w:r>
              <w:rPr>
                <w:rFonts w:ascii="Calibri" w:hAnsi="Calibri" w:cs="Calibri"/>
                <w:kern w:val="24"/>
                <w:sz w:val="24"/>
                <w:szCs w:val="24"/>
              </w:rPr>
              <w:t xml:space="preserve"> 6 to </w:t>
            </w:r>
            <w:r>
              <w:rPr>
                <w:rFonts w:ascii="Calibri" w:hAnsi="Calibri" w:cs="Calibri"/>
                <w:kern w:val="24"/>
                <w:sz w:val="24"/>
                <w:szCs w:val="24"/>
                <w:u w:val="single"/>
              </w:rPr>
              <w:t>&gt;</w:t>
            </w:r>
            <w:r>
              <w:rPr>
                <w:rFonts w:ascii="Calibri" w:hAnsi="Calibri" w:cs="Calibri"/>
                <w:kern w:val="24"/>
                <w:sz w:val="24"/>
                <w:szCs w:val="24"/>
              </w:rPr>
              <w:t xml:space="preserve"> 20 WBC/HPF</w:t>
            </w:r>
            <w:r w:rsidR="00624C0C">
              <w:rPr>
                <w:rFonts w:ascii="Calibri" w:hAnsi="Calibri" w:cs="Calibri"/>
                <w:kern w:val="24"/>
                <w:sz w:val="24"/>
                <w:szCs w:val="24"/>
              </w:rPr>
              <w:t xml:space="preserve">. </w:t>
            </w:r>
            <w:r>
              <w:rPr>
                <w:rFonts w:ascii="Calibri" w:hAnsi="Calibri" w:cs="Calibri"/>
                <w:kern w:val="24"/>
                <w:sz w:val="24"/>
                <w:szCs w:val="24"/>
              </w:rPr>
              <w:t>Even with this variation, this should be considered ASB unless it is connected to patients' signs and symptoms. Some institutions have required labs to contact the ordering provider to identify patients</w:t>
            </w:r>
            <w:r w:rsidR="00624C0C">
              <w:rPr>
                <w:rFonts w:ascii="Calibri" w:hAnsi="Calibri" w:cs="Calibri"/>
                <w:kern w:val="24"/>
                <w:sz w:val="24"/>
                <w:szCs w:val="24"/>
              </w:rPr>
              <w:t>’</w:t>
            </w:r>
            <w:r>
              <w:rPr>
                <w:rFonts w:ascii="Calibri" w:hAnsi="Calibri" w:cs="Calibri"/>
                <w:kern w:val="24"/>
                <w:sz w:val="24"/>
                <w:szCs w:val="24"/>
              </w:rPr>
              <w:t xml:space="preserve"> signs and symptoms to see if the UA meets criteria before culturing the urine. Other hospitals have helped to hardwire practice by requiring the provider to specify if it is a UA reflex to culture with or without patient symptoms</w:t>
            </w:r>
            <w:r w:rsidR="00624C0C">
              <w:rPr>
                <w:rFonts w:ascii="Calibri" w:hAnsi="Calibri" w:cs="Calibri"/>
                <w:kern w:val="24"/>
                <w:sz w:val="24"/>
                <w:szCs w:val="24"/>
              </w:rPr>
              <w:t>,</w:t>
            </w:r>
            <w:r>
              <w:rPr>
                <w:rFonts w:ascii="Calibri" w:hAnsi="Calibri" w:cs="Calibri"/>
                <w:kern w:val="24"/>
                <w:sz w:val="24"/>
                <w:szCs w:val="24"/>
              </w:rPr>
              <w:t xml:space="preserve"> and some organizations have completely removed the practice of reflex cultures.</w:t>
            </w:r>
          </w:p>
          <w:p w14:paraId="7807305B"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1C079AA1" w14:textId="704F752F" w:rsidR="005E2B87" w:rsidRPr="00DC580D" w:rsidRDefault="005E2B87" w:rsidP="005E2B87">
            <w:pPr>
              <w:autoSpaceDE w:val="0"/>
              <w:autoSpaceDN w:val="0"/>
              <w:adjustRightInd w:val="0"/>
              <w:spacing w:after="0" w:line="240" w:lineRule="auto"/>
              <w:rPr>
                <w:rFonts w:cs="Calibri"/>
                <w:kern w:val="24"/>
                <w:sz w:val="24"/>
                <w:szCs w:val="24"/>
              </w:rPr>
            </w:pPr>
            <w:r>
              <w:rPr>
                <w:rFonts w:ascii="Calibri" w:hAnsi="Calibri" w:cs="Calibri"/>
                <w:kern w:val="24"/>
                <w:sz w:val="24"/>
                <w:szCs w:val="24"/>
              </w:rPr>
              <w:t>Remember</w:t>
            </w:r>
            <w:r w:rsidR="00624C0C">
              <w:rPr>
                <w:rFonts w:ascii="Calibri" w:hAnsi="Calibri" w:cs="Calibri"/>
                <w:kern w:val="24"/>
                <w:sz w:val="24"/>
                <w:szCs w:val="24"/>
              </w:rPr>
              <w:t>,</w:t>
            </w:r>
            <w:r>
              <w:rPr>
                <w:rFonts w:ascii="Calibri" w:hAnsi="Calibri" w:cs="Calibri"/>
                <w:kern w:val="24"/>
                <w:sz w:val="24"/>
                <w:szCs w:val="24"/>
              </w:rPr>
              <w:t xml:space="preserve"> lower urine culture rates equal lower CAUTI rates and </w:t>
            </w:r>
            <w:r w:rsidR="00AF4B0A">
              <w:rPr>
                <w:rFonts w:ascii="Calibri" w:hAnsi="Calibri" w:cs="Calibri"/>
                <w:kern w:val="24"/>
                <w:sz w:val="24"/>
                <w:szCs w:val="24"/>
              </w:rPr>
              <w:t>fewer</w:t>
            </w:r>
            <w:r>
              <w:rPr>
                <w:rFonts w:ascii="Calibri" w:hAnsi="Calibri" w:cs="Calibri"/>
                <w:kern w:val="24"/>
                <w:sz w:val="24"/>
                <w:szCs w:val="24"/>
              </w:rPr>
              <w:t xml:space="preserve"> complications related to treating ASB.</w:t>
            </w:r>
          </w:p>
        </w:tc>
        <w:tc>
          <w:tcPr>
            <w:tcW w:w="3240" w:type="dxa"/>
            <w:tcBorders>
              <w:top w:val="single" w:sz="4" w:space="0" w:color="auto"/>
              <w:left w:val="single" w:sz="4" w:space="0" w:color="auto"/>
              <w:bottom w:val="single" w:sz="4" w:space="0" w:color="auto"/>
              <w:right w:val="single" w:sz="4" w:space="0" w:color="auto"/>
            </w:tcBorders>
          </w:tcPr>
          <w:p w14:paraId="3BEA7DF3" w14:textId="77777777" w:rsidR="005E2B87" w:rsidRDefault="005E2B87" w:rsidP="005E2B87">
            <w:r>
              <w:t>Slide 12</w:t>
            </w:r>
          </w:p>
          <w:p w14:paraId="3F180F12" w14:textId="2C8BD90E" w:rsidR="005E2B87" w:rsidRDefault="000D79C0" w:rsidP="005E2B87">
            <w:pPr>
              <w:autoSpaceDE w:val="0"/>
              <w:autoSpaceDN w:val="0"/>
              <w:adjustRightInd w:val="0"/>
              <w:spacing w:after="0" w:line="240" w:lineRule="auto"/>
              <w:rPr>
                <w:rFonts w:cs="Calibri"/>
                <w:kern w:val="24"/>
                <w:sz w:val="24"/>
                <w:szCs w:val="24"/>
              </w:rPr>
            </w:pPr>
            <w:r>
              <w:rPr>
                <w:noProof/>
              </w:rPr>
              <w:drawing>
                <wp:inline distT="0" distB="0" distL="0" distR="0" wp14:anchorId="0C12AF47" wp14:editId="0D125C8A">
                  <wp:extent cx="1821485" cy="1375150"/>
                  <wp:effectExtent l="19050" t="19050" r="26670" b="1587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30"/>
                          <a:stretch>
                            <a:fillRect/>
                          </a:stretch>
                        </pic:blipFill>
                        <pic:spPr>
                          <a:xfrm>
                            <a:off x="0" y="0"/>
                            <a:ext cx="1829606" cy="1381281"/>
                          </a:xfrm>
                          <a:prstGeom prst="rect">
                            <a:avLst/>
                          </a:prstGeom>
                          <a:ln>
                            <a:solidFill>
                              <a:schemeClr val="tx1"/>
                            </a:solidFill>
                          </a:ln>
                        </pic:spPr>
                      </pic:pic>
                    </a:graphicData>
                  </a:graphic>
                </wp:inline>
              </w:drawing>
            </w:r>
          </w:p>
        </w:tc>
      </w:tr>
      <w:tr w:rsidR="005E2B87" w14:paraId="74F9D9F8" w14:textId="1906F198"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5F12F2CF" w14:textId="38B0E0B5" w:rsidR="000D79C0"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next areas to focus on your journey of stewardship is specimen collection and transport. This includes how a culture is collected, what container is used and </w:t>
            </w:r>
            <w:r w:rsidR="00C66C8C">
              <w:rPr>
                <w:rFonts w:ascii="Calibri" w:hAnsi="Calibri" w:cs="Calibri"/>
                <w:kern w:val="24"/>
                <w:sz w:val="24"/>
                <w:szCs w:val="24"/>
              </w:rPr>
              <w:t xml:space="preserve">how </w:t>
            </w:r>
            <w:r>
              <w:rPr>
                <w:rFonts w:ascii="Calibri" w:hAnsi="Calibri" w:cs="Calibri"/>
                <w:kern w:val="24"/>
                <w:sz w:val="24"/>
                <w:szCs w:val="24"/>
              </w:rPr>
              <w:t>transport time can impact culture results.</w:t>
            </w:r>
          </w:p>
        </w:tc>
        <w:tc>
          <w:tcPr>
            <w:tcW w:w="3240" w:type="dxa"/>
            <w:tcBorders>
              <w:top w:val="single" w:sz="4" w:space="0" w:color="auto"/>
              <w:left w:val="single" w:sz="4" w:space="0" w:color="auto"/>
              <w:bottom w:val="single" w:sz="4" w:space="0" w:color="auto"/>
              <w:right w:val="single" w:sz="4" w:space="0" w:color="auto"/>
            </w:tcBorders>
          </w:tcPr>
          <w:p w14:paraId="56C6130B" w14:textId="77777777" w:rsidR="005E2B87" w:rsidRDefault="005E2B87" w:rsidP="005E2B87">
            <w:r>
              <w:t>Slide 13</w:t>
            </w:r>
          </w:p>
          <w:p w14:paraId="3A6F15B5" w14:textId="2EA5D0DC" w:rsidR="005E2B87" w:rsidRDefault="000D79C0" w:rsidP="0056652E">
            <w:pPr>
              <w:autoSpaceDE w:val="0"/>
              <w:autoSpaceDN w:val="0"/>
              <w:adjustRightInd w:val="0"/>
              <w:spacing w:after="120" w:line="240" w:lineRule="auto"/>
              <w:rPr>
                <w:rFonts w:cs="Calibri"/>
                <w:kern w:val="24"/>
                <w:sz w:val="24"/>
                <w:szCs w:val="24"/>
              </w:rPr>
            </w:pPr>
            <w:r>
              <w:rPr>
                <w:noProof/>
              </w:rPr>
              <w:drawing>
                <wp:inline distT="0" distB="0" distL="0" distR="0" wp14:anchorId="2A4A4CDC" wp14:editId="1474C48C">
                  <wp:extent cx="1828800" cy="1374019"/>
                  <wp:effectExtent l="19050" t="19050" r="19050" b="1714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31"/>
                          <a:stretch>
                            <a:fillRect/>
                          </a:stretch>
                        </pic:blipFill>
                        <pic:spPr>
                          <a:xfrm>
                            <a:off x="0" y="0"/>
                            <a:ext cx="1833994" cy="1377921"/>
                          </a:xfrm>
                          <a:prstGeom prst="rect">
                            <a:avLst/>
                          </a:prstGeom>
                          <a:ln>
                            <a:solidFill>
                              <a:schemeClr val="tx1"/>
                            </a:solidFill>
                          </a:ln>
                        </pic:spPr>
                      </pic:pic>
                    </a:graphicData>
                  </a:graphic>
                </wp:inline>
              </w:drawing>
            </w:r>
          </w:p>
        </w:tc>
      </w:tr>
      <w:tr w:rsidR="005E2B87" w14:paraId="686BF200" w14:textId="52A09127"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2D870A8C" w14:textId="057DE844"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When collecting a urine specimen from a catheterized patient, it is important to know the length of time the catheter has been in because of the buildup of bacteria biofilm on the catheter itself. </w:t>
            </w:r>
            <w:r>
              <w:rPr>
                <w:rFonts w:ascii="Calibri" w:hAnsi="Calibri" w:cs="Calibri"/>
                <w:kern w:val="24"/>
                <w:sz w:val="24"/>
                <w:szCs w:val="24"/>
              </w:rPr>
              <w:lastRenderedPageBreak/>
              <w:t xml:space="preserve">The </w:t>
            </w:r>
            <w:r w:rsidR="004D4FA9">
              <w:rPr>
                <w:rFonts w:ascii="Calibri" w:hAnsi="Calibri" w:cs="Calibri"/>
                <w:kern w:val="24"/>
                <w:sz w:val="24"/>
                <w:szCs w:val="24"/>
              </w:rPr>
              <w:t>Association for Professionals in Infection Control and Epidemiology</w:t>
            </w:r>
            <w:r>
              <w:rPr>
                <w:rFonts w:ascii="Calibri" w:hAnsi="Calibri" w:cs="Calibri"/>
                <w:kern w:val="24"/>
                <w:sz w:val="24"/>
                <w:szCs w:val="24"/>
              </w:rPr>
              <w:t xml:space="preserve"> in 2014 recommend changing the catheter prior to obtaining a culture if it has been in place </w:t>
            </w:r>
            <w:r w:rsidR="00AF4B0A">
              <w:rPr>
                <w:rFonts w:ascii="Calibri" w:hAnsi="Calibri" w:cs="Calibri"/>
                <w:kern w:val="24"/>
                <w:sz w:val="24"/>
                <w:szCs w:val="24"/>
              </w:rPr>
              <w:t>more than</w:t>
            </w:r>
            <w:r>
              <w:rPr>
                <w:rFonts w:ascii="Calibri" w:hAnsi="Calibri" w:cs="Calibri"/>
                <w:kern w:val="24"/>
                <w:sz w:val="24"/>
                <w:szCs w:val="24"/>
              </w:rPr>
              <w:t xml:space="preserve"> 2 weeks.  This provides another opportunity besides daily evaluation to assess if the patient still meets the criteria for an indwelling catheter. If removed, </w:t>
            </w:r>
            <w:r w:rsidR="00AF4B0A">
              <w:rPr>
                <w:rFonts w:ascii="Calibri" w:hAnsi="Calibri" w:cs="Calibri"/>
                <w:kern w:val="24"/>
                <w:sz w:val="24"/>
                <w:szCs w:val="24"/>
              </w:rPr>
              <w:t xml:space="preserve">a sample can be </w:t>
            </w:r>
            <w:r>
              <w:rPr>
                <w:rFonts w:ascii="Calibri" w:hAnsi="Calibri" w:cs="Calibri"/>
                <w:kern w:val="24"/>
                <w:sz w:val="24"/>
                <w:szCs w:val="24"/>
              </w:rPr>
              <w:t>obtain</w:t>
            </w:r>
            <w:r w:rsidR="00AF4B0A">
              <w:rPr>
                <w:rFonts w:ascii="Calibri" w:hAnsi="Calibri" w:cs="Calibri"/>
                <w:kern w:val="24"/>
                <w:sz w:val="24"/>
                <w:szCs w:val="24"/>
              </w:rPr>
              <w:t>ed</w:t>
            </w:r>
            <w:r>
              <w:rPr>
                <w:rFonts w:ascii="Calibri" w:hAnsi="Calibri" w:cs="Calibri"/>
                <w:kern w:val="24"/>
                <w:sz w:val="24"/>
                <w:szCs w:val="24"/>
              </w:rPr>
              <w:t xml:space="preserve"> by straight catheterization</w:t>
            </w:r>
            <w:r w:rsidR="00AF4B0A">
              <w:rPr>
                <w:rFonts w:ascii="Calibri" w:hAnsi="Calibri" w:cs="Calibri"/>
                <w:kern w:val="24"/>
                <w:sz w:val="24"/>
                <w:szCs w:val="24"/>
              </w:rPr>
              <w:t>,</w:t>
            </w:r>
            <w:r>
              <w:rPr>
                <w:rFonts w:ascii="Calibri" w:hAnsi="Calibri" w:cs="Calibri"/>
                <w:kern w:val="24"/>
                <w:sz w:val="24"/>
                <w:szCs w:val="24"/>
              </w:rPr>
              <w:t xml:space="preserve"> or if replaced</w:t>
            </w:r>
            <w:r w:rsidR="00AF4B0A">
              <w:rPr>
                <w:rFonts w:ascii="Calibri" w:hAnsi="Calibri" w:cs="Calibri"/>
                <w:kern w:val="24"/>
                <w:sz w:val="24"/>
                <w:szCs w:val="24"/>
              </w:rPr>
              <w:t>,</w:t>
            </w:r>
            <w:r>
              <w:rPr>
                <w:rFonts w:ascii="Calibri" w:hAnsi="Calibri" w:cs="Calibri"/>
                <w:kern w:val="24"/>
                <w:sz w:val="24"/>
                <w:szCs w:val="24"/>
              </w:rPr>
              <w:t xml:space="preserve"> a sample </w:t>
            </w:r>
            <w:r w:rsidR="00AF4B0A">
              <w:rPr>
                <w:rFonts w:ascii="Calibri" w:hAnsi="Calibri" w:cs="Calibri"/>
                <w:kern w:val="24"/>
                <w:sz w:val="24"/>
                <w:szCs w:val="24"/>
              </w:rPr>
              <w:t xml:space="preserve">can be obtained </w:t>
            </w:r>
            <w:r>
              <w:rPr>
                <w:rFonts w:ascii="Calibri" w:hAnsi="Calibri" w:cs="Calibri"/>
                <w:kern w:val="24"/>
                <w:sz w:val="24"/>
                <w:szCs w:val="24"/>
              </w:rPr>
              <w:t>from the new catheter.</w:t>
            </w:r>
          </w:p>
          <w:p w14:paraId="30AC750D"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6313458B" w14:textId="3A5E6A82"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Davies et al</w:t>
            </w:r>
            <w:r w:rsidR="00AF4B0A">
              <w:rPr>
                <w:rFonts w:ascii="Calibri" w:hAnsi="Calibri" w:cs="Calibri"/>
                <w:kern w:val="24"/>
                <w:sz w:val="24"/>
                <w:szCs w:val="24"/>
              </w:rPr>
              <w:t xml:space="preserve"> found that</w:t>
            </w:r>
            <w:r>
              <w:rPr>
                <w:rFonts w:ascii="Calibri" w:hAnsi="Calibri" w:cs="Calibri"/>
                <w:kern w:val="24"/>
                <w:sz w:val="24"/>
                <w:szCs w:val="24"/>
              </w:rPr>
              <w:t xml:space="preserve"> as part of a comprehensive CAUTI reduction plan, chang</w:t>
            </w:r>
            <w:r w:rsidR="00AF4B0A">
              <w:rPr>
                <w:rFonts w:ascii="Calibri" w:hAnsi="Calibri" w:cs="Calibri"/>
                <w:kern w:val="24"/>
                <w:sz w:val="24"/>
                <w:szCs w:val="24"/>
              </w:rPr>
              <w:t>ing</w:t>
            </w:r>
            <w:r>
              <w:rPr>
                <w:rFonts w:ascii="Calibri" w:hAnsi="Calibri" w:cs="Calibri"/>
                <w:kern w:val="24"/>
                <w:sz w:val="24"/>
                <w:szCs w:val="24"/>
              </w:rPr>
              <w:t xml:space="preserve"> the catheter prior to sampling if it has been in </w:t>
            </w:r>
            <w:r w:rsidR="00AF4B0A">
              <w:rPr>
                <w:rFonts w:ascii="Calibri" w:hAnsi="Calibri" w:cs="Calibri"/>
                <w:kern w:val="24"/>
                <w:sz w:val="24"/>
                <w:szCs w:val="24"/>
              </w:rPr>
              <w:t>more than</w:t>
            </w:r>
            <w:r>
              <w:rPr>
                <w:rFonts w:ascii="Calibri" w:hAnsi="Calibri" w:cs="Calibri"/>
                <w:kern w:val="24"/>
                <w:sz w:val="24"/>
                <w:szCs w:val="24"/>
              </w:rPr>
              <w:t xml:space="preserve"> 3</w:t>
            </w:r>
            <w:r w:rsidR="00AF4B0A">
              <w:rPr>
                <w:rFonts w:ascii="Calibri" w:hAnsi="Calibri" w:cs="Calibri"/>
                <w:kern w:val="24"/>
                <w:sz w:val="24"/>
                <w:szCs w:val="24"/>
              </w:rPr>
              <w:t>–</w:t>
            </w:r>
            <w:r>
              <w:rPr>
                <w:rFonts w:ascii="Calibri" w:hAnsi="Calibri" w:cs="Calibri"/>
                <w:kern w:val="24"/>
                <w:sz w:val="24"/>
                <w:szCs w:val="24"/>
              </w:rPr>
              <w:t>5 days showed a significant reduction in false positive urine cultures. Many hospitals have conducted quality improvement projects assessing cultures before and after replacement at a much shorter time frame than the APIC guidelines recommend. Because the literature is sparse, it is important to test this strategy within your own organization prior to adoption so you have evidence to support the change.</w:t>
            </w:r>
          </w:p>
          <w:p w14:paraId="755FCCD2"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774180A2" w14:textId="3FAEEE15"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When collecting the specimen, kink the tubing 12 inches below the sample port</w:t>
            </w:r>
            <w:r w:rsidR="00AF4B0A">
              <w:rPr>
                <w:rFonts w:ascii="Calibri" w:hAnsi="Calibri" w:cs="Calibri"/>
                <w:kern w:val="24"/>
                <w:sz w:val="24"/>
                <w:szCs w:val="24"/>
              </w:rPr>
              <w:t>,</w:t>
            </w:r>
            <w:r>
              <w:rPr>
                <w:rFonts w:ascii="Calibri" w:hAnsi="Calibri" w:cs="Calibri"/>
                <w:kern w:val="24"/>
                <w:sz w:val="24"/>
                <w:szCs w:val="24"/>
              </w:rPr>
              <w:t xml:space="preserve"> allowing urine to fill the tube. Scrub the hub with antiseptic, aspirat</w:t>
            </w:r>
            <w:r w:rsidR="00C66C8C">
              <w:rPr>
                <w:rFonts w:ascii="Calibri" w:hAnsi="Calibri" w:cs="Calibri"/>
                <w:kern w:val="24"/>
                <w:sz w:val="24"/>
                <w:szCs w:val="24"/>
              </w:rPr>
              <w:t xml:space="preserve">e urine </w:t>
            </w:r>
            <w:r>
              <w:rPr>
                <w:rFonts w:ascii="Calibri" w:hAnsi="Calibri" w:cs="Calibri"/>
                <w:kern w:val="24"/>
                <w:sz w:val="24"/>
                <w:szCs w:val="24"/>
              </w:rPr>
              <w:t>from the sampling port. Follow by unkinking the tube.</w:t>
            </w:r>
          </w:p>
          <w:p w14:paraId="26F0B9DE"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7C174C97" w14:textId="0C1D951C"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Transport time and type of container can significantly impact contamination rates and false positives. They are two ways to help ensure a correct process. If the specimen transport time to the lab is greater than 2 hours, the specimen </w:t>
            </w:r>
            <w:r w:rsidR="00AF4B0A">
              <w:rPr>
                <w:rFonts w:ascii="Calibri" w:hAnsi="Calibri" w:cs="Calibri"/>
                <w:kern w:val="24"/>
                <w:sz w:val="24"/>
                <w:szCs w:val="24"/>
              </w:rPr>
              <w:t>should be</w:t>
            </w:r>
            <w:r>
              <w:rPr>
                <w:rFonts w:ascii="Calibri" w:hAnsi="Calibri" w:cs="Calibri"/>
                <w:kern w:val="24"/>
                <w:sz w:val="24"/>
                <w:szCs w:val="24"/>
              </w:rPr>
              <w:t xml:space="preserve"> refrigerated. However, it is difficult to identify how long the specimen has </w:t>
            </w:r>
            <w:r w:rsidR="00FF01F7">
              <w:rPr>
                <w:rFonts w:ascii="Calibri" w:hAnsi="Calibri" w:cs="Calibri"/>
                <w:kern w:val="24"/>
                <w:sz w:val="24"/>
                <w:szCs w:val="24"/>
              </w:rPr>
              <w:t>been at air</w:t>
            </w:r>
            <w:r>
              <w:rPr>
                <w:rFonts w:ascii="Calibri" w:hAnsi="Calibri" w:cs="Calibri"/>
                <w:kern w:val="24"/>
                <w:sz w:val="24"/>
                <w:szCs w:val="24"/>
              </w:rPr>
              <w:t xml:space="preserve"> temperature prior to transport to the lab. One strategy to prevent contamination through a force function behavior is </w:t>
            </w:r>
            <w:r w:rsidR="00AF4B0A">
              <w:rPr>
                <w:rFonts w:ascii="Calibri" w:hAnsi="Calibri" w:cs="Calibri"/>
                <w:kern w:val="24"/>
                <w:sz w:val="24"/>
                <w:szCs w:val="24"/>
              </w:rPr>
              <w:t>to collect</w:t>
            </w:r>
            <w:r>
              <w:rPr>
                <w:rFonts w:ascii="Calibri" w:hAnsi="Calibri" w:cs="Calibri"/>
                <w:kern w:val="24"/>
                <w:sz w:val="24"/>
                <w:szCs w:val="24"/>
              </w:rPr>
              <w:t xml:space="preserve"> all urine specimens in a tube with a preservative. Therefore</w:t>
            </w:r>
            <w:r w:rsidR="00AF4B0A">
              <w:rPr>
                <w:rFonts w:ascii="Calibri" w:hAnsi="Calibri" w:cs="Calibri"/>
                <w:kern w:val="24"/>
                <w:sz w:val="24"/>
                <w:szCs w:val="24"/>
              </w:rPr>
              <w:t>,</w:t>
            </w:r>
            <w:r>
              <w:rPr>
                <w:rFonts w:ascii="Calibri" w:hAnsi="Calibri" w:cs="Calibri"/>
                <w:kern w:val="24"/>
                <w:sz w:val="24"/>
                <w:szCs w:val="24"/>
              </w:rPr>
              <w:t xml:space="preserve"> if transport time is longer than expected or a UA is reflex to culture</w:t>
            </w:r>
            <w:r w:rsidR="00AF4B0A">
              <w:rPr>
                <w:rFonts w:ascii="Calibri" w:hAnsi="Calibri" w:cs="Calibri"/>
                <w:kern w:val="24"/>
                <w:sz w:val="24"/>
                <w:szCs w:val="24"/>
              </w:rPr>
              <w:t>,</w:t>
            </w:r>
            <w:r>
              <w:rPr>
                <w:rFonts w:ascii="Calibri" w:hAnsi="Calibri" w:cs="Calibri"/>
                <w:kern w:val="24"/>
                <w:sz w:val="24"/>
                <w:szCs w:val="24"/>
              </w:rPr>
              <w:t xml:space="preserve"> it is in a preservative container. The same would apply for add</w:t>
            </w:r>
            <w:r w:rsidR="00AF4B0A">
              <w:rPr>
                <w:rFonts w:ascii="Calibri" w:hAnsi="Calibri" w:cs="Calibri"/>
                <w:kern w:val="24"/>
                <w:sz w:val="24"/>
                <w:szCs w:val="24"/>
              </w:rPr>
              <w:t>-</w:t>
            </w:r>
            <w:r>
              <w:rPr>
                <w:rFonts w:ascii="Calibri" w:hAnsi="Calibri" w:cs="Calibri"/>
                <w:kern w:val="24"/>
                <w:sz w:val="24"/>
                <w:szCs w:val="24"/>
              </w:rPr>
              <w:t>on culture to a UA.</w:t>
            </w:r>
          </w:p>
          <w:p w14:paraId="24E23FFB"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5D3F8205" w14:textId="74A96428" w:rsidR="00DA2BC0" w:rsidRPr="0056652E" w:rsidRDefault="00B71FB4"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More than 40 percent of c</w:t>
            </w:r>
            <w:r w:rsidR="005E2B87">
              <w:rPr>
                <w:rFonts w:ascii="Calibri" w:hAnsi="Calibri" w:cs="Calibri"/>
                <w:kern w:val="24"/>
                <w:sz w:val="24"/>
                <w:szCs w:val="24"/>
              </w:rPr>
              <w:t>ontaminated cultures lead to additional diagnostic evaluation and inappropriate antibiotic administration.</w:t>
            </w:r>
          </w:p>
        </w:tc>
        <w:tc>
          <w:tcPr>
            <w:tcW w:w="3240" w:type="dxa"/>
            <w:tcBorders>
              <w:top w:val="single" w:sz="4" w:space="0" w:color="auto"/>
              <w:left w:val="single" w:sz="4" w:space="0" w:color="auto"/>
              <w:bottom w:val="single" w:sz="4" w:space="0" w:color="auto"/>
              <w:right w:val="single" w:sz="4" w:space="0" w:color="auto"/>
            </w:tcBorders>
          </w:tcPr>
          <w:p w14:paraId="3410D935" w14:textId="77777777" w:rsidR="005E2B87" w:rsidRDefault="005E2B87" w:rsidP="005E2B87">
            <w:r>
              <w:lastRenderedPageBreak/>
              <w:t>Slide 14</w:t>
            </w:r>
          </w:p>
          <w:p w14:paraId="74ED5B2F" w14:textId="35170DCA" w:rsidR="005E2B87" w:rsidRDefault="00104ABE" w:rsidP="005E2B87">
            <w:pPr>
              <w:autoSpaceDE w:val="0"/>
              <w:autoSpaceDN w:val="0"/>
              <w:adjustRightInd w:val="0"/>
              <w:spacing w:after="0" w:line="240" w:lineRule="auto"/>
              <w:rPr>
                <w:rFonts w:cs="Calibri"/>
                <w:kern w:val="24"/>
                <w:sz w:val="24"/>
                <w:szCs w:val="24"/>
              </w:rPr>
            </w:pPr>
            <w:r>
              <w:rPr>
                <w:rFonts w:cs="Calibri"/>
                <w:noProof/>
                <w:kern w:val="24"/>
                <w:sz w:val="24"/>
                <w:szCs w:val="24"/>
              </w:rPr>
              <w:lastRenderedPageBreak/>
              <w:drawing>
                <wp:inline distT="0" distB="0" distL="0" distR="0" wp14:anchorId="69F1285B" wp14:editId="5EA4DAFE">
                  <wp:extent cx="1838325" cy="1381125"/>
                  <wp:effectExtent l="19050" t="19050" r="28575" b="2857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5E2B87" w14:paraId="06F5D389" w14:textId="50D007FE"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5E0B79DC" w14:textId="2402756B"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 xml:space="preserve">The last strategy is </w:t>
            </w:r>
            <w:r w:rsidR="00AF4B0A">
              <w:rPr>
                <w:rFonts w:ascii="Calibri" w:hAnsi="Calibri" w:cs="Calibri"/>
                <w:kern w:val="24"/>
                <w:sz w:val="24"/>
                <w:szCs w:val="24"/>
              </w:rPr>
              <w:t>giving</w:t>
            </w:r>
            <w:r>
              <w:rPr>
                <w:rFonts w:ascii="Calibri" w:hAnsi="Calibri" w:cs="Calibri"/>
                <w:kern w:val="24"/>
                <w:sz w:val="24"/>
                <w:szCs w:val="24"/>
              </w:rPr>
              <w:t xml:space="preserve"> providers guidance about test interpretation. Th</w:t>
            </w:r>
            <w:r w:rsidR="00AE038D">
              <w:rPr>
                <w:rFonts w:ascii="Calibri" w:hAnsi="Calibri" w:cs="Calibri"/>
                <w:kern w:val="24"/>
                <w:sz w:val="24"/>
                <w:szCs w:val="24"/>
              </w:rPr>
              <w:t>is</w:t>
            </w:r>
            <w:r>
              <w:rPr>
                <w:rFonts w:ascii="Calibri" w:hAnsi="Calibri" w:cs="Calibri"/>
                <w:kern w:val="24"/>
                <w:sz w:val="24"/>
                <w:szCs w:val="24"/>
              </w:rPr>
              <w:t xml:space="preserve"> can be done in several ways:</w:t>
            </w:r>
          </w:p>
          <w:p w14:paraId="794ED093" w14:textId="5BEE4BC9" w:rsidR="005E2B87" w:rsidRDefault="005E2B87" w:rsidP="005E2B87">
            <w:pPr>
              <w:numPr>
                <w:ilvl w:val="0"/>
                <w:numId w:val="13"/>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 xml:space="preserve">By </w:t>
            </w:r>
            <w:r w:rsidR="00AE038D">
              <w:rPr>
                <w:rFonts w:ascii="Calibri" w:hAnsi="Calibri" w:cs="Calibri"/>
                <w:kern w:val="24"/>
                <w:sz w:val="24"/>
                <w:szCs w:val="24"/>
              </w:rPr>
              <w:t xml:space="preserve">inserting a comment popup in </w:t>
            </w:r>
            <w:r>
              <w:rPr>
                <w:rFonts w:ascii="Calibri" w:hAnsi="Calibri" w:cs="Calibri"/>
                <w:kern w:val="24"/>
                <w:sz w:val="24"/>
                <w:szCs w:val="24"/>
              </w:rPr>
              <w:t xml:space="preserve">the EHR for </w:t>
            </w:r>
            <w:r w:rsidR="00AE038D">
              <w:rPr>
                <w:rFonts w:ascii="Calibri" w:hAnsi="Calibri" w:cs="Calibri"/>
                <w:kern w:val="24"/>
                <w:sz w:val="24"/>
                <w:szCs w:val="24"/>
              </w:rPr>
              <w:t xml:space="preserve">positive </w:t>
            </w:r>
            <w:r>
              <w:rPr>
                <w:rFonts w:ascii="Calibri" w:hAnsi="Calibri" w:cs="Calibri"/>
                <w:kern w:val="24"/>
                <w:sz w:val="24"/>
                <w:szCs w:val="24"/>
              </w:rPr>
              <w:t>urine cultures to remind providers about management of ASB</w:t>
            </w:r>
          </w:p>
          <w:p w14:paraId="5FA48792" w14:textId="5FDE3F46" w:rsidR="005E2B87" w:rsidRDefault="005E2B87" w:rsidP="005E2B87">
            <w:pPr>
              <w:numPr>
                <w:ilvl w:val="0"/>
                <w:numId w:val="13"/>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By restricting the way culture results are reported</w:t>
            </w:r>
            <w:r w:rsidR="00AE038D">
              <w:rPr>
                <w:rFonts w:ascii="Calibri" w:hAnsi="Calibri" w:cs="Calibri"/>
                <w:kern w:val="24"/>
                <w:sz w:val="24"/>
                <w:szCs w:val="24"/>
              </w:rPr>
              <w:t>, such as through the following steps:</w:t>
            </w:r>
          </w:p>
          <w:p w14:paraId="45F1C2BB" w14:textId="48EAC7C9" w:rsidR="005E2B87" w:rsidRDefault="005E2B87" w:rsidP="005E2B87">
            <w:pPr>
              <w:numPr>
                <w:ilvl w:val="0"/>
                <w:numId w:val="13"/>
              </w:numPr>
              <w:autoSpaceDE w:val="0"/>
              <w:autoSpaceDN w:val="0"/>
              <w:adjustRightInd w:val="0"/>
              <w:spacing w:after="0" w:line="240" w:lineRule="auto"/>
              <w:ind w:left="1080" w:hanging="360"/>
              <w:rPr>
                <w:rFonts w:ascii="Calibri" w:hAnsi="Calibri" w:cs="Calibri"/>
                <w:kern w:val="24"/>
                <w:sz w:val="24"/>
                <w:szCs w:val="24"/>
              </w:rPr>
            </w:pPr>
            <w:r>
              <w:rPr>
                <w:rFonts w:ascii="Calibri" w:hAnsi="Calibri" w:cs="Calibri"/>
                <w:kern w:val="24"/>
                <w:sz w:val="24"/>
                <w:szCs w:val="24"/>
              </w:rPr>
              <w:lastRenderedPageBreak/>
              <w:t xml:space="preserve">If a UC is mixed with </w:t>
            </w:r>
            <w:r w:rsidR="00AE038D">
              <w:rPr>
                <w:rFonts w:ascii="Calibri" w:hAnsi="Calibri" w:cs="Calibri"/>
                <w:kern w:val="24"/>
                <w:sz w:val="24"/>
                <w:szCs w:val="24"/>
              </w:rPr>
              <w:t xml:space="preserve">more </w:t>
            </w:r>
            <w:r>
              <w:rPr>
                <w:rFonts w:ascii="Calibri" w:hAnsi="Calibri" w:cs="Calibri"/>
                <w:kern w:val="24"/>
                <w:sz w:val="24"/>
                <w:szCs w:val="24"/>
              </w:rPr>
              <w:t xml:space="preserve">than </w:t>
            </w:r>
            <w:r w:rsidR="00AE038D">
              <w:rPr>
                <w:rFonts w:ascii="Calibri" w:hAnsi="Calibri" w:cs="Calibri"/>
                <w:kern w:val="24"/>
                <w:sz w:val="24"/>
                <w:szCs w:val="24"/>
              </w:rPr>
              <w:t>three</w:t>
            </w:r>
            <w:r>
              <w:rPr>
                <w:rFonts w:ascii="Calibri" w:hAnsi="Calibri" w:cs="Calibri"/>
                <w:kern w:val="24"/>
                <w:sz w:val="24"/>
                <w:szCs w:val="24"/>
              </w:rPr>
              <w:t xml:space="preserve"> organisms, no further information is provided</w:t>
            </w:r>
          </w:p>
          <w:p w14:paraId="66C85FD7" w14:textId="77777777" w:rsidR="005E2B87" w:rsidRDefault="005E2B87" w:rsidP="005E2B87">
            <w:pPr>
              <w:numPr>
                <w:ilvl w:val="0"/>
                <w:numId w:val="13"/>
              </w:numPr>
              <w:autoSpaceDE w:val="0"/>
              <w:autoSpaceDN w:val="0"/>
              <w:adjustRightInd w:val="0"/>
              <w:spacing w:after="0" w:line="240" w:lineRule="auto"/>
              <w:ind w:left="1080" w:hanging="360"/>
              <w:rPr>
                <w:rFonts w:ascii="Calibri" w:hAnsi="Calibri" w:cs="Calibri"/>
                <w:kern w:val="24"/>
                <w:sz w:val="24"/>
                <w:szCs w:val="24"/>
              </w:rPr>
            </w:pPr>
            <w:r>
              <w:rPr>
                <w:rFonts w:ascii="Calibri" w:hAnsi="Calibri" w:cs="Calibri"/>
                <w:kern w:val="24"/>
                <w:sz w:val="24"/>
                <w:szCs w:val="24"/>
              </w:rPr>
              <w:t>UC results are only released upon request</w:t>
            </w:r>
          </w:p>
          <w:p w14:paraId="5FE24820" w14:textId="29A16D89" w:rsidR="005E2B87" w:rsidRPr="0056652E" w:rsidRDefault="005E2B87" w:rsidP="005E2B87">
            <w:pPr>
              <w:numPr>
                <w:ilvl w:val="0"/>
                <w:numId w:val="13"/>
              </w:numPr>
              <w:autoSpaceDE w:val="0"/>
              <w:autoSpaceDN w:val="0"/>
              <w:adjustRightInd w:val="0"/>
              <w:spacing w:after="0" w:line="240" w:lineRule="auto"/>
              <w:ind w:left="1080" w:hanging="360"/>
              <w:rPr>
                <w:rFonts w:ascii="Calibri" w:hAnsi="Calibri" w:cs="Calibri"/>
                <w:kern w:val="24"/>
                <w:sz w:val="24"/>
                <w:szCs w:val="24"/>
              </w:rPr>
            </w:pPr>
            <w:r>
              <w:rPr>
                <w:rFonts w:ascii="Calibri" w:hAnsi="Calibri" w:cs="Calibri"/>
                <w:kern w:val="24"/>
                <w:sz w:val="24"/>
                <w:szCs w:val="24"/>
              </w:rPr>
              <w:t>Selective suppression of antimicrobial results or cascading result reporting based on findings</w:t>
            </w:r>
          </w:p>
        </w:tc>
        <w:tc>
          <w:tcPr>
            <w:tcW w:w="3240" w:type="dxa"/>
            <w:tcBorders>
              <w:top w:val="single" w:sz="4" w:space="0" w:color="auto"/>
              <w:left w:val="single" w:sz="4" w:space="0" w:color="auto"/>
              <w:bottom w:val="single" w:sz="4" w:space="0" w:color="auto"/>
              <w:right w:val="single" w:sz="4" w:space="0" w:color="auto"/>
            </w:tcBorders>
          </w:tcPr>
          <w:p w14:paraId="1289743C" w14:textId="77777777" w:rsidR="005E2B87" w:rsidRDefault="005E2B87" w:rsidP="005E2B87">
            <w:r>
              <w:lastRenderedPageBreak/>
              <w:t>Slide 15</w:t>
            </w:r>
          </w:p>
          <w:p w14:paraId="57CF8718" w14:textId="7DFE8729" w:rsidR="005E2B87" w:rsidRDefault="00D045A2" w:rsidP="005E2B87">
            <w:pPr>
              <w:autoSpaceDE w:val="0"/>
              <w:autoSpaceDN w:val="0"/>
              <w:adjustRightInd w:val="0"/>
              <w:spacing w:after="0" w:line="240" w:lineRule="auto"/>
              <w:rPr>
                <w:rFonts w:cs="Calibri"/>
                <w:kern w:val="24"/>
                <w:sz w:val="24"/>
                <w:szCs w:val="24"/>
              </w:rPr>
            </w:pPr>
            <w:r>
              <w:rPr>
                <w:noProof/>
              </w:rPr>
              <w:lastRenderedPageBreak/>
              <w:drawing>
                <wp:inline distT="0" distB="0" distL="0" distR="0" wp14:anchorId="28943D49" wp14:editId="75721B96">
                  <wp:extent cx="1829496" cy="1360627"/>
                  <wp:effectExtent l="19050" t="19050" r="18415" b="1143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3"/>
                          <a:stretch>
                            <a:fillRect/>
                          </a:stretch>
                        </pic:blipFill>
                        <pic:spPr>
                          <a:xfrm>
                            <a:off x="0" y="0"/>
                            <a:ext cx="1834802" cy="1364573"/>
                          </a:xfrm>
                          <a:prstGeom prst="rect">
                            <a:avLst/>
                          </a:prstGeom>
                          <a:ln>
                            <a:solidFill>
                              <a:schemeClr val="tx1"/>
                            </a:solidFill>
                          </a:ln>
                        </pic:spPr>
                      </pic:pic>
                    </a:graphicData>
                  </a:graphic>
                </wp:inline>
              </w:drawing>
            </w:r>
          </w:p>
        </w:tc>
      </w:tr>
      <w:tr w:rsidR="005E2B87" w14:paraId="180BBB99" w14:textId="4F7E8C2B"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59B3A4BB" w14:textId="04414BC4"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 xml:space="preserve">In 2018, a survey was </w:t>
            </w:r>
            <w:r w:rsidR="002228DB">
              <w:rPr>
                <w:rFonts w:ascii="Calibri" w:hAnsi="Calibri" w:cs="Calibri"/>
                <w:kern w:val="24"/>
                <w:sz w:val="24"/>
                <w:szCs w:val="24"/>
              </w:rPr>
              <w:t>completed by</w:t>
            </w:r>
            <w:r>
              <w:rPr>
                <w:rFonts w:ascii="Calibri" w:hAnsi="Calibri" w:cs="Calibri"/>
                <w:kern w:val="24"/>
                <w:sz w:val="24"/>
                <w:szCs w:val="24"/>
              </w:rPr>
              <w:t xml:space="preserve"> 1</w:t>
            </w:r>
            <w:r w:rsidR="002228DB">
              <w:rPr>
                <w:rFonts w:ascii="Calibri" w:hAnsi="Calibri" w:cs="Calibri"/>
                <w:kern w:val="24"/>
                <w:sz w:val="24"/>
                <w:szCs w:val="24"/>
              </w:rPr>
              <w:t>2</w:t>
            </w:r>
            <w:r>
              <w:rPr>
                <w:rFonts w:ascii="Calibri" w:hAnsi="Calibri" w:cs="Calibri"/>
                <w:kern w:val="24"/>
                <w:sz w:val="24"/>
                <w:szCs w:val="24"/>
              </w:rPr>
              <w:t>2 members of the Society for Healthcare Epidemiology of America research network to examine acute care hospitals</w:t>
            </w:r>
            <w:r w:rsidR="00AE038D">
              <w:rPr>
                <w:rFonts w:ascii="Calibri" w:hAnsi="Calibri" w:cs="Calibri"/>
                <w:kern w:val="24"/>
                <w:sz w:val="24"/>
                <w:szCs w:val="24"/>
              </w:rPr>
              <w:t>’</w:t>
            </w:r>
            <w:r>
              <w:rPr>
                <w:rFonts w:ascii="Calibri" w:hAnsi="Calibri" w:cs="Calibri"/>
                <w:kern w:val="24"/>
                <w:sz w:val="24"/>
                <w:szCs w:val="24"/>
              </w:rPr>
              <w:t xml:space="preserve"> practices around urine culture stewardship. The total response rate was 43</w:t>
            </w:r>
            <w:r w:rsidR="00AE038D">
              <w:rPr>
                <w:rFonts w:ascii="Calibri" w:hAnsi="Calibri" w:cs="Calibri"/>
                <w:kern w:val="24"/>
                <w:sz w:val="24"/>
                <w:szCs w:val="24"/>
              </w:rPr>
              <w:t xml:space="preserve"> percent,</w:t>
            </w:r>
            <w:r>
              <w:rPr>
                <w:rFonts w:ascii="Calibri" w:hAnsi="Calibri" w:cs="Calibri"/>
                <w:kern w:val="24"/>
                <w:sz w:val="24"/>
                <w:szCs w:val="24"/>
              </w:rPr>
              <w:t xml:space="preserve"> with 75</w:t>
            </w:r>
            <w:r w:rsidR="00AE038D">
              <w:rPr>
                <w:rFonts w:ascii="Calibri" w:hAnsi="Calibri" w:cs="Calibri"/>
                <w:kern w:val="24"/>
                <w:sz w:val="24"/>
                <w:szCs w:val="24"/>
              </w:rPr>
              <w:t xml:space="preserve"> percent</w:t>
            </w:r>
            <w:r>
              <w:rPr>
                <w:rFonts w:ascii="Calibri" w:hAnsi="Calibri" w:cs="Calibri"/>
                <w:kern w:val="24"/>
                <w:sz w:val="24"/>
                <w:szCs w:val="24"/>
              </w:rPr>
              <w:t xml:space="preserve"> from U</w:t>
            </w:r>
            <w:r w:rsidR="00AE038D">
              <w:rPr>
                <w:rFonts w:ascii="Calibri" w:hAnsi="Calibri" w:cs="Calibri"/>
                <w:kern w:val="24"/>
                <w:sz w:val="24"/>
                <w:szCs w:val="24"/>
              </w:rPr>
              <w:t>.</w:t>
            </w:r>
            <w:r>
              <w:rPr>
                <w:rFonts w:ascii="Calibri" w:hAnsi="Calibri" w:cs="Calibri"/>
                <w:kern w:val="24"/>
                <w:sz w:val="24"/>
                <w:szCs w:val="24"/>
              </w:rPr>
              <w:t>S</w:t>
            </w:r>
            <w:r w:rsidR="00AE038D">
              <w:rPr>
                <w:rFonts w:ascii="Calibri" w:hAnsi="Calibri" w:cs="Calibri"/>
                <w:kern w:val="24"/>
                <w:sz w:val="24"/>
                <w:szCs w:val="24"/>
              </w:rPr>
              <w:t>.</w:t>
            </w:r>
            <w:r>
              <w:rPr>
                <w:rFonts w:ascii="Calibri" w:hAnsi="Calibri" w:cs="Calibri"/>
                <w:kern w:val="24"/>
                <w:sz w:val="24"/>
                <w:szCs w:val="24"/>
              </w:rPr>
              <w:t xml:space="preserve"> hospitals and the remainder from Canadian facilities. </w:t>
            </w:r>
          </w:p>
          <w:p w14:paraId="5BC37917" w14:textId="77777777" w:rsidR="005E2B87" w:rsidRDefault="005E2B87" w:rsidP="005E2B87">
            <w:pPr>
              <w:autoSpaceDE w:val="0"/>
              <w:autoSpaceDN w:val="0"/>
              <w:adjustRightInd w:val="0"/>
              <w:spacing w:after="0" w:line="240" w:lineRule="auto"/>
              <w:rPr>
                <w:rFonts w:ascii="Calibri" w:hAnsi="Calibri" w:cs="Calibri"/>
                <w:b/>
                <w:bCs/>
                <w:kern w:val="24"/>
                <w:sz w:val="24"/>
                <w:szCs w:val="24"/>
              </w:rPr>
            </w:pPr>
          </w:p>
          <w:p w14:paraId="75095B6B" w14:textId="4615F97E"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On</w:t>
            </w:r>
            <w:r w:rsidRPr="00C86FEA">
              <w:rPr>
                <w:rFonts w:ascii="Calibri" w:hAnsi="Calibri" w:cs="Calibri"/>
                <w:kern w:val="24"/>
                <w:sz w:val="24"/>
                <w:szCs w:val="24"/>
              </w:rPr>
              <w:t>ly 44</w:t>
            </w:r>
            <w:r w:rsidR="00AE038D">
              <w:rPr>
                <w:rFonts w:ascii="Calibri" w:hAnsi="Calibri" w:cs="Calibri"/>
                <w:kern w:val="24"/>
                <w:sz w:val="24"/>
                <w:szCs w:val="24"/>
              </w:rPr>
              <w:t xml:space="preserve"> percent</w:t>
            </w:r>
            <w:r w:rsidRPr="00C86FEA">
              <w:rPr>
                <w:rFonts w:ascii="Calibri" w:hAnsi="Calibri" w:cs="Calibri"/>
                <w:kern w:val="24"/>
                <w:sz w:val="24"/>
                <w:szCs w:val="24"/>
              </w:rPr>
              <w:t xml:space="preserve"> </w:t>
            </w:r>
            <w:r>
              <w:rPr>
                <w:rFonts w:ascii="Calibri" w:hAnsi="Calibri" w:cs="Calibri"/>
                <w:kern w:val="24"/>
                <w:sz w:val="24"/>
                <w:szCs w:val="24"/>
              </w:rPr>
              <w:t>of facilities had published indications for ordering urine cultures</w:t>
            </w:r>
            <w:r w:rsidR="00AE038D">
              <w:rPr>
                <w:rFonts w:ascii="Calibri" w:hAnsi="Calibri" w:cs="Calibri"/>
                <w:kern w:val="24"/>
                <w:sz w:val="24"/>
                <w:szCs w:val="24"/>
              </w:rPr>
              <w:t>,</w:t>
            </w:r>
            <w:r>
              <w:rPr>
                <w:rFonts w:ascii="Calibri" w:hAnsi="Calibri" w:cs="Calibri"/>
                <w:kern w:val="24"/>
                <w:sz w:val="24"/>
                <w:szCs w:val="24"/>
              </w:rPr>
              <w:t xml:space="preserve"> and only 17</w:t>
            </w:r>
            <w:r w:rsidR="00AE038D">
              <w:rPr>
                <w:rFonts w:ascii="Calibri" w:hAnsi="Calibri" w:cs="Calibri"/>
                <w:kern w:val="24"/>
                <w:sz w:val="24"/>
                <w:szCs w:val="24"/>
              </w:rPr>
              <w:t xml:space="preserve"> percent</w:t>
            </w:r>
            <w:r>
              <w:rPr>
                <w:rFonts w:ascii="Calibri" w:hAnsi="Calibri" w:cs="Calibri"/>
                <w:kern w:val="24"/>
                <w:sz w:val="24"/>
                <w:szCs w:val="24"/>
              </w:rPr>
              <w:t xml:space="preserve"> of them integrated the indications into the EHR. In the U</w:t>
            </w:r>
            <w:r w:rsidR="00AE038D">
              <w:rPr>
                <w:rFonts w:ascii="Calibri" w:hAnsi="Calibri" w:cs="Calibri"/>
                <w:kern w:val="24"/>
                <w:sz w:val="24"/>
                <w:szCs w:val="24"/>
              </w:rPr>
              <w:t xml:space="preserve">nited </w:t>
            </w:r>
            <w:r>
              <w:rPr>
                <w:rFonts w:ascii="Calibri" w:hAnsi="Calibri" w:cs="Calibri"/>
                <w:kern w:val="24"/>
                <w:sz w:val="24"/>
                <w:szCs w:val="24"/>
              </w:rPr>
              <w:t>S</w:t>
            </w:r>
            <w:r w:rsidR="00AE038D">
              <w:rPr>
                <w:rFonts w:ascii="Calibri" w:hAnsi="Calibri" w:cs="Calibri"/>
                <w:kern w:val="24"/>
                <w:sz w:val="24"/>
                <w:szCs w:val="24"/>
              </w:rPr>
              <w:t>tates,</w:t>
            </w:r>
            <w:r>
              <w:rPr>
                <w:rFonts w:ascii="Calibri" w:hAnsi="Calibri" w:cs="Calibri"/>
                <w:kern w:val="24"/>
                <w:sz w:val="24"/>
                <w:szCs w:val="24"/>
              </w:rPr>
              <w:t xml:space="preserve"> 66</w:t>
            </w:r>
            <w:r w:rsidR="00AE038D">
              <w:rPr>
                <w:rFonts w:ascii="Calibri" w:hAnsi="Calibri" w:cs="Calibri"/>
                <w:kern w:val="24"/>
                <w:sz w:val="24"/>
                <w:szCs w:val="24"/>
              </w:rPr>
              <w:t xml:space="preserve"> percent</w:t>
            </w:r>
            <w:r>
              <w:rPr>
                <w:rFonts w:ascii="Calibri" w:hAnsi="Calibri" w:cs="Calibri"/>
                <w:kern w:val="24"/>
                <w:sz w:val="24"/>
                <w:szCs w:val="24"/>
              </w:rPr>
              <w:t xml:space="preserve"> of the labs offered reflex cultures at the top of the order set or prechecked.</w:t>
            </w:r>
          </w:p>
          <w:p w14:paraId="0304FF93"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5FF012BD" w14:textId="30F3EC60"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All but one of the organizations could order a urine culture without a</w:t>
            </w:r>
            <w:r w:rsidR="00EB2861">
              <w:rPr>
                <w:rFonts w:ascii="Calibri" w:hAnsi="Calibri" w:cs="Calibri"/>
                <w:kern w:val="24"/>
                <w:sz w:val="24"/>
                <w:szCs w:val="24"/>
              </w:rPr>
              <w:t xml:space="preserve"> UA</w:t>
            </w:r>
            <w:r>
              <w:rPr>
                <w:rFonts w:ascii="Calibri" w:hAnsi="Calibri" w:cs="Calibri"/>
                <w:kern w:val="24"/>
                <w:sz w:val="24"/>
                <w:szCs w:val="24"/>
              </w:rPr>
              <w:t xml:space="preserve">. </w:t>
            </w:r>
            <w:r w:rsidR="00AE038D">
              <w:rPr>
                <w:rFonts w:ascii="Calibri" w:hAnsi="Calibri" w:cs="Calibri"/>
                <w:kern w:val="24"/>
                <w:sz w:val="24"/>
                <w:szCs w:val="24"/>
              </w:rPr>
              <w:t>Thirty-nine percent</w:t>
            </w:r>
            <w:r>
              <w:rPr>
                <w:rFonts w:ascii="Calibri" w:hAnsi="Calibri" w:cs="Calibri"/>
                <w:kern w:val="24"/>
                <w:sz w:val="24"/>
                <w:szCs w:val="24"/>
              </w:rPr>
              <w:t xml:space="preserve"> of the labs proceed</w:t>
            </w:r>
            <w:r w:rsidR="00AE038D">
              <w:rPr>
                <w:rFonts w:ascii="Calibri" w:hAnsi="Calibri" w:cs="Calibri"/>
                <w:kern w:val="24"/>
                <w:sz w:val="24"/>
                <w:szCs w:val="24"/>
              </w:rPr>
              <w:t>ed</w:t>
            </w:r>
            <w:r>
              <w:rPr>
                <w:rFonts w:ascii="Calibri" w:hAnsi="Calibri" w:cs="Calibri"/>
                <w:kern w:val="24"/>
                <w:sz w:val="24"/>
                <w:szCs w:val="24"/>
              </w:rPr>
              <w:t xml:space="preserve"> with culture analysis</w:t>
            </w:r>
            <w:r w:rsidR="00AE038D">
              <w:rPr>
                <w:rFonts w:ascii="Calibri" w:hAnsi="Calibri" w:cs="Calibri"/>
                <w:kern w:val="24"/>
                <w:sz w:val="24"/>
                <w:szCs w:val="24"/>
              </w:rPr>
              <w:t>,</w:t>
            </w:r>
            <w:r>
              <w:rPr>
                <w:rFonts w:ascii="Calibri" w:hAnsi="Calibri" w:cs="Calibri"/>
                <w:kern w:val="24"/>
                <w:sz w:val="24"/>
                <w:szCs w:val="24"/>
              </w:rPr>
              <w:t xml:space="preserve"> even with the delay in transport, while only 35</w:t>
            </w:r>
            <w:r w:rsidR="00AE038D">
              <w:rPr>
                <w:rFonts w:ascii="Calibri" w:hAnsi="Calibri" w:cs="Calibri"/>
                <w:kern w:val="24"/>
                <w:sz w:val="24"/>
                <w:szCs w:val="24"/>
              </w:rPr>
              <w:t xml:space="preserve"> percent</w:t>
            </w:r>
            <w:r>
              <w:rPr>
                <w:rFonts w:ascii="Calibri" w:hAnsi="Calibri" w:cs="Calibri"/>
                <w:kern w:val="24"/>
                <w:sz w:val="24"/>
                <w:szCs w:val="24"/>
              </w:rPr>
              <w:t xml:space="preserve"> used a preservative in urine collection tubes. Over 90</w:t>
            </w:r>
            <w:r w:rsidR="00AE038D">
              <w:rPr>
                <w:rFonts w:ascii="Calibri" w:hAnsi="Calibri" w:cs="Calibri"/>
                <w:kern w:val="24"/>
                <w:sz w:val="24"/>
                <w:szCs w:val="24"/>
              </w:rPr>
              <w:t xml:space="preserve"> percent</w:t>
            </w:r>
            <w:r>
              <w:rPr>
                <w:rFonts w:ascii="Calibri" w:hAnsi="Calibri" w:cs="Calibri"/>
                <w:kern w:val="24"/>
                <w:sz w:val="24"/>
                <w:szCs w:val="24"/>
              </w:rPr>
              <w:t xml:space="preserve"> of the organization’s laboratories report</w:t>
            </w:r>
            <w:r w:rsidR="00AE038D">
              <w:rPr>
                <w:rFonts w:ascii="Calibri" w:hAnsi="Calibri" w:cs="Calibri"/>
                <w:kern w:val="24"/>
                <w:sz w:val="24"/>
                <w:szCs w:val="24"/>
              </w:rPr>
              <w:t>ed</w:t>
            </w:r>
            <w:r>
              <w:rPr>
                <w:rFonts w:ascii="Calibri" w:hAnsi="Calibri" w:cs="Calibri"/>
                <w:kern w:val="24"/>
                <w:sz w:val="24"/>
                <w:szCs w:val="24"/>
              </w:rPr>
              <w:t xml:space="preserve"> mixture </w:t>
            </w:r>
            <w:r w:rsidR="00AE038D">
              <w:rPr>
                <w:rFonts w:ascii="Calibri" w:hAnsi="Calibri" w:cs="Calibri"/>
                <w:kern w:val="24"/>
                <w:sz w:val="24"/>
                <w:szCs w:val="24"/>
              </w:rPr>
              <w:t xml:space="preserve">of </w:t>
            </w:r>
            <w:r>
              <w:rPr>
                <w:rFonts w:ascii="Calibri" w:hAnsi="Calibri" w:cs="Calibri"/>
                <w:kern w:val="24"/>
                <w:sz w:val="24"/>
                <w:szCs w:val="24"/>
              </w:rPr>
              <w:t xml:space="preserve">urine cultures with no further organism workup when three or more </w:t>
            </w:r>
            <w:proofErr w:type="spellStart"/>
            <w:r>
              <w:rPr>
                <w:rFonts w:ascii="Calibri" w:hAnsi="Calibri" w:cs="Calibri"/>
                <w:kern w:val="24"/>
                <w:sz w:val="24"/>
                <w:szCs w:val="24"/>
              </w:rPr>
              <w:t>uropathogens</w:t>
            </w:r>
            <w:proofErr w:type="spellEnd"/>
            <w:r>
              <w:rPr>
                <w:rFonts w:ascii="Calibri" w:hAnsi="Calibri" w:cs="Calibri"/>
                <w:kern w:val="24"/>
                <w:sz w:val="24"/>
                <w:szCs w:val="24"/>
              </w:rPr>
              <w:t xml:space="preserve"> </w:t>
            </w:r>
            <w:r w:rsidR="00AE038D">
              <w:rPr>
                <w:rFonts w:ascii="Calibri" w:hAnsi="Calibri" w:cs="Calibri"/>
                <w:kern w:val="24"/>
                <w:sz w:val="24"/>
                <w:szCs w:val="24"/>
              </w:rPr>
              <w:t>were</w:t>
            </w:r>
            <w:r>
              <w:rPr>
                <w:rFonts w:ascii="Calibri" w:hAnsi="Calibri" w:cs="Calibri"/>
                <w:kern w:val="24"/>
                <w:sz w:val="24"/>
                <w:szCs w:val="24"/>
              </w:rPr>
              <w:t xml:space="preserve"> recovered. </w:t>
            </w:r>
          </w:p>
        </w:tc>
        <w:tc>
          <w:tcPr>
            <w:tcW w:w="3240" w:type="dxa"/>
            <w:tcBorders>
              <w:top w:val="single" w:sz="4" w:space="0" w:color="auto"/>
              <w:left w:val="single" w:sz="4" w:space="0" w:color="auto"/>
              <w:bottom w:val="single" w:sz="4" w:space="0" w:color="auto"/>
              <w:right w:val="single" w:sz="4" w:space="0" w:color="auto"/>
            </w:tcBorders>
          </w:tcPr>
          <w:p w14:paraId="58D6C860" w14:textId="77777777" w:rsidR="005E2B87" w:rsidRDefault="005E2B87" w:rsidP="005E2B87">
            <w:r>
              <w:t>Slide 16</w:t>
            </w:r>
          </w:p>
          <w:p w14:paraId="44D42F67" w14:textId="7616C403" w:rsidR="005E2B87" w:rsidRDefault="00104ABE" w:rsidP="005E2B87">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41D648C3" wp14:editId="3599371D">
                  <wp:extent cx="1828800" cy="1381125"/>
                  <wp:effectExtent l="19050" t="19050" r="19050" b="2857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381125"/>
                          </a:xfrm>
                          <a:prstGeom prst="rect">
                            <a:avLst/>
                          </a:prstGeom>
                          <a:noFill/>
                          <a:ln>
                            <a:solidFill>
                              <a:schemeClr val="tx1"/>
                            </a:solidFill>
                          </a:ln>
                        </pic:spPr>
                      </pic:pic>
                    </a:graphicData>
                  </a:graphic>
                </wp:inline>
              </w:drawing>
            </w:r>
          </w:p>
        </w:tc>
      </w:tr>
      <w:tr w:rsidR="005E2B87" w14:paraId="203C4CB3" w14:textId="1B2B5DD5"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5A91A38D" w14:textId="138AE623"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Many clinicians don’t perceive CAUTI as a dangerous problem, so an inappropriate urine culture hardly seems significant. When teaching culturing stewardship, emphasize the risks associated with misdiagnosis in a memorable way. Perhaps the most obvious harms are allergies and adverse effects (like renal failure) from antibiotics. Also, there is </w:t>
            </w:r>
            <w:proofErr w:type="spellStart"/>
            <w:r w:rsidRPr="00CA0593">
              <w:rPr>
                <w:rFonts w:ascii="Calibri" w:hAnsi="Calibri" w:cs="Calibri"/>
                <w:i/>
                <w:iCs/>
                <w:kern w:val="24"/>
                <w:sz w:val="24"/>
                <w:szCs w:val="24"/>
              </w:rPr>
              <w:t>Clostridioides</w:t>
            </w:r>
            <w:proofErr w:type="spellEnd"/>
            <w:r>
              <w:rPr>
                <w:rFonts w:ascii="Calibri" w:hAnsi="Calibri" w:cs="Calibri"/>
                <w:i/>
                <w:iCs/>
                <w:kern w:val="24"/>
                <w:sz w:val="24"/>
                <w:szCs w:val="24"/>
              </w:rPr>
              <w:t xml:space="preserve"> difficile </w:t>
            </w:r>
            <w:r>
              <w:rPr>
                <w:rFonts w:ascii="Calibri" w:hAnsi="Calibri" w:cs="Calibri"/>
                <w:kern w:val="24"/>
                <w:sz w:val="24"/>
                <w:szCs w:val="24"/>
              </w:rPr>
              <w:t xml:space="preserve">diarrhea, the harm and discomfort of central access for antibiotics, and the increasing rate of drug resistance. Humanize these harms if you can. Talk about patients that had a debilitating </w:t>
            </w:r>
            <w:r>
              <w:rPr>
                <w:rFonts w:ascii="Calibri" w:hAnsi="Calibri" w:cs="Calibri"/>
                <w:i/>
                <w:iCs/>
                <w:kern w:val="24"/>
                <w:sz w:val="24"/>
                <w:szCs w:val="24"/>
              </w:rPr>
              <w:t xml:space="preserve">C. diff </w:t>
            </w:r>
            <w:r>
              <w:rPr>
                <w:rFonts w:ascii="Calibri" w:hAnsi="Calibri" w:cs="Calibri"/>
                <w:kern w:val="24"/>
                <w:sz w:val="24"/>
                <w:szCs w:val="24"/>
              </w:rPr>
              <w:t>infection related to inappropriate antibiotic use, because human stories drive home the facts. For example, after being treated for an inappropriate urine culture result</w:t>
            </w:r>
            <w:r w:rsidR="00AE038D">
              <w:rPr>
                <w:rFonts w:ascii="Calibri" w:hAnsi="Calibri" w:cs="Calibri"/>
                <w:kern w:val="24"/>
                <w:sz w:val="24"/>
                <w:szCs w:val="24"/>
              </w:rPr>
              <w:t>,</w:t>
            </w:r>
            <w:r>
              <w:rPr>
                <w:rFonts w:ascii="Calibri" w:hAnsi="Calibri" w:cs="Calibri"/>
                <w:kern w:val="24"/>
                <w:sz w:val="24"/>
                <w:szCs w:val="24"/>
              </w:rPr>
              <w:t xml:space="preserve"> the patient received a course of antibiotic. In this picture, the patient’s arm shows an antibiotic rash. This patient went on to suffer toxic epidermal necrolysis, was transferred to the burn unit, and died from his antibiotics.</w:t>
            </w:r>
          </w:p>
        </w:tc>
        <w:tc>
          <w:tcPr>
            <w:tcW w:w="3240" w:type="dxa"/>
            <w:tcBorders>
              <w:top w:val="single" w:sz="4" w:space="0" w:color="auto"/>
              <w:left w:val="single" w:sz="4" w:space="0" w:color="auto"/>
              <w:bottom w:val="single" w:sz="4" w:space="0" w:color="auto"/>
              <w:right w:val="single" w:sz="4" w:space="0" w:color="auto"/>
            </w:tcBorders>
          </w:tcPr>
          <w:p w14:paraId="548C0E2B" w14:textId="77777777" w:rsidR="005E2B87" w:rsidRDefault="005E2B87" w:rsidP="005E2B87">
            <w:r>
              <w:t>Slide 17</w:t>
            </w:r>
          </w:p>
          <w:p w14:paraId="69BB7EEE" w14:textId="1E672C69" w:rsidR="005E2B87" w:rsidRDefault="00104ABE" w:rsidP="005E2B87">
            <w:pPr>
              <w:autoSpaceDE w:val="0"/>
              <w:autoSpaceDN w:val="0"/>
              <w:adjustRightInd w:val="0"/>
              <w:spacing w:after="0" w:line="240" w:lineRule="auto"/>
              <w:rPr>
                <w:rFonts w:cs="Calibri"/>
                <w:kern w:val="24"/>
                <w:sz w:val="24"/>
                <w:szCs w:val="24"/>
              </w:rPr>
            </w:pPr>
            <w:r>
              <w:rPr>
                <w:rFonts w:cs="Calibri"/>
                <w:noProof/>
                <w:kern w:val="24"/>
                <w:sz w:val="24"/>
                <w:szCs w:val="24"/>
              </w:rPr>
              <w:drawing>
                <wp:inline distT="0" distB="0" distL="0" distR="0" wp14:anchorId="2759A9DB" wp14:editId="51E4237C">
                  <wp:extent cx="1838325" cy="1381125"/>
                  <wp:effectExtent l="19050" t="19050" r="28575" b="285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5E2B87" w14:paraId="0E0C62BF" w14:textId="59016666" w:rsidTr="00597314">
        <w:trPr>
          <w:trHeight w:val="800"/>
        </w:trPr>
        <w:tc>
          <w:tcPr>
            <w:tcW w:w="6655" w:type="dxa"/>
            <w:tcBorders>
              <w:top w:val="single" w:sz="4" w:space="0" w:color="auto"/>
              <w:left w:val="single" w:sz="4" w:space="0" w:color="auto"/>
              <w:bottom w:val="single" w:sz="4" w:space="0" w:color="auto"/>
              <w:right w:val="single" w:sz="4" w:space="0" w:color="auto"/>
            </w:tcBorders>
          </w:tcPr>
          <w:p w14:paraId="699ED98A" w14:textId="1778D3F3"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 xml:space="preserve">Here is a summary of the harms of culturing urine when it’s not necessary. The harms include </w:t>
            </w:r>
            <w:r w:rsidRPr="00402703">
              <w:rPr>
                <w:rFonts w:ascii="Calibri" w:hAnsi="Calibri" w:cs="Calibri"/>
                <w:kern w:val="24"/>
                <w:sz w:val="24"/>
                <w:szCs w:val="24"/>
              </w:rPr>
              <w:t xml:space="preserve">antibiotic overuse, </w:t>
            </w:r>
            <w:r w:rsidRPr="0046151B">
              <w:rPr>
                <w:rFonts w:ascii="Calibri" w:hAnsi="Calibri" w:cs="Calibri"/>
                <w:i/>
                <w:kern w:val="24"/>
                <w:sz w:val="24"/>
                <w:szCs w:val="24"/>
              </w:rPr>
              <w:t>C. diff</w:t>
            </w:r>
            <w:r>
              <w:rPr>
                <w:rFonts w:ascii="Calibri" w:hAnsi="Calibri" w:cs="Calibri"/>
                <w:kern w:val="24"/>
                <w:sz w:val="24"/>
                <w:szCs w:val="24"/>
              </w:rPr>
              <w:t>,</w:t>
            </w:r>
            <w:r w:rsidRPr="00402703">
              <w:rPr>
                <w:rFonts w:ascii="Calibri" w:hAnsi="Calibri" w:cs="Calibri"/>
                <w:kern w:val="24"/>
                <w:sz w:val="24"/>
                <w:szCs w:val="24"/>
              </w:rPr>
              <w:t xml:space="preserve"> more resistant organisms</w:t>
            </w:r>
            <w:r>
              <w:rPr>
                <w:rFonts w:ascii="Calibri" w:hAnsi="Calibri" w:cs="Calibri"/>
                <w:kern w:val="24"/>
                <w:sz w:val="24"/>
                <w:szCs w:val="24"/>
              </w:rPr>
              <w:t xml:space="preserve">, </w:t>
            </w:r>
            <w:r w:rsidRPr="00402703">
              <w:rPr>
                <w:rFonts w:ascii="Calibri" w:hAnsi="Calibri" w:cs="Calibri"/>
                <w:kern w:val="24"/>
                <w:sz w:val="24"/>
                <w:szCs w:val="24"/>
              </w:rPr>
              <w:t xml:space="preserve">overinflated </w:t>
            </w:r>
            <w:r>
              <w:rPr>
                <w:rFonts w:ascii="Calibri" w:hAnsi="Calibri" w:cs="Calibri"/>
                <w:kern w:val="24"/>
                <w:sz w:val="24"/>
                <w:szCs w:val="24"/>
              </w:rPr>
              <w:t>CAUTI</w:t>
            </w:r>
            <w:r w:rsidRPr="00402703">
              <w:rPr>
                <w:rFonts w:ascii="Calibri" w:hAnsi="Calibri" w:cs="Calibri"/>
                <w:kern w:val="24"/>
                <w:sz w:val="24"/>
                <w:szCs w:val="24"/>
              </w:rPr>
              <w:t xml:space="preserve"> rates</w:t>
            </w:r>
            <w:r>
              <w:rPr>
                <w:rFonts w:ascii="Calibri" w:hAnsi="Calibri" w:cs="Calibri"/>
                <w:kern w:val="24"/>
                <w:sz w:val="24"/>
                <w:szCs w:val="24"/>
              </w:rPr>
              <w:t>,</w:t>
            </w:r>
            <w:r w:rsidRPr="00402703">
              <w:rPr>
                <w:rFonts w:ascii="Calibri" w:hAnsi="Calibri" w:cs="Calibri"/>
                <w:kern w:val="24"/>
                <w:sz w:val="24"/>
                <w:szCs w:val="24"/>
              </w:rPr>
              <w:t xml:space="preserve"> inappropriate treatment</w:t>
            </w:r>
            <w:r>
              <w:rPr>
                <w:rFonts w:ascii="Calibri" w:hAnsi="Calibri" w:cs="Calibri"/>
                <w:kern w:val="24"/>
                <w:sz w:val="24"/>
                <w:szCs w:val="24"/>
              </w:rPr>
              <w:t xml:space="preserve">, </w:t>
            </w:r>
            <w:r w:rsidRPr="00402703">
              <w:rPr>
                <w:rFonts w:ascii="Calibri" w:hAnsi="Calibri" w:cs="Calibri"/>
                <w:kern w:val="24"/>
                <w:sz w:val="24"/>
                <w:szCs w:val="24"/>
              </w:rPr>
              <w:t>exposure to drug allergies</w:t>
            </w:r>
            <w:r w:rsidR="00AE038D">
              <w:rPr>
                <w:rFonts w:ascii="Calibri" w:hAnsi="Calibri" w:cs="Calibri"/>
                <w:kern w:val="24"/>
                <w:sz w:val="24"/>
                <w:szCs w:val="24"/>
              </w:rPr>
              <w:t>,</w:t>
            </w:r>
            <w:r w:rsidRPr="00402703">
              <w:rPr>
                <w:rFonts w:ascii="Calibri" w:hAnsi="Calibri" w:cs="Calibri"/>
                <w:kern w:val="24"/>
                <w:sz w:val="24"/>
                <w:szCs w:val="24"/>
              </w:rPr>
              <w:t xml:space="preserve"> and potential renal failure</w:t>
            </w:r>
            <w:r>
              <w:rPr>
                <w:rFonts w:ascii="Calibri" w:hAnsi="Calibri" w:cs="Calibri"/>
                <w:kern w:val="24"/>
                <w:sz w:val="24"/>
                <w:szCs w:val="24"/>
              </w:rPr>
              <w:t xml:space="preserve">. The slide also notes the cost of misdiagnosis, a loss of CMS (Centers for Medicare &amp; Medicaid Services) reimbursement. If a fever is mistakenly blamed on a positive urine culture, then </w:t>
            </w:r>
            <w:r w:rsidR="00AE038D">
              <w:rPr>
                <w:rFonts w:ascii="Calibri" w:hAnsi="Calibri" w:cs="Calibri"/>
                <w:kern w:val="24"/>
                <w:sz w:val="24"/>
                <w:szCs w:val="24"/>
              </w:rPr>
              <w:t xml:space="preserve">there is </w:t>
            </w:r>
            <w:r>
              <w:rPr>
                <w:rFonts w:ascii="Calibri" w:hAnsi="Calibri" w:cs="Calibri"/>
                <w:kern w:val="24"/>
                <w:sz w:val="24"/>
                <w:szCs w:val="24"/>
              </w:rPr>
              <w:t>a delay in reaching the patient’s real diagnosis.</w:t>
            </w:r>
          </w:p>
        </w:tc>
        <w:tc>
          <w:tcPr>
            <w:tcW w:w="3240" w:type="dxa"/>
            <w:tcBorders>
              <w:top w:val="single" w:sz="4" w:space="0" w:color="auto"/>
              <w:left w:val="single" w:sz="4" w:space="0" w:color="auto"/>
              <w:bottom w:val="single" w:sz="4" w:space="0" w:color="auto"/>
              <w:right w:val="single" w:sz="4" w:space="0" w:color="auto"/>
            </w:tcBorders>
          </w:tcPr>
          <w:p w14:paraId="0D673087" w14:textId="77777777" w:rsidR="005E2B87" w:rsidRDefault="005E2B87" w:rsidP="005E2B87">
            <w:r>
              <w:t>Slide 18</w:t>
            </w:r>
          </w:p>
          <w:p w14:paraId="25C22D26" w14:textId="39B7F0FC" w:rsidR="005E2B87" w:rsidRDefault="00104ABE" w:rsidP="0056652E">
            <w:pPr>
              <w:autoSpaceDE w:val="0"/>
              <w:autoSpaceDN w:val="0"/>
              <w:adjustRightInd w:val="0"/>
              <w:spacing w:after="120" w:line="240" w:lineRule="auto"/>
              <w:rPr>
                <w:rFonts w:cs="Calibri"/>
                <w:kern w:val="24"/>
                <w:sz w:val="24"/>
                <w:szCs w:val="24"/>
              </w:rPr>
            </w:pPr>
            <w:r>
              <w:rPr>
                <w:rFonts w:cs="Calibri"/>
                <w:noProof/>
                <w:kern w:val="24"/>
                <w:sz w:val="24"/>
                <w:szCs w:val="24"/>
              </w:rPr>
              <w:drawing>
                <wp:inline distT="0" distB="0" distL="0" distR="0" wp14:anchorId="63D28E5C" wp14:editId="38321E9E">
                  <wp:extent cx="1838325" cy="1381125"/>
                  <wp:effectExtent l="19050" t="19050" r="28575" b="2857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5E2B87" w14:paraId="0C68DD83" w14:textId="77777777" w:rsidTr="009831B1">
        <w:trPr>
          <w:trHeight w:val="800"/>
        </w:trPr>
        <w:tc>
          <w:tcPr>
            <w:tcW w:w="6655" w:type="dxa"/>
            <w:tcBorders>
              <w:top w:val="single" w:sz="4" w:space="0" w:color="auto"/>
              <w:left w:val="single" w:sz="4" w:space="0" w:color="auto"/>
              <w:bottom w:val="single" w:sz="4" w:space="0" w:color="auto"/>
              <w:right w:val="single" w:sz="4" w:space="0" w:color="auto"/>
            </w:tcBorders>
          </w:tcPr>
          <w:p w14:paraId="677CA9D8" w14:textId="5231177B"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Putting together everything we’ve discussed, it’s clear that erroneous culturing is a multistep process. There are inaccurate beliefs and rote behaviors. These are influenced by relationships and hierarchies. When the orders are placed, computerized physician order entry shape</w:t>
            </w:r>
            <w:r w:rsidR="00AE038D">
              <w:rPr>
                <w:rFonts w:ascii="Calibri" w:hAnsi="Calibri" w:cs="Calibri"/>
                <w:kern w:val="24"/>
                <w:sz w:val="24"/>
                <w:szCs w:val="24"/>
              </w:rPr>
              <w:t>s</w:t>
            </w:r>
            <w:r>
              <w:rPr>
                <w:rFonts w:ascii="Calibri" w:hAnsi="Calibri" w:cs="Calibri"/>
                <w:kern w:val="24"/>
                <w:sz w:val="24"/>
                <w:szCs w:val="24"/>
              </w:rPr>
              <w:t xml:space="preserve"> the decisions made. The harms that occur can be mistakenly considered an unavoidable “cost of doing business” instead of understood as avoidable, tragic injury. How should you intervene?</w:t>
            </w:r>
          </w:p>
          <w:p w14:paraId="348CAE3E"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14055425" w14:textId="3F86EA6D"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Beliefs can be corrected with stewardship education. Relationships can be improved by promoting nurse collaboration and a “speak up” culture, or by including an infection preventionist on rounds. Some units leverage attending expertise by requiring </w:t>
            </w:r>
            <w:r w:rsidR="00AE038D">
              <w:rPr>
                <w:rFonts w:ascii="Calibri" w:hAnsi="Calibri" w:cs="Calibri"/>
                <w:kern w:val="24"/>
                <w:sz w:val="24"/>
                <w:szCs w:val="24"/>
              </w:rPr>
              <w:t xml:space="preserve">the </w:t>
            </w:r>
            <w:r>
              <w:rPr>
                <w:rFonts w:ascii="Calibri" w:hAnsi="Calibri" w:cs="Calibri"/>
                <w:kern w:val="24"/>
                <w:sz w:val="24"/>
                <w:szCs w:val="24"/>
              </w:rPr>
              <w:t>attending</w:t>
            </w:r>
            <w:r w:rsidR="00AE038D">
              <w:rPr>
                <w:rFonts w:ascii="Calibri" w:hAnsi="Calibri" w:cs="Calibri"/>
                <w:kern w:val="24"/>
                <w:sz w:val="24"/>
                <w:szCs w:val="24"/>
              </w:rPr>
              <w:t xml:space="preserve"> physician</w:t>
            </w:r>
            <w:r>
              <w:rPr>
                <w:rFonts w:ascii="Calibri" w:hAnsi="Calibri" w:cs="Calibri"/>
                <w:kern w:val="24"/>
                <w:sz w:val="24"/>
                <w:szCs w:val="24"/>
              </w:rPr>
              <w:t xml:space="preserve">’s approval for urine catheters and/or urine cultures. </w:t>
            </w:r>
          </w:p>
          <w:p w14:paraId="2B79DE31"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7D4DD3F7" w14:textId="77777777"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You can improve computer order sets to prompt more thoughtful culturing practices. This provides “guidance at the point of care” so the providers don’t have to remember stewardship on their own.</w:t>
            </w:r>
          </w:p>
          <w:p w14:paraId="2DC9A697"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557FF4CB" w14:textId="4A9E9085" w:rsidR="005E2B87" w:rsidRPr="0056652E" w:rsidRDefault="005E2B87" w:rsidP="005E2B87">
            <w:pPr>
              <w:autoSpaceDE w:val="0"/>
              <w:autoSpaceDN w:val="0"/>
              <w:adjustRightInd w:val="0"/>
              <w:spacing w:after="0" w:line="240" w:lineRule="auto"/>
              <w:rPr>
                <w:rFonts w:ascii="Arial" w:hAnsi="Arial" w:cs="Arial"/>
                <w:sz w:val="24"/>
                <w:szCs w:val="24"/>
              </w:rPr>
            </w:pPr>
            <w:r>
              <w:rPr>
                <w:rFonts w:ascii="Calibri" w:hAnsi="Calibri" w:cs="Calibri"/>
                <w:kern w:val="24"/>
                <w:sz w:val="24"/>
                <w:szCs w:val="24"/>
              </w:rPr>
              <w:t>However, to improve retention, tell stories about adverse events so they feel real and personal to ICU staff.</w:t>
            </w:r>
          </w:p>
        </w:tc>
        <w:tc>
          <w:tcPr>
            <w:tcW w:w="3240" w:type="dxa"/>
            <w:tcBorders>
              <w:top w:val="single" w:sz="4" w:space="0" w:color="auto"/>
              <w:left w:val="single" w:sz="4" w:space="0" w:color="auto"/>
              <w:bottom w:val="single" w:sz="4" w:space="0" w:color="auto"/>
              <w:right w:val="single" w:sz="4" w:space="0" w:color="auto"/>
            </w:tcBorders>
          </w:tcPr>
          <w:p w14:paraId="0E371E52" w14:textId="77777777" w:rsidR="005E2B87" w:rsidRDefault="005E2B87" w:rsidP="005E2B87">
            <w:r>
              <w:t>Slide 19</w:t>
            </w:r>
          </w:p>
          <w:p w14:paraId="28DEF4FA" w14:textId="02E2114A" w:rsidR="005E2B87" w:rsidRDefault="00D045A2" w:rsidP="005E2B87">
            <w:r>
              <w:rPr>
                <w:noProof/>
              </w:rPr>
              <w:drawing>
                <wp:inline distT="0" distB="0" distL="0" distR="0" wp14:anchorId="35BDEEBE" wp14:editId="75CD73AE">
                  <wp:extent cx="1827232" cy="1375258"/>
                  <wp:effectExtent l="19050" t="19050" r="20955" b="1587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7"/>
                          <a:stretch>
                            <a:fillRect/>
                          </a:stretch>
                        </pic:blipFill>
                        <pic:spPr>
                          <a:xfrm>
                            <a:off x="0" y="0"/>
                            <a:ext cx="1841173" cy="1385751"/>
                          </a:xfrm>
                          <a:prstGeom prst="rect">
                            <a:avLst/>
                          </a:prstGeom>
                          <a:ln>
                            <a:solidFill>
                              <a:schemeClr val="tx1"/>
                            </a:solidFill>
                          </a:ln>
                        </pic:spPr>
                      </pic:pic>
                    </a:graphicData>
                  </a:graphic>
                </wp:inline>
              </w:drawing>
            </w:r>
          </w:p>
        </w:tc>
      </w:tr>
      <w:tr w:rsidR="005E2B87" w14:paraId="230EE7CE" w14:textId="77777777" w:rsidTr="009831B1">
        <w:trPr>
          <w:trHeight w:val="800"/>
        </w:trPr>
        <w:tc>
          <w:tcPr>
            <w:tcW w:w="6655" w:type="dxa"/>
            <w:tcBorders>
              <w:top w:val="single" w:sz="4" w:space="0" w:color="auto"/>
              <w:left w:val="single" w:sz="4" w:space="0" w:color="auto"/>
              <w:bottom w:val="single" w:sz="4" w:space="0" w:color="auto"/>
              <w:right w:val="single" w:sz="4" w:space="0" w:color="auto"/>
            </w:tcBorders>
          </w:tcPr>
          <w:p w14:paraId="63BE17BD" w14:textId="77777777"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Audit culturing practices on your unit. Consider following up with the ordering provider if the culture was inappropriate.</w:t>
            </w:r>
          </w:p>
          <w:p w14:paraId="0EA18867" w14:textId="77777777" w:rsidR="005E2B87" w:rsidRDefault="005E2B87" w:rsidP="005E2B87">
            <w:pPr>
              <w:autoSpaceDE w:val="0"/>
              <w:autoSpaceDN w:val="0"/>
              <w:adjustRightInd w:val="0"/>
              <w:spacing w:after="0" w:line="240" w:lineRule="auto"/>
              <w:rPr>
                <w:rFonts w:ascii="Calibri" w:hAnsi="Calibri" w:cs="Calibri"/>
                <w:kern w:val="24"/>
                <w:sz w:val="24"/>
                <w:szCs w:val="24"/>
              </w:rPr>
            </w:pPr>
          </w:p>
          <w:p w14:paraId="65FA899E" w14:textId="77777777"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Try to get eliminate these if they’re present at your hospital: </w:t>
            </w:r>
          </w:p>
          <w:p w14:paraId="577E6710" w14:textId="405EA924" w:rsidR="005E2B87" w:rsidRDefault="005E2B87" w:rsidP="005E2B87">
            <w:pPr>
              <w:numPr>
                <w:ilvl w:val="0"/>
                <w:numId w:val="9"/>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Screening urine culture on admission</w:t>
            </w:r>
            <w:r w:rsidR="00AE038D">
              <w:rPr>
                <w:rFonts w:ascii="Calibri" w:hAnsi="Calibri" w:cs="Calibri"/>
                <w:kern w:val="24"/>
                <w:sz w:val="24"/>
                <w:szCs w:val="24"/>
              </w:rPr>
              <w:t>,</w:t>
            </w:r>
          </w:p>
          <w:p w14:paraId="2744A389" w14:textId="2C77E4E3" w:rsidR="005E2B87" w:rsidRDefault="005E2B87" w:rsidP="005E2B87">
            <w:pPr>
              <w:numPr>
                <w:ilvl w:val="0"/>
                <w:numId w:val="9"/>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 xml:space="preserve">Automatic </w:t>
            </w:r>
            <w:r w:rsidR="00EB2861">
              <w:rPr>
                <w:rFonts w:ascii="Calibri" w:hAnsi="Calibri" w:cs="Calibri"/>
                <w:kern w:val="24"/>
                <w:sz w:val="24"/>
                <w:szCs w:val="24"/>
              </w:rPr>
              <w:t>UA</w:t>
            </w:r>
            <w:r>
              <w:rPr>
                <w:rFonts w:ascii="Calibri" w:hAnsi="Calibri" w:cs="Calibri"/>
                <w:kern w:val="24"/>
                <w:sz w:val="24"/>
                <w:szCs w:val="24"/>
              </w:rPr>
              <w:t xml:space="preserve"> when catheters are inserted</w:t>
            </w:r>
            <w:r w:rsidR="00AE038D">
              <w:rPr>
                <w:rFonts w:ascii="Calibri" w:hAnsi="Calibri" w:cs="Calibri"/>
                <w:kern w:val="24"/>
                <w:sz w:val="24"/>
                <w:szCs w:val="24"/>
              </w:rPr>
              <w:t>,</w:t>
            </w:r>
          </w:p>
          <w:p w14:paraId="0F4286A1" w14:textId="0E949C6E" w:rsidR="005E2B87" w:rsidRDefault="005E2B87" w:rsidP="005E2B87">
            <w:pPr>
              <w:numPr>
                <w:ilvl w:val="0"/>
                <w:numId w:val="9"/>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Pan-culture fever workups–encourage careful clinical assessments instead</w:t>
            </w:r>
            <w:r w:rsidR="00AE038D">
              <w:rPr>
                <w:rFonts w:ascii="Calibri" w:hAnsi="Calibri" w:cs="Calibri"/>
                <w:kern w:val="24"/>
                <w:sz w:val="24"/>
                <w:szCs w:val="24"/>
              </w:rPr>
              <w:t>, and</w:t>
            </w:r>
            <w:r>
              <w:rPr>
                <w:rFonts w:ascii="Calibri" w:hAnsi="Calibri" w:cs="Calibri"/>
                <w:kern w:val="24"/>
                <w:sz w:val="24"/>
                <w:szCs w:val="24"/>
              </w:rPr>
              <w:t xml:space="preserve"> </w:t>
            </w:r>
          </w:p>
          <w:p w14:paraId="06338963" w14:textId="0CC47A81" w:rsidR="005E2B87" w:rsidRDefault="005E2B87" w:rsidP="005E2B87">
            <w:pPr>
              <w:numPr>
                <w:ilvl w:val="0"/>
                <w:numId w:val="9"/>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U</w:t>
            </w:r>
            <w:r w:rsidR="00EB2861">
              <w:rPr>
                <w:rFonts w:ascii="Calibri" w:hAnsi="Calibri" w:cs="Calibri"/>
                <w:kern w:val="24"/>
                <w:sz w:val="24"/>
                <w:szCs w:val="24"/>
              </w:rPr>
              <w:t>A</w:t>
            </w:r>
            <w:r>
              <w:rPr>
                <w:rFonts w:ascii="Calibri" w:hAnsi="Calibri" w:cs="Calibri"/>
                <w:kern w:val="24"/>
                <w:sz w:val="24"/>
                <w:szCs w:val="24"/>
              </w:rPr>
              <w:t xml:space="preserve"> with “reflex” cultures unless these are limited to patients with symptoms</w:t>
            </w:r>
            <w:r w:rsidR="00AE038D">
              <w:rPr>
                <w:rFonts w:ascii="Calibri" w:hAnsi="Calibri" w:cs="Calibri"/>
                <w:kern w:val="24"/>
                <w:sz w:val="24"/>
                <w:szCs w:val="24"/>
              </w:rPr>
              <w:t>.</w:t>
            </w:r>
          </w:p>
          <w:p w14:paraId="2ABCE5FC" w14:textId="0AD7C4D4" w:rsidR="005E2B87" w:rsidRDefault="005E2B87" w:rsidP="005E2B87">
            <w:pPr>
              <w:autoSpaceDE w:val="0"/>
              <w:autoSpaceDN w:val="0"/>
              <w:adjustRightInd w:val="0"/>
              <w:spacing w:after="0" w:line="240" w:lineRule="auto"/>
              <w:rPr>
                <w:rFonts w:ascii="Calibri" w:hAnsi="Calibri" w:cs="Calibri"/>
                <w:kern w:val="24"/>
                <w:sz w:val="24"/>
                <w:szCs w:val="24"/>
              </w:rPr>
            </w:pPr>
          </w:p>
          <w:p w14:paraId="6C77CDBC" w14:textId="401B19A8"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If possible, try to get a fever workup protocol adopted, one that emphasizes careful clinical assessment.</w:t>
            </w:r>
          </w:p>
        </w:tc>
        <w:tc>
          <w:tcPr>
            <w:tcW w:w="3240" w:type="dxa"/>
            <w:tcBorders>
              <w:top w:val="single" w:sz="4" w:space="0" w:color="auto"/>
              <w:left w:val="single" w:sz="4" w:space="0" w:color="auto"/>
              <w:bottom w:val="single" w:sz="4" w:space="0" w:color="auto"/>
              <w:right w:val="single" w:sz="4" w:space="0" w:color="auto"/>
            </w:tcBorders>
          </w:tcPr>
          <w:p w14:paraId="61D8FCD9" w14:textId="77777777" w:rsidR="005E2B87" w:rsidRDefault="005E2B87" w:rsidP="005E2B87">
            <w:r>
              <w:lastRenderedPageBreak/>
              <w:t xml:space="preserve">Slide 20 </w:t>
            </w:r>
          </w:p>
          <w:p w14:paraId="4B1C9863" w14:textId="02516959" w:rsidR="005E2B87" w:rsidRDefault="00104ABE" w:rsidP="0056652E">
            <w:pPr>
              <w:spacing w:after="120"/>
            </w:pPr>
            <w:r>
              <w:rPr>
                <w:noProof/>
              </w:rPr>
              <w:drawing>
                <wp:inline distT="0" distB="0" distL="0" distR="0" wp14:anchorId="49EC3826" wp14:editId="65DBC3B5">
                  <wp:extent cx="1838325" cy="1381125"/>
                  <wp:effectExtent l="19050" t="19050" r="28575" b="2857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5E2B87" w14:paraId="56AFAEC0" w14:textId="77777777" w:rsidTr="009831B1">
        <w:trPr>
          <w:trHeight w:val="800"/>
        </w:trPr>
        <w:tc>
          <w:tcPr>
            <w:tcW w:w="6655" w:type="dxa"/>
            <w:tcBorders>
              <w:top w:val="single" w:sz="4" w:space="0" w:color="auto"/>
              <w:left w:val="single" w:sz="4" w:space="0" w:color="auto"/>
              <w:bottom w:val="single" w:sz="4" w:space="0" w:color="auto"/>
              <w:right w:val="single" w:sz="4" w:space="0" w:color="auto"/>
            </w:tcBorders>
          </w:tcPr>
          <w:p w14:paraId="77352B83" w14:textId="689C686C" w:rsidR="005E2B87"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Sometimes the discussion won’t really be about the facts, but about attitudes or other social issues, like hierarchies. If a nurse appropriately questions a urine culture order and the provider feels challenged, try to redirect the concern to the evidence and the patient’s benefit. </w:t>
            </w:r>
            <w:proofErr w:type="gramStart"/>
            <w:r>
              <w:rPr>
                <w:rFonts w:ascii="Calibri" w:hAnsi="Calibri" w:cs="Calibri"/>
                <w:kern w:val="24"/>
                <w:sz w:val="24"/>
                <w:szCs w:val="24"/>
              </w:rPr>
              <w:t>“ [</w:t>
            </w:r>
            <w:proofErr w:type="gramEnd"/>
            <w:r>
              <w:rPr>
                <w:rFonts w:ascii="Calibri" w:hAnsi="Calibri" w:cs="Calibri"/>
                <w:kern w:val="24"/>
                <w:sz w:val="24"/>
                <w:szCs w:val="24"/>
              </w:rPr>
              <w:t>provider name], the CAUTI committee, chaired by your partner, met and developed this new practice pathway around the culture of culturing and shows the best evidence for culturing to protect our ICU patients from drug</w:t>
            </w:r>
            <w:r w:rsidR="00AE038D">
              <w:rPr>
                <w:rFonts w:ascii="Calibri" w:hAnsi="Calibri" w:cs="Calibri"/>
                <w:kern w:val="24"/>
                <w:sz w:val="24"/>
                <w:szCs w:val="24"/>
              </w:rPr>
              <w:t>-</w:t>
            </w:r>
            <w:r>
              <w:rPr>
                <w:rFonts w:ascii="Calibri" w:hAnsi="Calibri" w:cs="Calibri"/>
                <w:kern w:val="24"/>
                <w:sz w:val="24"/>
                <w:szCs w:val="24"/>
              </w:rPr>
              <w:t>resistant bacteria."</w:t>
            </w:r>
          </w:p>
          <w:p w14:paraId="3B4CEA39" w14:textId="74026F69" w:rsidR="005E2B87" w:rsidRDefault="005E2B87" w:rsidP="005E2B87">
            <w:pPr>
              <w:autoSpaceDE w:val="0"/>
              <w:autoSpaceDN w:val="0"/>
              <w:adjustRightInd w:val="0"/>
              <w:spacing w:after="0" w:line="240" w:lineRule="auto"/>
              <w:rPr>
                <w:rFonts w:ascii="Calibri" w:hAnsi="Calibri" w:cs="Calibri"/>
                <w:kern w:val="24"/>
                <w:sz w:val="24"/>
                <w:szCs w:val="24"/>
              </w:rPr>
            </w:pPr>
          </w:p>
          <w:p w14:paraId="0F6243F1" w14:textId="4A3E3272" w:rsidR="005E2B87" w:rsidRPr="0056652E" w:rsidRDefault="005E2B87"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Some clinicians may resist culturing stewardship because they think it’s about money and not about patients. Help them reframe the concern by responding, “Yes, this does help us avoid financial penalties</w:t>
            </w:r>
            <w:r w:rsidR="00AE038D">
              <w:rPr>
                <w:rFonts w:ascii="Calibri" w:hAnsi="Calibri" w:cs="Calibri"/>
                <w:kern w:val="24"/>
                <w:sz w:val="24"/>
                <w:szCs w:val="24"/>
              </w:rPr>
              <w:t>,</w:t>
            </w:r>
            <w:r>
              <w:rPr>
                <w:rFonts w:ascii="Calibri" w:hAnsi="Calibri" w:cs="Calibri"/>
                <w:kern w:val="24"/>
                <w:sz w:val="24"/>
                <w:szCs w:val="24"/>
              </w:rPr>
              <w:t xml:space="preserve"> but more importantly, it’s what is best t</w:t>
            </w:r>
            <w:r w:rsidR="00DA2BC0">
              <w:rPr>
                <w:rFonts w:ascii="Calibri" w:hAnsi="Calibri" w:cs="Calibri"/>
                <w:kern w:val="24"/>
                <w:sz w:val="24"/>
                <w:szCs w:val="24"/>
              </w:rPr>
              <w:t>o prevent harm to the patient.”</w:t>
            </w:r>
          </w:p>
        </w:tc>
        <w:tc>
          <w:tcPr>
            <w:tcW w:w="3240" w:type="dxa"/>
            <w:tcBorders>
              <w:top w:val="single" w:sz="4" w:space="0" w:color="auto"/>
              <w:left w:val="single" w:sz="4" w:space="0" w:color="auto"/>
              <w:bottom w:val="single" w:sz="4" w:space="0" w:color="auto"/>
              <w:right w:val="single" w:sz="4" w:space="0" w:color="auto"/>
            </w:tcBorders>
          </w:tcPr>
          <w:p w14:paraId="481B9B15" w14:textId="77777777" w:rsidR="005E2B87" w:rsidRDefault="005E2B87" w:rsidP="005E2B87">
            <w:r>
              <w:t>Slide 21</w:t>
            </w:r>
          </w:p>
          <w:p w14:paraId="47D52315" w14:textId="6F4DC627" w:rsidR="005E2B87" w:rsidRDefault="00104ABE" w:rsidP="005E2B87">
            <w:r>
              <w:rPr>
                <w:noProof/>
              </w:rPr>
              <w:drawing>
                <wp:inline distT="0" distB="0" distL="0" distR="0" wp14:anchorId="495364D8" wp14:editId="3AEFED5E">
                  <wp:extent cx="1838325" cy="1381125"/>
                  <wp:effectExtent l="19050" t="19050" r="28575" b="285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D045A2" w14:paraId="4F933E39" w14:textId="77777777" w:rsidTr="009831B1">
        <w:trPr>
          <w:trHeight w:val="800"/>
        </w:trPr>
        <w:tc>
          <w:tcPr>
            <w:tcW w:w="6655" w:type="dxa"/>
            <w:tcBorders>
              <w:top w:val="single" w:sz="4" w:space="0" w:color="auto"/>
              <w:left w:val="single" w:sz="4" w:space="0" w:color="auto"/>
              <w:bottom w:val="single" w:sz="4" w:space="0" w:color="auto"/>
              <w:right w:val="single" w:sz="4" w:space="0" w:color="auto"/>
            </w:tcBorders>
          </w:tcPr>
          <w:p w14:paraId="65A8D06B" w14:textId="77777777" w:rsidR="00D045A2" w:rsidRDefault="00D045A2" w:rsidP="00D045A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Let’s return to the case of Ms. Allen. What happened with her? A urine culture was done based on the presence of cloudy urine and a chronic indwelling urinary catheter. When she was interviewed, she said that she had low back pain, chills, and rigors with urinary tract infections, but did not have them at the time. On physical exam, she did not have costovertebral tenderness. Her elevated WBC was probably from the stress of GI bleeding, and the mild increase in her temperature was probably due to her blood transfusion. </w:t>
            </w:r>
          </w:p>
          <w:p w14:paraId="185085D2" w14:textId="77777777" w:rsidR="00D045A2" w:rsidRDefault="00D045A2" w:rsidP="00D045A2">
            <w:pPr>
              <w:autoSpaceDE w:val="0"/>
              <w:autoSpaceDN w:val="0"/>
              <w:adjustRightInd w:val="0"/>
              <w:spacing w:after="0" w:line="240" w:lineRule="auto"/>
              <w:rPr>
                <w:rFonts w:ascii="Calibri" w:hAnsi="Calibri" w:cs="Calibri"/>
                <w:kern w:val="24"/>
                <w:sz w:val="24"/>
                <w:szCs w:val="24"/>
              </w:rPr>
            </w:pPr>
          </w:p>
          <w:p w14:paraId="1BFED009" w14:textId="4F222385" w:rsidR="00D045A2" w:rsidRDefault="00D045A2" w:rsidP="005E2B8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Due to her chronic indwelling urinary catheter, Ms. Allen had asymptomatic bacteriuria, not a true CAUTI. Remember that within 30 days of catheterization, almost all patients with catheters have bacteriuria. In this case, several harms occurred due to inappropriate culturing of her urine: she was started on unnecessary antibiotics, the cost of hospitalization was increased</w:t>
            </w:r>
            <w:r w:rsidR="00AE038D">
              <w:rPr>
                <w:rFonts w:ascii="Calibri" w:hAnsi="Calibri" w:cs="Calibri"/>
                <w:kern w:val="24"/>
                <w:sz w:val="24"/>
                <w:szCs w:val="24"/>
              </w:rPr>
              <w:t>,</w:t>
            </w:r>
            <w:r>
              <w:rPr>
                <w:rFonts w:ascii="Calibri" w:hAnsi="Calibri" w:cs="Calibri"/>
                <w:kern w:val="24"/>
                <w:sz w:val="24"/>
                <w:szCs w:val="24"/>
              </w:rPr>
              <w:t xml:space="preserve"> and she was placed at risk for drug-related complications. Also, the hospital infection preventionist had to document a CAUTI</w:t>
            </w:r>
            <w:r w:rsidR="00AE038D">
              <w:rPr>
                <w:rFonts w:ascii="Calibri" w:hAnsi="Calibri" w:cs="Calibri"/>
                <w:kern w:val="24"/>
                <w:sz w:val="24"/>
                <w:szCs w:val="24"/>
              </w:rPr>
              <w:t>,</w:t>
            </w:r>
            <w:r>
              <w:rPr>
                <w:rFonts w:ascii="Calibri" w:hAnsi="Calibri" w:cs="Calibri"/>
                <w:kern w:val="24"/>
                <w:sz w:val="24"/>
                <w:szCs w:val="24"/>
              </w:rPr>
              <w:t xml:space="preserve"> which impacts CMS reimbursement. </w:t>
            </w:r>
            <w:r w:rsidR="0033187F">
              <w:rPr>
                <w:rFonts w:ascii="Calibri" w:hAnsi="Calibri" w:cs="Calibri"/>
                <w:kern w:val="24"/>
                <w:sz w:val="24"/>
                <w:szCs w:val="24"/>
              </w:rPr>
              <w:t>National Healthcare Safety Network</w:t>
            </w:r>
            <w:r>
              <w:rPr>
                <w:rFonts w:ascii="Calibri" w:hAnsi="Calibri" w:cs="Calibri"/>
                <w:kern w:val="24"/>
                <w:sz w:val="24"/>
                <w:szCs w:val="24"/>
              </w:rPr>
              <w:t xml:space="preserve"> CAUTI definitions state that fever is a nonspecific symptom of infection and cannot be excluded from UTI determination because it is clinically determined to be due to another recognized cause. Lastly, Ms. Allen developed </w:t>
            </w:r>
            <w:r>
              <w:rPr>
                <w:rFonts w:ascii="Calibri" w:hAnsi="Calibri" w:cs="Calibri"/>
                <w:i/>
                <w:iCs/>
                <w:kern w:val="24"/>
                <w:sz w:val="24"/>
                <w:szCs w:val="24"/>
              </w:rPr>
              <w:t xml:space="preserve">C. diff </w:t>
            </w:r>
            <w:r>
              <w:rPr>
                <w:rFonts w:ascii="Calibri" w:hAnsi="Calibri" w:cs="Calibri"/>
                <w:kern w:val="24"/>
                <w:sz w:val="24"/>
                <w:szCs w:val="24"/>
              </w:rPr>
              <w:t>infection—resulting in additional pain, suffering, costs, and health risks.</w:t>
            </w:r>
          </w:p>
        </w:tc>
        <w:tc>
          <w:tcPr>
            <w:tcW w:w="3240" w:type="dxa"/>
            <w:tcBorders>
              <w:top w:val="single" w:sz="4" w:space="0" w:color="auto"/>
              <w:left w:val="single" w:sz="4" w:space="0" w:color="auto"/>
              <w:bottom w:val="single" w:sz="4" w:space="0" w:color="auto"/>
              <w:right w:val="single" w:sz="4" w:space="0" w:color="auto"/>
            </w:tcBorders>
          </w:tcPr>
          <w:p w14:paraId="6002EA52" w14:textId="77777777" w:rsidR="00D045A2" w:rsidRDefault="00D045A2" w:rsidP="005E2B87">
            <w:r>
              <w:t>Slide 22</w:t>
            </w:r>
          </w:p>
          <w:p w14:paraId="197F9C13" w14:textId="0D2EEBBF" w:rsidR="00D045A2" w:rsidRDefault="00104ABE" w:rsidP="005E2B87">
            <w:r>
              <w:rPr>
                <w:noProof/>
              </w:rPr>
              <w:drawing>
                <wp:inline distT="0" distB="0" distL="0" distR="0" wp14:anchorId="0C44C2B1" wp14:editId="2171F73B">
                  <wp:extent cx="1838325" cy="1381125"/>
                  <wp:effectExtent l="19050" t="19050" r="28575" b="2857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D045A2" w14:paraId="455DBBC9" w14:textId="77777777" w:rsidTr="009831B1">
        <w:trPr>
          <w:trHeight w:val="800"/>
        </w:trPr>
        <w:tc>
          <w:tcPr>
            <w:tcW w:w="6655" w:type="dxa"/>
            <w:tcBorders>
              <w:top w:val="single" w:sz="4" w:space="0" w:color="auto"/>
              <w:left w:val="single" w:sz="4" w:space="0" w:color="auto"/>
              <w:bottom w:val="single" w:sz="4" w:space="0" w:color="auto"/>
              <w:right w:val="single" w:sz="4" w:space="0" w:color="auto"/>
            </w:tcBorders>
          </w:tcPr>
          <w:p w14:paraId="60181318" w14:textId="6CD13A18" w:rsidR="00D045A2" w:rsidRDefault="00D045A2" w:rsidP="00D045A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 xml:space="preserve">In conclusion, </w:t>
            </w:r>
            <w:r w:rsidR="001A49F9">
              <w:rPr>
                <w:rFonts w:ascii="Calibri" w:hAnsi="Calibri" w:cs="Calibri"/>
                <w:kern w:val="24"/>
                <w:sz w:val="24"/>
                <w:szCs w:val="24"/>
              </w:rPr>
              <w:t xml:space="preserve">here are </w:t>
            </w:r>
            <w:r>
              <w:rPr>
                <w:rFonts w:ascii="Calibri" w:hAnsi="Calibri" w:cs="Calibri"/>
                <w:kern w:val="24"/>
                <w:sz w:val="24"/>
                <w:szCs w:val="24"/>
              </w:rPr>
              <w:t xml:space="preserve">the key points to remember and actions to take: </w:t>
            </w:r>
          </w:p>
          <w:p w14:paraId="16A175BC" w14:textId="77777777" w:rsidR="00D045A2" w:rsidRDefault="00D045A2" w:rsidP="00D045A2">
            <w:pPr>
              <w:autoSpaceDE w:val="0"/>
              <w:autoSpaceDN w:val="0"/>
              <w:adjustRightInd w:val="0"/>
              <w:spacing w:after="0" w:line="240" w:lineRule="auto"/>
              <w:ind w:left="360" w:hanging="360"/>
              <w:rPr>
                <w:rFonts w:ascii="Calibri" w:hAnsi="Calibri" w:cs="Calibri"/>
                <w:kern w:val="24"/>
                <w:sz w:val="24"/>
                <w:szCs w:val="24"/>
              </w:rPr>
            </w:pPr>
          </w:p>
          <w:p w14:paraId="4B2E63FF" w14:textId="77777777" w:rsidR="00D045A2" w:rsidRDefault="00D045A2" w:rsidP="00D045A2">
            <w:pPr>
              <w:numPr>
                <w:ilvl w:val="0"/>
                <w:numId w:val="13"/>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Do not order a urine culture if the patient is asymptomatic.</w:t>
            </w:r>
          </w:p>
          <w:p w14:paraId="4DBEF80A" w14:textId="12F187BA" w:rsidR="00D045A2" w:rsidRDefault="00D045A2" w:rsidP="00D045A2">
            <w:pPr>
              <w:numPr>
                <w:ilvl w:val="0"/>
                <w:numId w:val="13"/>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Make sure staff know and understand that inappropriate urine culturing causes harm on the multiple levels that have been discussed: risk to the individual patient; increased cost of care; decreased reimbursement; and worsening antibiotic resistance. Teach your staff how to assess the need for a urine culture. Develop a decision algorithm to support decision</w:t>
            </w:r>
            <w:r w:rsidR="001A49F9">
              <w:rPr>
                <w:rFonts w:ascii="Calibri" w:hAnsi="Calibri" w:cs="Calibri"/>
                <w:kern w:val="24"/>
                <w:sz w:val="24"/>
                <w:szCs w:val="24"/>
              </w:rPr>
              <w:t xml:space="preserve"> </w:t>
            </w:r>
            <w:r>
              <w:rPr>
                <w:rFonts w:ascii="Calibri" w:hAnsi="Calibri" w:cs="Calibri"/>
                <w:kern w:val="24"/>
                <w:sz w:val="24"/>
                <w:szCs w:val="24"/>
              </w:rPr>
              <w:t>making and make that a collaborative effort between physicians, midlevel practitioners</w:t>
            </w:r>
            <w:r w:rsidR="0033187F">
              <w:rPr>
                <w:rFonts w:ascii="Calibri" w:hAnsi="Calibri" w:cs="Calibri"/>
                <w:kern w:val="24"/>
                <w:sz w:val="24"/>
                <w:szCs w:val="24"/>
              </w:rPr>
              <w:t>,</w:t>
            </w:r>
            <w:r>
              <w:rPr>
                <w:rFonts w:ascii="Calibri" w:hAnsi="Calibri" w:cs="Calibri"/>
                <w:kern w:val="24"/>
                <w:sz w:val="24"/>
                <w:szCs w:val="24"/>
              </w:rPr>
              <w:t xml:space="preserve"> and nursing staff to drive understanding and willingness to use the algorithm. </w:t>
            </w:r>
          </w:p>
          <w:p w14:paraId="323E7FA2" w14:textId="77777777" w:rsidR="00D045A2" w:rsidRDefault="00D045A2" w:rsidP="00D045A2">
            <w:pPr>
              <w:numPr>
                <w:ilvl w:val="0"/>
                <w:numId w:val="13"/>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Make it easy for the provider and staff to do the right thing by incorporating cues into the EHR like indications for culturing.</w:t>
            </w:r>
          </w:p>
          <w:p w14:paraId="22B34830" w14:textId="6BA37939" w:rsidR="00D045A2" w:rsidRDefault="00D045A2" w:rsidP="00D045A2">
            <w:pPr>
              <w:numPr>
                <w:ilvl w:val="0"/>
                <w:numId w:val="13"/>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Assess culturing practices in your unit through audits and provide feedback from those audits to staff, physicians, and midlevel providers. Encourage discussions and work through cultural influences that drive inappropriate urine culturing such as embedded habits. These may include standing orders or protocols for pan</w:t>
            </w:r>
            <w:r w:rsidR="0033187F">
              <w:rPr>
                <w:rFonts w:ascii="Calibri" w:hAnsi="Calibri" w:cs="Calibri"/>
                <w:kern w:val="24"/>
                <w:sz w:val="24"/>
                <w:szCs w:val="24"/>
              </w:rPr>
              <w:t xml:space="preserve"> </w:t>
            </w:r>
            <w:r>
              <w:rPr>
                <w:rFonts w:ascii="Calibri" w:hAnsi="Calibri" w:cs="Calibri"/>
                <w:kern w:val="24"/>
                <w:sz w:val="24"/>
                <w:szCs w:val="24"/>
              </w:rPr>
              <w:t>culturing for fever and/or for reflex culturing of urine. Remember that many providers feel pressured to treat positive urine cultures, even when symptoms are absent.</w:t>
            </w:r>
          </w:p>
          <w:p w14:paraId="52E52736" w14:textId="63D2A1B5" w:rsidR="00D045A2" w:rsidRDefault="00D045A2" w:rsidP="00D045A2">
            <w:pPr>
              <w:numPr>
                <w:ilvl w:val="0"/>
                <w:numId w:val="13"/>
              </w:num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 xml:space="preserve">If the catheter is in place </w:t>
            </w:r>
            <w:r w:rsidR="001A49F9">
              <w:rPr>
                <w:rFonts w:ascii="Calibri" w:hAnsi="Calibri" w:cs="Calibri"/>
                <w:kern w:val="24"/>
                <w:sz w:val="24"/>
                <w:szCs w:val="24"/>
              </w:rPr>
              <w:t>longer</w:t>
            </w:r>
            <w:r>
              <w:rPr>
                <w:rFonts w:ascii="Calibri" w:hAnsi="Calibri" w:cs="Calibri"/>
                <w:kern w:val="24"/>
                <w:sz w:val="24"/>
                <w:szCs w:val="24"/>
              </w:rPr>
              <w:t xml:space="preserve"> than 2 weeks and a culture is needed, change the catheter before obtaining a culture to prevent culturing the colonization on the catheter. In many organizations, the practice has moved to 3</w:t>
            </w:r>
            <w:r w:rsidR="0033187F">
              <w:rPr>
                <w:rFonts w:ascii="Calibri" w:hAnsi="Calibri" w:cs="Calibri"/>
                <w:kern w:val="24"/>
                <w:sz w:val="24"/>
                <w:szCs w:val="24"/>
              </w:rPr>
              <w:t>–</w:t>
            </w:r>
            <w:r>
              <w:rPr>
                <w:rFonts w:ascii="Calibri" w:hAnsi="Calibri" w:cs="Calibri"/>
                <w:kern w:val="24"/>
                <w:sz w:val="24"/>
                <w:szCs w:val="24"/>
              </w:rPr>
              <w:t>5 days of the catheter in place before changing to obtain a culture. This is another opportunity besides daily assessment of need to evaluate whether the indwelling catheter is still needed based on indications.</w:t>
            </w:r>
          </w:p>
          <w:p w14:paraId="06234ED9" w14:textId="6A24C528" w:rsidR="00D045A2" w:rsidRPr="0056652E" w:rsidRDefault="00D045A2" w:rsidP="00D045A2">
            <w:pPr>
              <w:numPr>
                <w:ilvl w:val="0"/>
                <w:numId w:val="13"/>
              </w:numPr>
              <w:autoSpaceDE w:val="0"/>
              <w:autoSpaceDN w:val="0"/>
              <w:adjustRightInd w:val="0"/>
              <w:spacing w:after="0" w:line="240" w:lineRule="auto"/>
              <w:ind w:left="360" w:hanging="360"/>
              <w:rPr>
                <w:rFonts w:cstheme="minorHAnsi"/>
                <w:kern w:val="24"/>
                <w:sz w:val="24"/>
                <w:szCs w:val="24"/>
              </w:rPr>
            </w:pPr>
            <w:r>
              <w:rPr>
                <w:rFonts w:ascii="Calibri" w:hAnsi="Calibri" w:cs="Calibri"/>
                <w:kern w:val="24"/>
                <w:sz w:val="24"/>
                <w:szCs w:val="24"/>
              </w:rPr>
              <w:t xml:space="preserve">Ensure staff feel empowered and supported to speak up and appropriately challenge inappropriate urine culture orders. This </w:t>
            </w:r>
            <w:r w:rsidR="0033187F">
              <w:rPr>
                <w:rFonts w:ascii="Calibri" w:hAnsi="Calibri" w:cs="Calibri"/>
                <w:kern w:val="24"/>
                <w:sz w:val="24"/>
                <w:szCs w:val="24"/>
              </w:rPr>
              <w:t xml:space="preserve">support </w:t>
            </w:r>
            <w:r>
              <w:rPr>
                <w:rFonts w:ascii="Calibri" w:hAnsi="Calibri" w:cs="Calibri"/>
                <w:kern w:val="24"/>
                <w:sz w:val="24"/>
                <w:szCs w:val="24"/>
              </w:rPr>
              <w:t>can drive shared accountability</w:t>
            </w:r>
            <w:r w:rsidR="0033187F">
              <w:rPr>
                <w:rFonts w:ascii="Calibri" w:hAnsi="Calibri" w:cs="Calibri"/>
                <w:kern w:val="24"/>
                <w:sz w:val="24"/>
                <w:szCs w:val="24"/>
              </w:rPr>
              <w:t>,</w:t>
            </w:r>
            <w:r>
              <w:rPr>
                <w:rFonts w:ascii="Calibri" w:hAnsi="Calibri" w:cs="Calibri"/>
                <w:kern w:val="24"/>
                <w:sz w:val="24"/>
                <w:szCs w:val="24"/>
              </w:rPr>
              <w:t xml:space="preserve"> which is a powerful social influence to change practice. This may require skill</w:t>
            </w:r>
            <w:r w:rsidR="001A49F9">
              <w:rPr>
                <w:rFonts w:ascii="Calibri" w:hAnsi="Calibri" w:cs="Calibri"/>
                <w:kern w:val="24"/>
                <w:sz w:val="24"/>
                <w:szCs w:val="24"/>
              </w:rPr>
              <w:t xml:space="preserve"> </w:t>
            </w:r>
            <w:r>
              <w:rPr>
                <w:rFonts w:ascii="Calibri" w:hAnsi="Calibri" w:cs="Calibri"/>
                <w:kern w:val="24"/>
                <w:sz w:val="24"/>
                <w:szCs w:val="24"/>
              </w:rPr>
              <w:t xml:space="preserve">building and education for staff, which can be part of a comprehensive safety culture project. You may find that specific resources like </w:t>
            </w:r>
            <w:proofErr w:type="spellStart"/>
            <w:r>
              <w:rPr>
                <w:rFonts w:ascii="Calibri" w:hAnsi="Calibri" w:cs="Calibri"/>
                <w:kern w:val="24"/>
                <w:sz w:val="24"/>
                <w:szCs w:val="24"/>
              </w:rPr>
              <w:t>TeamSTEPPS</w:t>
            </w:r>
            <w:proofErr w:type="spellEnd"/>
            <w:r w:rsidR="0033187F">
              <w:rPr>
                <w:rFonts w:ascii="Calibri" w:hAnsi="Calibri" w:cs="Calibri"/>
                <w:kern w:val="24"/>
                <w:sz w:val="24"/>
                <w:szCs w:val="24"/>
              </w:rPr>
              <w:t>,</w:t>
            </w:r>
            <w:r w:rsidRPr="005F413E">
              <w:rPr>
                <w:rFonts w:ascii="Calibri" w:hAnsi="Calibri" w:cs="Calibri"/>
                <w:kern w:val="24"/>
                <w:sz w:val="24"/>
                <w:szCs w:val="24"/>
              </w:rPr>
              <w:t xml:space="preserve"> a set of evidence-based </w:t>
            </w:r>
            <w:r w:rsidRPr="0046151B">
              <w:rPr>
                <w:rFonts w:cstheme="minorHAnsi"/>
                <w:kern w:val="24"/>
                <w:sz w:val="24"/>
                <w:szCs w:val="24"/>
              </w:rPr>
              <w:t>t</w:t>
            </w:r>
            <w:r w:rsidRPr="0046151B">
              <w:rPr>
                <w:rFonts w:cstheme="minorHAnsi"/>
                <w:sz w:val="24"/>
                <w:szCs w:val="24"/>
                <w:shd w:val="clear" w:color="auto" w:fill="FFFFFF"/>
              </w:rPr>
              <w:t>eamwork tools aimed at optimizing patient outcomes by improving communication and teamwork skills</w:t>
            </w:r>
            <w:r w:rsidR="0033187F">
              <w:rPr>
                <w:rFonts w:cstheme="minorHAnsi"/>
                <w:sz w:val="24"/>
                <w:szCs w:val="24"/>
                <w:shd w:val="clear" w:color="auto" w:fill="FFFFFF"/>
              </w:rPr>
              <w:t>,</w:t>
            </w:r>
            <w:r w:rsidRPr="0046151B">
              <w:rPr>
                <w:rFonts w:cstheme="minorHAnsi"/>
                <w:kern w:val="24"/>
                <w:sz w:val="24"/>
                <w:szCs w:val="24"/>
              </w:rPr>
              <w:t xml:space="preserve"> can help with such an effort.</w:t>
            </w:r>
            <w:r>
              <w:rPr>
                <w:rFonts w:cstheme="minorHAnsi"/>
                <w:kern w:val="24"/>
                <w:sz w:val="24"/>
                <w:szCs w:val="24"/>
              </w:rPr>
              <w:t xml:space="preserve"> </w:t>
            </w:r>
            <w:proofErr w:type="spellStart"/>
            <w:r>
              <w:rPr>
                <w:rFonts w:cstheme="minorHAnsi"/>
                <w:kern w:val="24"/>
                <w:sz w:val="24"/>
                <w:szCs w:val="24"/>
              </w:rPr>
              <w:t>TeamSTEPPS</w:t>
            </w:r>
            <w:proofErr w:type="spellEnd"/>
            <w:r>
              <w:rPr>
                <w:rFonts w:cstheme="minorHAnsi"/>
                <w:kern w:val="24"/>
                <w:sz w:val="24"/>
                <w:szCs w:val="24"/>
              </w:rPr>
              <w:t xml:space="preserve"> is available on the AHRQ website at </w:t>
            </w:r>
            <w:hyperlink r:id="rId41" w:history="1">
              <w:r w:rsidRPr="002F461E">
                <w:rPr>
                  <w:rStyle w:val="Hyperlink"/>
                  <w:rFonts w:cstheme="minorHAnsi"/>
                  <w:kern w:val="24"/>
                  <w:sz w:val="24"/>
                  <w:szCs w:val="24"/>
                </w:rPr>
                <w:t>https://www.ahrq.gov/teamstepps/index.html</w:t>
              </w:r>
            </w:hyperlink>
            <w:r w:rsidR="0033187F">
              <w:rPr>
                <w:rStyle w:val="Hyperlink"/>
                <w:rFonts w:cstheme="minorHAnsi"/>
                <w:kern w:val="24"/>
                <w:sz w:val="24"/>
                <w:szCs w:val="24"/>
              </w:rPr>
              <w:t>.</w:t>
            </w:r>
          </w:p>
        </w:tc>
        <w:tc>
          <w:tcPr>
            <w:tcW w:w="3240" w:type="dxa"/>
            <w:tcBorders>
              <w:top w:val="single" w:sz="4" w:space="0" w:color="auto"/>
              <w:left w:val="single" w:sz="4" w:space="0" w:color="auto"/>
              <w:bottom w:val="single" w:sz="4" w:space="0" w:color="auto"/>
              <w:right w:val="single" w:sz="4" w:space="0" w:color="auto"/>
            </w:tcBorders>
          </w:tcPr>
          <w:p w14:paraId="3EA69D0E" w14:textId="77777777" w:rsidR="00D045A2" w:rsidRDefault="00D045A2" w:rsidP="005E2B87">
            <w:r>
              <w:t>Slide 23</w:t>
            </w:r>
          </w:p>
          <w:p w14:paraId="13948FCF" w14:textId="4785786B" w:rsidR="00D045A2" w:rsidRDefault="00104ABE" w:rsidP="005E2B87">
            <w:r>
              <w:rPr>
                <w:noProof/>
              </w:rPr>
              <w:drawing>
                <wp:inline distT="0" distB="0" distL="0" distR="0" wp14:anchorId="7B6FF7FD" wp14:editId="2C26623C">
                  <wp:extent cx="1838325" cy="1381125"/>
                  <wp:effectExtent l="19050" t="19050" r="28575" b="2857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tx1"/>
                            </a:solidFill>
                          </a:ln>
                        </pic:spPr>
                      </pic:pic>
                    </a:graphicData>
                  </a:graphic>
                </wp:inline>
              </w:drawing>
            </w:r>
          </w:p>
        </w:tc>
      </w:tr>
      <w:tr w:rsidR="00D045A2" w14:paraId="2FA6885A" w14:textId="77777777" w:rsidTr="009831B1">
        <w:trPr>
          <w:trHeight w:val="800"/>
        </w:trPr>
        <w:tc>
          <w:tcPr>
            <w:tcW w:w="6655" w:type="dxa"/>
            <w:tcBorders>
              <w:top w:val="single" w:sz="4" w:space="0" w:color="auto"/>
              <w:left w:val="single" w:sz="4" w:space="0" w:color="auto"/>
              <w:bottom w:val="single" w:sz="4" w:space="0" w:color="auto"/>
              <w:right w:val="single" w:sz="4" w:space="0" w:color="auto"/>
            </w:tcBorders>
          </w:tcPr>
          <w:p w14:paraId="5722A416" w14:textId="77777777" w:rsidR="00D045A2" w:rsidRDefault="00D045A2" w:rsidP="00D045A2">
            <w:pPr>
              <w:autoSpaceDE w:val="0"/>
              <w:autoSpaceDN w:val="0"/>
              <w:adjustRightInd w:val="0"/>
              <w:spacing w:after="0" w:line="240" w:lineRule="auto"/>
              <w:rPr>
                <w:rFonts w:ascii="Calibri" w:hAnsi="Calibri" w:cs="Calibri"/>
                <w:kern w:val="24"/>
                <w:sz w:val="24"/>
                <w:szCs w:val="24"/>
              </w:rPr>
            </w:pPr>
          </w:p>
        </w:tc>
        <w:tc>
          <w:tcPr>
            <w:tcW w:w="3240" w:type="dxa"/>
            <w:tcBorders>
              <w:top w:val="single" w:sz="4" w:space="0" w:color="auto"/>
              <w:left w:val="single" w:sz="4" w:space="0" w:color="auto"/>
              <w:bottom w:val="single" w:sz="4" w:space="0" w:color="auto"/>
              <w:right w:val="single" w:sz="4" w:space="0" w:color="auto"/>
            </w:tcBorders>
          </w:tcPr>
          <w:p w14:paraId="63170AA5" w14:textId="77777777" w:rsidR="00D045A2" w:rsidRDefault="00D045A2" w:rsidP="005E2B87">
            <w:r>
              <w:t>Slide 24</w:t>
            </w:r>
          </w:p>
          <w:p w14:paraId="66FDBF73" w14:textId="0C828912" w:rsidR="00D045A2" w:rsidRDefault="00D045A2" w:rsidP="0056652E">
            <w:pPr>
              <w:spacing w:after="120"/>
            </w:pPr>
            <w:r>
              <w:rPr>
                <w:noProof/>
              </w:rPr>
              <w:drawing>
                <wp:inline distT="0" distB="0" distL="0" distR="0" wp14:anchorId="06D13D4D" wp14:editId="57935C6E">
                  <wp:extent cx="1821485" cy="1367318"/>
                  <wp:effectExtent l="19050" t="19050" r="26670" b="2349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43"/>
                          <a:stretch>
                            <a:fillRect/>
                          </a:stretch>
                        </pic:blipFill>
                        <pic:spPr>
                          <a:xfrm>
                            <a:off x="0" y="0"/>
                            <a:ext cx="1826466" cy="1371057"/>
                          </a:xfrm>
                          <a:prstGeom prst="rect">
                            <a:avLst/>
                          </a:prstGeom>
                          <a:ln>
                            <a:solidFill>
                              <a:schemeClr val="tx1"/>
                            </a:solidFill>
                          </a:ln>
                        </pic:spPr>
                      </pic:pic>
                    </a:graphicData>
                  </a:graphic>
                </wp:inline>
              </w:drawing>
            </w:r>
          </w:p>
        </w:tc>
      </w:tr>
      <w:tr w:rsidR="00D045A2" w14:paraId="29748B2F" w14:textId="77777777" w:rsidTr="009831B1">
        <w:trPr>
          <w:trHeight w:val="800"/>
        </w:trPr>
        <w:tc>
          <w:tcPr>
            <w:tcW w:w="6655" w:type="dxa"/>
            <w:tcBorders>
              <w:top w:val="single" w:sz="4" w:space="0" w:color="auto"/>
              <w:left w:val="single" w:sz="4" w:space="0" w:color="auto"/>
              <w:bottom w:val="single" w:sz="4" w:space="0" w:color="auto"/>
              <w:right w:val="single" w:sz="4" w:space="0" w:color="auto"/>
            </w:tcBorders>
          </w:tcPr>
          <w:p w14:paraId="2AB21A13" w14:textId="77777777" w:rsidR="00D045A2" w:rsidRDefault="00D045A2" w:rsidP="00D045A2">
            <w:pPr>
              <w:autoSpaceDE w:val="0"/>
              <w:autoSpaceDN w:val="0"/>
              <w:adjustRightInd w:val="0"/>
              <w:spacing w:after="0" w:line="240" w:lineRule="auto"/>
              <w:rPr>
                <w:rFonts w:ascii="Calibri" w:hAnsi="Calibri" w:cs="Calibri"/>
                <w:kern w:val="24"/>
                <w:sz w:val="24"/>
                <w:szCs w:val="24"/>
              </w:rPr>
            </w:pPr>
          </w:p>
        </w:tc>
        <w:tc>
          <w:tcPr>
            <w:tcW w:w="3240" w:type="dxa"/>
            <w:tcBorders>
              <w:top w:val="single" w:sz="4" w:space="0" w:color="auto"/>
              <w:left w:val="single" w:sz="4" w:space="0" w:color="auto"/>
              <w:bottom w:val="single" w:sz="4" w:space="0" w:color="auto"/>
              <w:right w:val="single" w:sz="4" w:space="0" w:color="auto"/>
            </w:tcBorders>
          </w:tcPr>
          <w:p w14:paraId="6537C92E" w14:textId="77777777" w:rsidR="00D045A2" w:rsidRDefault="00D045A2" w:rsidP="005E2B87">
            <w:r>
              <w:t>Slide 25</w:t>
            </w:r>
          </w:p>
          <w:p w14:paraId="0D9F0AF8" w14:textId="0854ADEE" w:rsidR="00D045A2" w:rsidRDefault="00D045A2" w:rsidP="0056652E">
            <w:pPr>
              <w:spacing w:after="120"/>
            </w:pPr>
            <w:r>
              <w:rPr>
                <w:noProof/>
              </w:rPr>
              <w:drawing>
                <wp:inline distT="0" distB="0" distL="0" distR="0" wp14:anchorId="33A14792" wp14:editId="64D22266">
                  <wp:extent cx="1920240" cy="1437640"/>
                  <wp:effectExtent l="19050" t="19050" r="22860" b="1016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44"/>
                          <a:stretch>
                            <a:fillRect/>
                          </a:stretch>
                        </pic:blipFill>
                        <pic:spPr>
                          <a:xfrm>
                            <a:off x="0" y="0"/>
                            <a:ext cx="1920240" cy="1437640"/>
                          </a:xfrm>
                          <a:prstGeom prst="rect">
                            <a:avLst/>
                          </a:prstGeom>
                          <a:ln>
                            <a:solidFill>
                              <a:schemeClr val="tx1"/>
                            </a:solidFill>
                          </a:ln>
                        </pic:spPr>
                      </pic:pic>
                    </a:graphicData>
                  </a:graphic>
                </wp:inline>
              </w:drawing>
            </w:r>
          </w:p>
        </w:tc>
      </w:tr>
    </w:tbl>
    <w:p w14:paraId="0BEF3BB6" w14:textId="68FD3354" w:rsidR="006C26D8" w:rsidRDefault="00FD6347" w:rsidP="00FD6347">
      <w:pPr>
        <w:spacing w:before="6000" w:after="0" w:line="240" w:lineRule="auto"/>
        <w:jc w:val="right"/>
      </w:pPr>
      <w:r>
        <w:t>AHRQ Pub. No. 17(22)-0019</w:t>
      </w:r>
    </w:p>
    <w:p w14:paraId="54A71AB8" w14:textId="43A11B01" w:rsidR="00FD6347" w:rsidRPr="00FD6347" w:rsidRDefault="00FD6347" w:rsidP="00FD6347">
      <w:pPr>
        <w:spacing w:after="0" w:line="240" w:lineRule="auto"/>
        <w:jc w:val="right"/>
      </w:pPr>
      <w:r>
        <w:t>April 2022</w:t>
      </w:r>
    </w:p>
    <w:sectPr w:rsidR="00FD6347" w:rsidRPr="00FD6347" w:rsidSect="008D3BCF">
      <w:headerReference w:type="first" r:id="rId45"/>
      <w:footerReference w:type="first" r:id="rId46"/>
      <w:pgSz w:w="12240" w:h="15840"/>
      <w:pgMar w:top="1440" w:right="1440" w:bottom="1440" w:left="1440" w:header="0"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71C05" w14:textId="77777777" w:rsidR="00CB41DD" w:rsidRDefault="00CB41DD" w:rsidP="00E32D5F">
      <w:pPr>
        <w:spacing w:after="0" w:line="240" w:lineRule="auto"/>
      </w:pPr>
      <w:r>
        <w:separator/>
      </w:r>
    </w:p>
  </w:endnote>
  <w:endnote w:type="continuationSeparator" w:id="0">
    <w:p w14:paraId="397ECAAD" w14:textId="77777777" w:rsidR="00CB41DD" w:rsidRDefault="00CB41DD" w:rsidP="00E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502824"/>
      <w:docPartObj>
        <w:docPartGallery w:val="Page Numbers (Bottom of Page)"/>
        <w:docPartUnique/>
      </w:docPartObj>
    </w:sdtPr>
    <w:sdtEndPr>
      <w:rPr>
        <w:rStyle w:val="PageNumber"/>
      </w:rPr>
    </w:sdtEndPr>
    <w:sdtContent>
      <w:p w14:paraId="070785F0" w14:textId="020BBBBA" w:rsidR="008F1A28" w:rsidRDefault="008F1A28" w:rsidP="003B0B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14A34" w14:textId="77777777" w:rsidR="008F1A28" w:rsidRDefault="008F1A28" w:rsidP="00D627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D1FEB" w14:textId="7F8FB96F" w:rsidR="008F1A28" w:rsidRDefault="008F1A28" w:rsidP="00DC580D">
    <w:pPr>
      <w:pStyle w:val="Footer"/>
      <w:framePr w:w="3125" w:h="316" w:hRule="exact" w:wrap="none" w:vAnchor="text" w:hAnchor="page" w:x="9371" w:y="-392"/>
      <w:rPr>
        <w:rStyle w:val="PageNumber"/>
      </w:rPr>
    </w:pPr>
    <w:r>
      <w:rPr>
        <w:rStyle w:val="PageNumber"/>
      </w:rPr>
      <w:t xml:space="preserve">Urine Culture Stewardship   </w:t>
    </w:r>
    <w:sdt>
      <w:sdtPr>
        <w:rPr>
          <w:rStyle w:val="PageNumber"/>
        </w:rPr>
        <w:id w:val="1520426146"/>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5F066C">
          <w:rPr>
            <w:rStyle w:val="PageNumber"/>
            <w:noProof/>
          </w:rPr>
          <w:t>12</w:t>
        </w:r>
        <w:r>
          <w:rPr>
            <w:rStyle w:val="PageNumber"/>
          </w:rPr>
          <w:fldChar w:fldCharType="end"/>
        </w:r>
      </w:sdtContent>
    </w:sdt>
  </w:p>
  <w:p w14:paraId="715CF71A" w14:textId="2CAEEA02" w:rsidR="008F1A28" w:rsidRDefault="008F1A28" w:rsidP="003B0B26">
    <w:pPr>
      <w:pStyle w:val="Footer"/>
      <w:framePr w:w="6166" w:wrap="none" w:vAnchor="text" w:hAnchor="page" w:x="571" w:y="-779"/>
      <w:ind w:right="360"/>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90DA1" w14:textId="77777777" w:rsidR="008F1A28" w:rsidRDefault="008F1A28">
    <w:pPr>
      <w:pStyle w:val="Footer"/>
    </w:pPr>
    <w:r>
      <w:rPr>
        <w:noProof/>
      </w:rPr>
      <w:drawing>
        <wp:anchor distT="0" distB="0" distL="114300" distR="114300" simplePos="0" relativeHeight="251661312" behindDoc="1" locked="0" layoutInCell="1" allowOverlap="1" wp14:anchorId="0A4CB49E" wp14:editId="5F9F1292">
          <wp:simplePos x="0" y="0"/>
          <wp:positionH relativeFrom="page">
            <wp:align>right</wp:align>
          </wp:positionH>
          <wp:positionV relativeFrom="paragraph">
            <wp:posOffset>-660400</wp:posOffset>
          </wp:positionV>
          <wp:extent cx="7773035" cy="822960"/>
          <wp:effectExtent l="0" t="0" r="0" b="0"/>
          <wp:wrapNone/>
          <wp:docPr id="5" name="Picture 5" descr="USA Department of Health &amp; Human Services, AHRQ: Agency for Healthcare Research and Quality, C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SA Department of Health &amp; Human Services, AHRQ: Agency for Healthcare Research and Quality, CU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822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3273001"/>
      <w:docPartObj>
        <w:docPartGallery w:val="Page Numbers (Bottom of Page)"/>
        <w:docPartUnique/>
      </w:docPartObj>
    </w:sdtPr>
    <w:sdtEndPr>
      <w:rPr>
        <w:rStyle w:val="PageNumber"/>
      </w:rPr>
    </w:sdtEndPr>
    <w:sdtContent>
      <w:p w14:paraId="6751C7C4" w14:textId="24369EE9" w:rsidR="008F1A28" w:rsidRDefault="008F1A28" w:rsidP="000E00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0FACBF" w14:textId="087001F8" w:rsidR="008F1A28" w:rsidRDefault="008F1A28" w:rsidP="00EC3394">
    <w:pPr>
      <w:pStyle w:val="Footer"/>
      <w:ind w:right="360"/>
    </w:pPr>
    <w:r>
      <w:rPr>
        <w:noProof/>
      </w:rPr>
      <mc:AlternateContent>
        <mc:Choice Requires="wps">
          <w:drawing>
            <wp:anchor distT="0" distB="0" distL="114300" distR="114300" simplePos="0" relativeHeight="251682816" behindDoc="0" locked="0" layoutInCell="1" allowOverlap="1" wp14:anchorId="3DE1F711" wp14:editId="3D73A1FA">
              <wp:simplePos x="0" y="0"/>
              <wp:positionH relativeFrom="column">
                <wp:posOffset>-718820</wp:posOffset>
              </wp:positionH>
              <wp:positionV relativeFrom="paragraph">
                <wp:posOffset>-120015</wp:posOffset>
              </wp:positionV>
              <wp:extent cx="3474720" cy="170180"/>
              <wp:effectExtent l="0" t="0" r="5080" b="7620"/>
              <wp:wrapNone/>
              <wp:docPr id="18" name="Text Box 18"/>
              <wp:cNvGraphicFramePr/>
              <a:graphic xmlns:a="http://schemas.openxmlformats.org/drawingml/2006/main">
                <a:graphicData uri="http://schemas.microsoft.com/office/word/2010/wordprocessingShape">
                  <wps:wsp>
                    <wps:cNvSpPr txBox="1"/>
                    <wps:spPr>
                      <a:xfrm>
                        <a:off x="0" y="0"/>
                        <a:ext cx="3474720" cy="170180"/>
                      </a:xfrm>
                      <a:prstGeom prst="rect">
                        <a:avLst/>
                      </a:prstGeom>
                      <a:noFill/>
                      <a:ln w="6350">
                        <a:noFill/>
                      </a:ln>
                    </wps:spPr>
                    <wps:txbx>
                      <w:txbxContent>
                        <w:p w14:paraId="6AD49087" w14:textId="348CB3DB" w:rsidR="008F1A28" w:rsidRPr="00740E65" w:rsidRDefault="008F1A28">
                          <w:pPr>
                            <w:rPr>
                              <w:rFonts w:cstheme="minorHAnsi"/>
                            </w:rPr>
                          </w:pPr>
                          <w:r w:rsidRPr="00740E65">
                            <w:rPr>
                              <w:rFonts w:cstheme="minorHAnsi"/>
                            </w:rPr>
                            <w:t>AHRQ Safety Program for ICUs: Preventing CLABSI and CAUTI</w:t>
                          </w:r>
                        </w:p>
                        <w:p w14:paraId="4A33BE52" w14:textId="77777777" w:rsidR="008F1A28" w:rsidRDefault="008F1A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3DE1F711" id="_x0000_t202" coordsize="21600,21600" o:spt="202" path="m,l,21600r21600,l21600,xe">
              <v:stroke joinstyle="miter"/>
              <v:path gradientshapeok="t" o:connecttype="rect"/>
            </v:shapetype>
            <v:shape id="Text Box 18" o:spid="_x0000_s1028" type="#_x0000_t202" style="position:absolute;margin-left:-56.6pt;margin-top:-9.45pt;width:273.6pt;height:1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" filled="f" stroked="f" strokeweight=".5pt">
              <v:textbox inset="0,0,0,0">
                <w:txbxContent>
                  <w:p w14:paraId="6AD49087" w14:textId="348CB3DB" w:rsidR="008F1A28" w:rsidRPr="00740E65" w:rsidRDefault="008F1A28">
                    <w:pPr>
                      <w:rPr>
                        <w:rFonts w:cstheme="minorHAnsi"/>
                      </w:rPr>
                    </w:pPr>
                    <w:r w:rsidRPr="00740E65">
                      <w:rPr>
                        <w:rFonts w:cstheme="minorHAnsi"/>
                      </w:rPr>
                      <w:t>AHRQ Safety Program for ICUs: Preventing CLABSI and CAUTI</w:t>
                    </w:r>
                  </w:p>
                  <w:p w14:paraId="4A33BE52" w14:textId="77777777" w:rsidR="008F1A28" w:rsidRDefault="008F1A28"/>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261E285" wp14:editId="749845B3">
              <wp:simplePos x="0" y="0"/>
              <wp:positionH relativeFrom="column">
                <wp:posOffset>6533618</wp:posOffset>
              </wp:positionH>
              <wp:positionV relativeFrom="paragraph">
                <wp:posOffset>70251</wp:posOffset>
              </wp:positionV>
              <wp:extent cx="244773" cy="183902"/>
              <wp:effectExtent l="0" t="0" r="0" b="698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4773" cy="183902"/>
                      </a:xfrm>
                      <a:prstGeom prst="rect">
                        <a:avLst/>
                      </a:prstGeom>
                      <a:noFill/>
                      <a:ln w="6350">
                        <a:noFill/>
                      </a:ln>
                    </wps:spPr>
                    <wps:txbx>
                      <w:txbxContent>
                        <w:p w14:paraId="6BAE6045" w14:textId="6AA9C1BB" w:rsidR="008F1A28" w:rsidRPr="00C7432E" w:rsidRDefault="008F1A28" w:rsidP="00C7432E">
                          <w:pPr>
                            <w:jc w:val="righ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5261E285" id="Text Box 16" o:spid="_x0000_s1029" type="#_x0000_t202" alt="&quot;&quot;" style="position:absolute;margin-left:514.45pt;margin-top:5.55pt;width:19.25pt;height:1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" filled="f" stroked="f" strokeweight=".5pt">
              <v:textbox inset="0,0,0,0">
                <w:txbxContent>
                  <w:p w14:paraId="6BAE6045" w14:textId="6AA9C1BB" w:rsidR="008F1A28" w:rsidRPr="00C7432E" w:rsidRDefault="008F1A28" w:rsidP="00C7432E">
                    <w:pPr>
                      <w:jc w:val="right"/>
                      <w:rPr>
                        <w:sz w:val="20"/>
                        <w:szCs w:val="20"/>
                      </w:rPr>
                    </w:pPr>
                  </w:p>
                </w:txbxContent>
              </v:textbox>
            </v:shape>
          </w:pict>
        </mc:Fallback>
      </mc:AlternateContent>
    </w:r>
  </w:p>
  <w:p w14:paraId="4B811C7F" w14:textId="3AE3A797" w:rsidR="008F1A28" w:rsidRDefault="008F1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2BB45" w14:textId="77777777" w:rsidR="00CB41DD" w:rsidRDefault="00CB41DD" w:rsidP="00E32D5F">
      <w:pPr>
        <w:spacing w:after="0" w:line="240" w:lineRule="auto"/>
      </w:pPr>
      <w:r>
        <w:separator/>
      </w:r>
    </w:p>
  </w:footnote>
  <w:footnote w:type="continuationSeparator" w:id="0">
    <w:p w14:paraId="3BB568EF" w14:textId="77777777" w:rsidR="00CB41DD" w:rsidRDefault="00CB41DD" w:rsidP="00E3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5133564"/>
      <w:docPartObj>
        <w:docPartGallery w:val="Page Numbers (Top of Page)"/>
        <w:docPartUnique/>
      </w:docPartObj>
    </w:sdtPr>
    <w:sdtEndPr>
      <w:rPr>
        <w:rStyle w:val="PageNumber"/>
      </w:rPr>
    </w:sdtEndPr>
    <w:sdtContent>
      <w:p w14:paraId="6D541BE7" w14:textId="2017D807" w:rsidR="008F1A28" w:rsidRDefault="008F1A28" w:rsidP="000E00A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4C24B3" w14:textId="77777777" w:rsidR="008F1A28" w:rsidRDefault="008F1A28" w:rsidP="00D4764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DF485" w14:textId="77777777" w:rsidR="008F1A28" w:rsidRDefault="008F1A28" w:rsidP="00D47649">
    <w:pPr>
      <w:pStyle w:val="Header"/>
      <w:ind w:right="360"/>
    </w:pPr>
  </w:p>
  <w:p w14:paraId="425A84E2" w14:textId="77777777" w:rsidR="008F1A28" w:rsidRDefault="008F1A28">
    <w:pPr>
      <w:pStyle w:val="Header"/>
    </w:pPr>
  </w:p>
  <w:p w14:paraId="25A8A19A" w14:textId="77777777" w:rsidR="008F1A28" w:rsidRDefault="008F1A28">
    <w:pPr>
      <w:pStyle w:val="Header"/>
    </w:pPr>
  </w:p>
  <w:p w14:paraId="514C6012" w14:textId="77777777" w:rsidR="008F1A28" w:rsidRDefault="008F1A28">
    <w:pPr>
      <w:pStyle w:val="Header"/>
    </w:pPr>
  </w:p>
  <w:p w14:paraId="7A0E652F" w14:textId="4EA4E6A9" w:rsidR="008F1A28" w:rsidRDefault="008F1A28">
    <w:pPr>
      <w:pStyle w:val="Header"/>
    </w:pPr>
    <w:r>
      <w:rPr>
        <w:noProof/>
      </w:rPr>
      <w:drawing>
        <wp:anchor distT="0" distB="0" distL="114300" distR="114300" simplePos="0" relativeHeight="251683840" behindDoc="1" locked="0" layoutInCell="1" allowOverlap="1" wp14:anchorId="7540FCB4" wp14:editId="1819C6D8">
          <wp:simplePos x="0" y="0"/>
          <wp:positionH relativeFrom="column">
            <wp:posOffset>3778687</wp:posOffset>
          </wp:positionH>
          <wp:positionV relativeFrom="paragraph">
            <wp:posOffset>8806180</wp:posOffset>
          </wp:positionV>
          <wp:extent cx="3289300" cy="762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89300" cy="76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5C35CFFB" wp14:editId="2826ADA2">
              <wp:simplePos x="0" y="0"/>
              <wp:positionH relativeFrom="column">
                <wp:posOffset>-701675</wp:posOffset>
              </wp:positionH>
              <wp:positionV relativeFrom="paragraph">
                <wp:posOffset>8919210</wp:posOffset>
              </wp:positionV>
              <wp:extent cx="3933825"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33825" cy="323850"/>
                      </a:xfrm>
                      <a:prstGeom prst="rect">
                        <a:avLst/>
                      </a:prstGeom>
                      <a:noFill/>
                      <a:ln w="6350">
                        <a:noFill/>
                      </a:ln>
                    </wps:spPr>
                    <wps:txbx>
                      <w:txbxContent>
                        <w:p w14:paraId="0A958010" w14:textId="44EFB4F6" w:rsidR="008F1A28" w:rsidRDefault="008F1A28">
                          <w:r>
                            <w:t>AHRQ Safety Program for ICUs: Preventing CLABSI and CAUTI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type w14:anchorId="5C35CFFB" id="_x0000_t202" coordsize="21600,21600" o:spt="202" path="m,l,21600r21600,l21600,xe">
              <v:stroke joinstyle="miter"/>
              <v:path gradientshapeok="t" o:connecttype="rect"/>
            </v:shapetype>
            <v:shape id="Text Box 24" o:spid="_x0000_s1026" type="#_x0000_t202" style="position:absolute;margin-left:-55.25pt;margin-top:702.3pt;width:309.7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" filled="f" stroked="f" strokeweight=".5pt">
              <v:textbox>
                <w:txbxContent>
                  <w:p w14:paraId="0A958010" w14:textId="44EFB4F6" w:rsidR="008F1A28" w:rsidRDefault="008F1A28">
                    <w:r>
                      <w:t>AHRQ Safety Program for ICUs: Preventing CLABSI and CAUTI</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1E13F" w14:textId="2CAE382F" w:rsidR="008F1A28" w:rsidRDefault="008F1A28">
    <w:pPr>
      <w:pStyle w:val="Header"/>
    </w:pPr>
    <w:r>
      <w:rPr>
        <w:noProof/>
      </w:rPr>
      <mc:AlternateContent>
        <mc:Choice Requires="wps">
          <w:drawing>
            <wp:anchor distT="45720" distB="45720" distL="114300" distR="114300" simplePos="0" relativeHeight="251675648" behindDoc="0" locked="0" layoutInCell="1" allowOverlap="1" wp14:anchorId="32AE3F89" wp14:editId="777EF702">
              <wp:simplePos x="0" y="0"/>
              <wp:positionH relativeFrom="page">
                <wp:posOffset>1570990</wp:posOffset>
              </wp:positionH>
              <wp:positionV relativeFrom="paragraph">
                <wp:posOffset>76200</wp:posOffset>
              </wp:positionV>
              <wp:extent cx="6106160" cy="140462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1404620"/>
                      </a:xfrm>
                      <a:prstGeom prst="rect">
                        <a:avLst/>
                      </a:prstGeom>
                      <a:noFill/>
                      <a:ln w="9525">
                        <a:noFill/>
                        <a:miter lim="800000"/>
                        <a:headEnd/>
                        <a:tailEnd/>
                      </a:ln>
                    </wps:spPr>
                    <wps:txbx>
                      <w:txbxContent>
                        <w:p w14:paraId="7C8DD928" w14:textId="6DE023A3" w:rsidR="008F1A28" w:rsidRPr="00ED16F2" w:rsidRDefault="008F1A28" w:rsidP="00ED16F2">
                          <w:pPr>
                            <w:jc w:val="center"/>
                            <w:rPr>
                              <w:b/>
                              <w:bCs/>
                              <w:sz w:val="48"/>
                              <w:szCs w:val="52"/>
                            </w:rPr>
                          </w:pPr>
                          <w:r w:rsidRPr="00ED16F2">
                            <w:rPr>
                              <w:b/>
                              <w:bCs/>
                              <w:sz w:val="48"/>
                              <w:szCs w:val="52"/>
                            </w:rPr>
                            <w:t>AHRQ Safety Program for Intensive Care Units: Preventing CLABSI and CAUTI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32AE3F89" id="_x0000_t202" coordsize="21600,21600" o:spt="202" path="m,l,21600r21600,l21600,xe">
              <v:stroke joinstyle="miter"/>
              <v:path gradientshapeok="t" o:connecttype="rect"/>
            </v:shapetype>
            <v:shape id="Text Box 2" o:spid="_x0000_s1027" type="#_x0000_t202" style="position:absolute;margin-left:123.7pt;margin-top:6pt;width:480.8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" filled="f" stroked="f">
              <v:textbox style="mso-fit-shape-to-text:t">
                <w:txbxContent>
                  <w:p w14:paraId="7C8DD928" w14:textId="6DE023A3" w:rsidR="008F1A28" w:rsidRPr="00ED16F2" w:rsidRDefault="008F1A28" w:rsidP="00ED16F2">
                    <w:pPr>
                      <w:jc w:val="center"/>
                      <w:rPr>
                        <w:b/>
                        <w:bCs/>
                        <w:sz w:val="48"/>
                        <w:szCs w:val="52"/>
                      </w:rPr>
                    </w:pPr>
                    <w:r w:rsidRPr="00ED16F2">
                      <w:rPr>
                        <w:b/>
                        <w:bCs/>
                        <w:sz w:val="48"/>
                        <w:szCs w:val="52"/>
                      </w:rPr>
                      <w:t>AHRQ Safety Program for Intensive Care Units: Preventing CLABSI and CAUTI</w:t>
                    </w:r>
                  </w:p>
                </w:txbxContent>
              </v:textbox>
              <w10:wrap type="square" anchorx="page"/>
            </v:shape>
          </w:pict>
        </mc:Fallback>
      </mc:AlternateContent>
    </w:r>
    <w:r>
      <w:rPr>
        <w:noProof/>
      </w:rPr>
      <w:drawing>
        <wp:anchor distT="0" distB="0" distL="114300" distR="114300" simplePos="0" relativeHeight="251663360" behindDoc="1" locked="0" layoutInCell="1" allowOverlap="1" wp14:anchorId="639E0DF9" wp14:editId="145D0380">
          <wp:simplePos x="0" y="0"/>
          <wp:positionH relativeFrom="page">
            <wp:posOffset>-6350</wp:posOffset>
          </wp:positionH>
          <wp:positionV relativeFrom="paragraph">
            <wp:posOffset>12700</wp:posOffset>
          </wp:positionV>
          <wp:extent cx="7870825" cy="1633855"/>
          <wp:effectExtent l="0" t="0" r="0" b="4445"/>
          <wp:wrapNone/>
          <wp:docPr id="4" name="Picture 4" descr="Prevent HAIs&#10;Healthcare-Associated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event HAIs&#10;Healthcare-Associated Infe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0825" cy="1633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B1926" w14:textId="77777777" w:rsidR="008F1A28" w:rsidRDefault="008F1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F405EFE"/>
    <w:lvl w:ilvl="0">
      <w:numFmt w:val="bullet"/>
      <w:lvlText w:val="*"/>
      <w:lvlJc w:val="left"/>
    </w:lvl>
  </w:abstractNum>
  <w:abstractNum w:abstractNumId="1" w15:restartNumberingAfterBreak="0">
    <w:nsid w:val="20064F6A"/>
    <w:multiLevelType w:val="hybridMultilevel"/>
    <w:tmpl w:val="CA34A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07F52"/>
    <w:multiLevelType w:val="hybridMultilevel"/>
    <w:tmpl w:val="5CA8008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481298B"/>
    <w:multiLevelType w:val="hybridMultilevel"/>
    <w:tmpl w:val="FCBEAF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58DC"/>
    <w:multiLevelType w:val="hybridMultilevel"/>
    <w:tmpl w:val="E710113E"/>
    <w:lvl w:ilvl="0" w:tplc="DDBC3614">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7A00"/>
    <w:multiLevelType w:val="hybridMultilevel"/>
    <w:tmpl w:val="4900D4B6"/>
    <w:lvl w:ilvl="0" w:tplc="0409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7340E"/>
    <w:multiLevelType w:val="hybridMultilevel"/>
    <w:tmpl w:val="6E287EA4"/>
    <w:lvl w:ilvl="0" w:tplc="04090001">
      <w:start w:val="1"/>
      <w:numFmt w:val="bullet"/>
      <w:lvlText w:val=""/>
      <w:lvlJc w:val="left"/>
      <w:pPr>
        <w:ind w:left="360" w:hanging="360"/>
      </w:pPr>
      <w:rPr>
        <w:rFonts w:ascii="Symbol" w:hAnsi="Symbo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0658C8"/>
    <w:multiLevelType w:val="hybridMultilevel"/>
    <w:tmpl w:val="C5E8F9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5D427CE"/>
    <w:multiLevelType w:val="hybridMultilevel"/>
    <w:tmpl w:val="9110BCE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465F5CB9"/>
    <w:multiLevelType w:val="hybridMultilevel"/>
    <w:tmpl w:val="ED72E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395157"/>
    <w:multiLevelType w:val="hybridMultilevel"/>
    <w:tmpl w:val="83221A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7"/>
  </w:num>
  <w:num w:numId="2">
    <w:abstractNumId w:val="8"/>
  </w:num>
  <w:num w:numId="3">
    <w:abstractNumId w:val="4"/>
  </w:num>
  <w:num w:numId="4">
    <w:abstractNumId w:val="2"/>
  </w:num>
  <w:num w:numId="5">
    <w:abstractNumId w:val="6"/>
  </w:num>
  <w:num w:numId="6">
    <w:abstractNumId w:val="1"/>
  </w:num>
  <w:num w:numId="7">
    <w:abstractNumId w:val="3"/>
  </w:num>
  <w:num w:numId="8">
    <w:abstractNumId w:val="5"/>
  </w:num>
  <w:num w:numId="9">
    <w:abstractNumId w:val="0"/>
    <w:lvlOverride w:ilvl="0">
      <w:lvl w:ilvl="0">
        <w:numFmt w:val="bullet"/>
        <w:lvlText w:val="•"/>
        <w:legacy w:legacy="1" w:legacySpace="0" w:legacyIndent="0"/>
        <w:lvlJc w:val="left"/>
        <w:rPr>
          <w:rFonts w:ascii="Arial" w:hAnsi="Arial" w:cs="Arial" w:hint="default"/>
          <w:sz w:val="24"/>
        </w:rPr>
      </w:lvl>
    </w:lvlOverride>
  </w:num>
  <w:num w:numId="10">
    <w:abstractNumId w:val="10"/>
  </w:num>
  <w:num w:numId="11">
    <w:abstractNumId w:val="0"/>
    <w:lvlOverride w:ilvl="0">
      <w:lvl w:ilvl="0">
        <w:numFmt w:val="bullet"/>
        <w:lvlText w:val="-"/>
        <w:legacy w:legacy="1" w:legacySpace="0" w:legacyIndent="0"/>
        <w:lvlJc w:val="left"/>
        <w:rPr>
          <w:rFonts w:ascii="Calibri" w:hAnsi="Calibri" w:cs="Calibri" w:hint="default"/>
          <w:sz w:val="24"/>
        </w:rPr>
      </w:lvl>
    </w:lvlOverride>
  </w:num>
  <w:num w:numId="12">
    <w:abstractNumId w:val="9"/>
  </w:num>
  <w:num w:numId="13">
    <w:abstractNumId w:val="0"/>
    <w:lvlOverride w:ilvl="0">
      <w:lvl w:ilvl="0">
        <w:numFmt w:val="bullet"/>
        <w:lvlText w:val="•"/>
        <w:legacy w:legacy="1" w:legacySpace="0" w:legacyIndent="0"/>
        <w:lvlJc w:val="left"/>
        <w:pPr>
          <w:ind w:left="0" w:firstLine="0"/>
        </w:pPr>
        <w:rPr>
          <w:rFonts w:ascii="Calibri" w:hAnsi="Calibri" w:cs="Calibri" w:hint="default"/>
          <w:sz w:val="24"/>
        </w:rPr>
      </w:lvl>
    </w:lvlOverride>
  </w:num>
  <w:num w:numId="14">
    <w:abstractNumId w:val="0"/>
    <w:lvlOverride w:ilvl="0">
      <w:lvl w:ilvl="0">
        <w:numFmt w:val="bullet"/>
        <w:lvlText w:val="•"/>
        <w:legacy w:legacy="1" w:legacySpace="0" w:legacyIndent="0"/>
        <w:lvlJc w:val="left"/>
        <w:pPr>
          <w:ind w:left="0" w:firstLine="0"/>
        </w:pPr>
        <w:rPr>
          <w:rFonts w:ascii="Arial" w:hAnsi="Arial" w:cs="Arial" w:hint="default"/>
          <w:sz w:val="21"/>
        </w:rPr>
      </w:lvl>
    </w:lvlOverride>
  </w:num>
  <w:num w:numId="15">
    <w:abstractNumId w:val="0"/>
    <w:lvlOverride w:ilvl="0">
      <w:lvl w:ilvl="0">
        <w:numFmt w:val="bullet"/>
        <w:lvlText w:val="•"/>
        <w:legacy w:legacy="1" w:legacySpace="0" w:legacyIndent="0"/>
        <w:lvlJc w:val="left"/>
        <w:rPr>
          <w:rFonts w:ascii="Calibri" w:hAnsi="Calibri" w:cs="Calibri" w:hint="default"/>
          <w:sz w:val="22"/>
        </w:rPr>
      </w:lvl>
    </w:lvlOverride>
  </w:num>
  <w:num w:numId="16">
    <w:abstractNumId w:val="0"/>
    <w:lvlOverride w:ilvl="0">
      <w:lvl w:ilvl="0">
        <w:numFmt w:val="bullet"/>
        <w:lvlText w:val="•"/>
        <w:legacy w:legacy="1" w:legacySpace="0" w:legacyIndent="0"/>
        <w:lvlJc w:val="left"/>
        <w:rPr>
          <w:rFonts w:ascii="Helvetica" w:hAnsi="Helvetica" w:cs="Helvetica" w:hint="default"/>
          <w:sz w:val="26"/>
        </w:rPr>
      </w:lvl>
    </w:lvlOverride>
  </w:num>
  <w:num w:numId="17">
    <w:abstractNumId w:val="0"/>
    <w:lvlOverride w:ilvl="0">
      <w:lvl w:ilvl="0">
        <w:numFmt w:val="bullet"/>
        <w:lvlText w:val="•"/>
        <w:legacy w:legacy="1" w:legacySpace="0" w:legacyIndent="0"/>
        <w:lvlJc w:val="left"/>
        <w:rPr>
          <w:rFonts w:ascii="Arial" w:hAnsi="Arial" w:cs="Arial" w:hint="default"/>
          <w:sz w:val="22"/>
          <w:szCs w:val="22"/>
        </w:rPr>
      </w:lvl>
    </w:lvlOverride>
  </w:num>
  <w:num w:numId="18">
    <w:abstractNumId w:val="0"/>
    <w:lvlOverride w:ilvl="0">
      <w:lvl w:ilvl="0">
        <w:numFmt w:val="bullet"/>
        <w:lvlText w:val="•"/>
        <w:legacy w:legacy="1" w:legacySpace="0" w:legacyIndent="0"/>
        <w:lvlJc w:val="left"/>
        <w:rPr>
          <w:rFonts w:ascii="Arial" w:hAnsi="Arial" w:cs="Arial" w:hint="default"/>
          <w:sz w:val="22"/>
          <w:szCs w:val="22"/>
        </w:rPr>
      </w:lvl>
    </w:lvlOverride>
  </w:num>
  <w:num w:numId="19">
    <w:abstractNumId w:val="0"/>
    <w:lvlOverride w:ilvl="0">
      <w:lvl w:ilvl="0">
        <w:numFmt w:val="bullet"/>
        <w:lvlText w:val="•"/>
        <w:legacy w:legacy="1" w:legacySpace="0" w:legacyIndent="0"/>
        <w:lvlJc w:val="left"/>
        <w:rPr>
          <w:rFonts w:ascii="Arial" w:hAnsi="Arial" w:cs="Arial" w:hint="default"/>
          <w:sz w:val="22"/>
          <w:szCs w:val="22"/>
        </w:rPr>
      </w:lvl>
    </w:lvlOverride>
  </w:num>
  <w:num w:numId="20">
    <w:abstractNumId w:val="0"/>
    <w:lvlOverride w:ilvl="0">
      <w:lvl w:ilvl="0">
        <w:numFmt w:val="bullet"/>
        <w:lvlText w:val="•"/>
        <w:legacy w:legacy="1" w:legacySpace="0" w:legacyIndent="0"/>
        <w:lvlJc w:val="left"/>
        <w:rPr>
          <w:rFonts w:ascii="Calibri" w:hAnsi="Calibri" w:cs="Calibri" w:hint="default"/>
          <w:sz w:val="22"/>
          <w:szCs w:val="22"/>
        </w:rPr>
      </w:lvl>
    </w:lvlOverride>
  </w:num>
  <w:num w:numId="21">
    <w:abstractNumId w:val="0"/>
    <w:lvlOverride w:ilvl="0">
      <w:lvl w:ilvl="0">
        <w:numFmt w:val="bullet"/>
        <w:lvlText w:val="•"/>
        <w:legacy w:legacy="1" w:legacySpace="0" w:legacyIndent="0"/>
        <w:lvlJc w:val="left"/>
        <w:rPr>
          <w:rFonts w:ascii="Calibri" w:hAnsi="Calibri" w:cs="Calibri" w:hint="default"/>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F3"/>
    <w:rsid w:val="00033EC5"/>
    <w:rsid w:val="00057918"/>
    <w:rsid w:val="000828DC"/>
    <w:rsid w:val="00082A18"/>
    <w:rsid w:val="00092DD3"/>
    <w:rsid w:val="000964B1"/>
    <w:rsid w:val="000A552C"/>
    <w:rsid w:val="000B2336"/>
    <w:rsid w:val="000B4D86"/>
    <w:rsid w:val="000D79C0"/>
    <w:rsid w:val="000E00A8"/>
    <w:rsid w:val="00104ABE"/>
    <w:rsid w:val="001069F6"/>
    <w:rsid w:val="00116CE0"/>
    <w:rsid w:val="001239F9"/>
    <w:rsid w:val="00134062"/>
    <w:rsid w:val="001536E5"/>
    <w:rsid w:val="00164F43"/>
    <w:rsid w:val="0017646D"/>
    <w:rsid w:val="00184337"/>
    <w:rsid w:val="001A49F9"/>
    <w:rsid w:val="001C6AFA"/>
    <w:rsid w:val="001D7487"/>
    <w:rsid w:val="0021713F"/>
    <w:rsid w:val="00217719"/>
    <w:rsid w:val="002228DB"/>
    <w:rsid w:val="00233279"/>
    <w:rsid w:val="00256CD0"/>
    <w:rsid w:val="00276CAD"/>
    <w:rsid w:val="002864DD"/>
    <w:rsid w:val="002E32B0"/>
    <w:rsid w:val="0030462D"/>
    <w:rsid w:val="0032163C"/>
    <w:rsid w:val="00331462"/>
    <w:rsid w:val="0033187F"/>
    <w:rsid w:val="003526B5"/>
    <w:rsid w:val="00367B86"/>
    <w:rsid w:val="003B0B26"/>
    <w:rsid w:val="003B76DF"/>
    <w:rsid w:val="003C48DB"/>
    <w:rsid w:val="003E65B9"/>
    <w:rsid w:val="003F627A"/>
    <w:rsid w:val="004871F6"/>
    <w:rsid w:val="004A31CD"/>
    <w:rsid w:val="004B60F3"/>
    <w:rsid w:val="004D4FA9"/>
    <w:rsid w:val="004D5F75"/>
    <w:rsid w:val="004E0078"/>
    <w:rsid w:val="004F1C42"/>
    <w:rsid w:val="0050437B"/>
    <w:rsid w:val="005070CE"/>
    <w:rsid w:val="00532C98"/>
    <w:rsid w:val="00537208"/>
    <w:rsid w:val="00542622"/>
    <w:rsid w:val="0056652E"/>
    <w:rsid w:val="00580EB4"/>
    <w:rsid w:val="00591320"/>
    <w:rsid w:val="00597314"/>
    <w:rsid w:val="005B073B"/>
    <w:rsid w:val="005B2A59"/>
    <w:rsid w:val="005C655D"/>
    <w:rsid w:val="005C7813"/>
    <w:rsid w:val="005E2B87"/>
    <w:rsid w:val="005E4503"/>
    <w:rsid w:val="005F066C"/>
    <w:rsid w:val="005F0850"/>
    <w:rsid w:val="005F1512"/>
    <w:rsid w:val="00624C0C"/>
    <w:rsid w:val="00625E36"/>
    <w:rsid w:val="00626C04"/>
    <w:rsid w:val="006423CC"/>
    <w:rsid w:val="00644FB3"/>
    <w:rsid w:val="006474D9"/>
    <w:rsid w:val="00682796"/>
    <w:rsid w:val="00687C2F"/>
    <w:rsid w:val="00695C5C"/>
    <w:rsid w:val="006A2EE1"/>
    <w:rsid w:val="006A44B4"/>
    <w:rsid w:val="006B7A85"/>
    <w:rsid w:val="006C26D8"/>
    <w:rsid w:val="006D6FA0"/>
    <w:rsid w:val="00707A43"/>
    <w:rsid w:val="007310A7"/>
    <w:rsid w:val="00740E65"/>
    <w:rsid w:val="007448CD"/>
    <w:rsid w:val="00755FD4"/>
    <w:rsid w:val="00777CEC"/>
    <w:rsid w:val="007A2576"/>
    <w:rsid w:val="007A6A3D"/>
    <w:rsid w:val="007B3088"/>
    <w:rsid w:val="007C33CD"/>
    <w:rsid w:val="007C70A9"/>
    <w:rsid w:val="007D74B3"/>
    <w:rsid w:val="00823C81"/>
    <w:rsid w:val="0083297D"/>
    <w:rsid w:val="00873EEE"/>
    <w:rsid w:val="008B25E5"/>
    <w:rsid w:val="008D3BCF"/>
    <w:rsid w:val="008D6CC2"/>
    <w:rsid w:val="008F1A28"/>
    <w:rsid w:val="008F7806"/>
    <w:rsid w:val="009831B1"/>
    <w:rsid w:val="00991467"/>
    <w:rsid w:val="009957CD"/>
    <w:rsid w:val="009A6CAD"/>
    <w:rsid w:val="009C5AC1"/>
    <w:rsid w:val="00A14F29"/>
    <w:rsid w:val="00A2110E"/>
    <w:rsid w:val="00A440CF"/>
    <w:rsid w:val="00A53F16"/>
    <w:rsid w:val="00A72143"/>
    <w:rsid w:val="00AA55F8"/>
    <w:rsid w:val="00AB65EC"/>
    <w:rsid w:val="00AB7A6A"/>
    <w:rsid w:val="00AE038D"/>
    <w:rsid w:val="00AF4B0A"/>
    <w:rsid w:val="00B1576F"/>
    <w:rsid w:val="00B20770"/>
    <w:rsid w:val="00B71FB4"/>
    <w:rsid w:val="00B846C3"/>
    <w:rsid w:val="00B86B3C"/>
    <w:rsid w:val="00C05561"/>
    <w:rsid w:val="00C44143"/>
    <w:rsid w:val="00C5156A"/>
    <w:rsid w:val="00C66C8C"/>
    <w:rsid w:val="00C7432E"/>
    <w:rsid w:val="00C85247"/>
    <w:rsid w:val="00C85E57"/>
    <w:rsid w:val="00CB2A6F"/>
    <w:rsid w:val="00CB41DD"/>
    <w:rsid w:val="00CC4539"/>
    <w:rsid w:val="00CC55E8"/>
    <w:rsid w:val="00D00EAC"/>
    <w:rsid w:val="00D045A2"/>
    <w:rsid w:val="00D0568E"/>
    <w:rsid w:val="00D24E88"/>
    <w:rsid w:val="00D25EBC"/>
    <w:rsid w:val="00D47649"/>
    <w:rsid w:val="00D627CA"/>
    <w:rsid w:val="00D913C0"/>
    <w:rsid w:val="00D96469"/>
    <w:rsid w:val="00D96C73"/>
    <w:rsid w:val="00DA056B"/>
    <w:rsid w:val="00DA2BC0"/>
    <w:rsid w:val="00DB5365"/>
    <w:rsid w:val="00DC2504"/>
    <w:rsid w:val="00DC580D"/>
    <w:rsid w:val="00DF7291"/>
    <w:rsid w:val="00DF743C"/>
    <w:rsid w:val="00E32D5F"/>
    <w:rsid w:val="00E35770"/>
    <w:rsid w:val="00E40CED"/>
    <w:rsid w:val="00E64E0B"/>
    <w:rsid w:val="00E764D2"/>
    <w:rsid w:val="00EB2861"/>
    <w:rsid w:val="00EC3394"/>
    <w:rsid w:val="00EC6865"/>
    <w:rsid w:val="00ED16F2"/>
    <w:rsid w:val="00F10439"/>
    <w:rsid w:val="00F767A5"/>
    <w:rsid w:val="00F76DBA"/>
    <w:rsid w:val="00FD1661"/>
    <w:rsid w:val="00FD2ED3"/>
    <w:rsid w:val="00FD3DB0"/>
    <w:rsid w:val="00FD6347"/>
    <w:rsid w:val="00FE0296"/>
    <w:rsid w:val="00FF0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25703"/>
  <w15:docId w15:val="{76DD55F6-4077-47F3-B36E-5652AD7F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D25EBC"/>
    <w:pPr>
      <w:jc w:val="center"/>
      <w:outlineLvl w:val="0"/>
    </w:pPr>
    <w:rPr>
      <w:rFonts w:asciiTheme="minorHAnsi" w:hAnsiTheme="minorHAnsi"/>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paragraph" w:styleId="Title">
    <w:name w:val="Title"/>
    <w:basedOn w:val="Normal"/>
    <w:next w:val="Normal"/>
    <w:link w:val="TitleChar"/>
    <w:uiPriority w:val="10"/>
    <w:qFormat/>
    <w:rsid w:val="00ED16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6F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D16F2"/>
    <w:rPr>
      <w:color w:val="0000FF" w:themeColor="hyperlink"/>
      <w:u w:val="single"/>
    </w:rPr>
  </w:style>
  <w:style w:type="character" w:styleId="CommentReference">
    <w:name w:val="annotation reference"/>
    <w:basedOn w:val="DefaultParagraphFont"/>
    <w:uiPriority w:val="99"/>
    <w:semiHidden/>
    <w:unhideWhenUsed/>
    <w:rsid w:val="00ED16F2"/>
    <w:rPr>
      <w:sz w:val="16"/>
      <w:szCs w:val="16"/>
    </w:rPr>
  </w:style>
  <w:style w:type="paragraph" w:styleId="CommentText">
    <w:name w:val="annotation text"/>
    <w:basedOn w:val="Normal"/>
    <w:link w:val="CommentTextChar"/>
    <w:uiPriority w:val="99"/>
    <w:semiHidden/>
    <w:unhideWhenUsed/>
    <w:rsid w:val="00ED16F2"/>
    <w:pPr>
      <w:spacing w:line="240" w:lineRule="auto"/>
    </w:pPr>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semiHidden/>
    <w:rsid w:val="00ED16F2"/>
    <w:rPr>
      <w:rFonts w:ascii="Calibri" w:eastAsia="MS Mincho" w:hAnsi="Calibri" w:cs="Times New Roman"/>
      <w:sz w:val="20"/>
      <w:szCs w:val="20"/>
    </w:rPr>
  </w:style>
  <w:style w:type="table" w:styleId="TableGrid">
    <w:name w:val="Table Grid"/>
    <w:basedOn w:val="TableNormal"/>
    <w:uiPriority w:val="39"/>
    <w:rsid w:val="00ED1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16F2"/>
    <w:pPr>
      <w:spacing w:after="0"/>
      <w:ind w:left="720"/>
      <w:contextualSpacing/>
    </w:pPr>
    <w:rPr>
      <w:rFonts w:cstheme="minorHAnsi"/>
      <w:lang w:eastAsia="ja-JP"/>
    </w:rPr>
  </w:style>
  <w:style w:type="character" w:customStyle="1" w:styleId="ListParagraphChar">
    <w:name w:val="List Paragraph Char"/>
    <w:basedOn w:val="DefaultParagraphFont"/>
    <w:link w:val="ListParagraph"/>
    <w:uiPriority w:val="34"/>
    <w:rsid w:val="00ED16F2"/>
    <w:rPr>
      <w:rFonts w:cstheme="minorHAnsi"/>
      <w:lang w:eastAsia="ja-JP"/>
    </w:rPr>
  </w:style>
  <w:style w:type="paragraph" w:styleId="CommentSubject">
    <w:name w:val="annotation subject"/>
    <w:basedOn w:val="CommentText"/>
    <w:next w:val="CommentText"/>
    <w:link w:val="CommentSubjectChar"/>
    <w:uiPriority w:val="99"/>
    <w:semiHidden/>
    <w:unhideWhenUsed/>
    <w:rsid w:val="003F627A"/>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F627A"/>
    <w:rPr>
      <w:rFonts w:ascii="Calibri" w:eastAsia="MS Mincho" w:hAnsi="Calibri" w:cs="Times New Roman"/>
      <w:b/>
      <w:bCs/>
      <w:sz w:val="20"/>
      <w:szCs w:val="20"/>
    </w:rPr>
  </w:style>
  <w:style w:type="character" w:styleId="PageNumber">
    <w:name w:val="page number"/>
    <w:basedOn w:val="DefaultParagraphFont"/>
    <w:uiPriority w:val="99"/>
    <w:semiHidden/>
    <w:unhideWhenUsed/>
    <w:rsid w:val="00D627CA"/>
  </w:style>
  <w:style w:type="character" w:styleId="FollowedHyperlink">
    <w:name w:val="FollowedHyperlink"/>
    <w:basedOn w:val="DefaultParagraphFont"/>
    <w:uiPriority w:val="99"/>
    <w:semiHidden/>
    <w:unhideWhenUsed/>
    <w:rsid w:val="00134062"/>
    <w:rPr>
      <w:color w:val="800080" w:themeColor="followedHyperlink"/>
      <w:u w:val="single"/>
    </w:rPr>
  </w:style>
  <w:style w:type="paragraph" w:styleId="Revision">
    <w:name w:val="Revision"/>
    <w:hidden/>
    <w:uiPriority w:val="99"/>
    <w:semiHidden/>
    <w:rsid w:val="004D5F75"/>
    <w:pPr>
      <w:spacing w:after="0" w:line="240" w:lineRule="auto"/>
    </w:pPr>
  </w:style>
  <w:style w:type="character" w:customStyle="1" w:styleId="UnresolvedMention1">
    <w:name w:val="Unresolved Mention1"/>
    <w:basedOn w:val="DefaultParagraphFont"/>
    <w:uiPriority w:val="99"/>
    <w:semiHidden/>
    <w:unhideWhenUsed/>
    <w:rsid w:val="00624C0C"/>
    <w:rPr>
      <w:color w:val="605E5C"/>
      <w:shd w:val="clear" w:color="auto" w:fill="E1DFDD"/>
    </w:rPr>
  </w:style>
  <w:style w:type="character" w:customStyle="1" w:styleId="Heading1Char">
    <w:name w:val="Heading 1 Char"/>
    <w:basedOn w:val="DefaultParagraphFont"/>
    <w:link w:val="Heading1"/>
    <w:uiPriority w:val="9"/>
    <w:rsid w:val="00D25EBC"/>
    <w:rPr>
      <w:rFonts w:eastAsiaTheme="majorEastAsia" w:cstheme="majorBidi"/>
      <w:b/>
      <w:spacing w:val="-10"/>
      <w:kern w:val="28"/>
      <w:sz w:val="4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macoalition.org/Initiatives/infections/uti_2013/tools/ED_Detailing%20Sheet.pdf" TargetMode="External"/><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yperlink" Target="https://www.ahrq.gov/teamstepps/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www.ahrq.gov/hai/tools/cauti-hospitals/index.html"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kim\AppData\Local\Microsoft\Windows\INetCache\Content.Outlook\AR0HXFBX\HAICUS~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91A8E2C15B644EB109C55159B022C3" ma:contentTypeVersion="13" ma:contentTypeDescription="Create a new document." ma:contentTypeScope="" ma:versionID="4c60dff343324a68a7e5d4cf1764ba70">
  <xsd:schema xmlns:xsd="http://www.w3.org/2001/XMLSchema" xmlns:xs="http://www.w3.org/2001/XMLSchema" xmlns:p="http://schemas.microsoft.com/office/2006/metadata/properties" xmlns:ns2="39102c36-9e6c-42d1-a6d1-3ebaac80f85f" xmlns:ns3="31c1b98b-3864-4577-aa97-53156bf25148" targetNamespace="http://schemas.microsoft.com/office/2006/metadata/properties" ma:root="true" ma:fieldsID="27fb09903d97c77d0fbdfc2432dbc701" ns2:_="" ns3:_="">
    <xsd:import namespace="39102c36-9e6c-42d1-a6d1-3ebaac80f85f"/>
    <xsd:import namespace="31c1b98b-3864-4577-aa97-53156bf251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02c36-9e6c-42d1-a6d1-3ebaac80f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c1b98b-3864-4577-aa97-53156bf2514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4688F-5E2E-4164-A5F1-653D3BF43F89}">
  <ds:schemaRefs>
    <ds:schemaRef ds:uri="http://schemas.microsoft.com/sharepoint/v3/contenttype/forms"/>
  </ds:schemaRefs>
</ds:datastoreItem>
</file>

<file path=customXml/itemProps2.xml><?xml version="1.0" encoding="utf-8"?>
<ds:datastoreItem xmlns:ds="http://schemas.openxmlformats.org/officeDocument/2006/customXml" ds:itemID="{C2FF24BD-60AD-4798-ADAE-78231C396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02c36-9e6c-42d1-a6d1-3ebaac80f85f"/>
    <ds:schemaRef ds:uri="31c1b98b-3864-4577-aa97-53156bf25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FD1C78-65C6-46A2-AB36-8737997E9D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269A72-E2E8-41EB-A96C-AC3CFB7D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HAICUS~1</Template>
  <TotalTime>15</TotalTime>
  <Pages>12</Pages>
  <Words>3490</Words>
  <Characters>19895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Urine Culturing Stewardship in the ICU Setting Facilitator Notes</dc:title>
  <dc:subject>Prevent CLABSI and CAUTI in the Intensive Care Unit Setting</dc:subject>
  <dc:creator>"Agency for Healthcare Research and Quality (AHRQ)"</dc:creator>
  <cp:keywords>CAUTI; CLABSI</cp:keywords>
  <dc:description/>
  <cp:lastModifiedBy>Heidenrich, Christine (AHRQ/OC) (CTR)</cp:lastModifiedBy>
  <cp:revision>8</cp:revision>
  <dcterms:created xsi:type="dcterms:W3CDTF">2022-02-15T12:24:00Z</dcterms:created>
  <dcterms:modified xsi:type="dcterms:W3CDTF">2022-02-15T23:49:00Z</dcterms:modified>
  <cp:category>CAUTI; CLABSI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0x0101003491A8E2C15B644EB109C55159B022C3</vt:lpwstr>
  </property>
</Properties>
</file>