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D5890" w14:textId="44F4D735" w:rsidR="002F26EE" w:rsidRPr="00C16F5D" w:rsidRDefault="005153A1" w:rsidP="00DC4A4D">
      <w:pPr>
        <w:spacing w:before="420"/>
        <w:jc w:val="center"/>
        <w:rPr>
          <w:sz w:val="14"/>
          <w:szCs w:val="14"/>
        </w:rPr>
        <w:sectPr w:rsidR="002F26EE" w:rsidRPr="00C16F5D" w:rsidSect="002E35EF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endnotePr>
            <w:numFmt w:val="decimal"/>
          </w:endnotePr>
          <w:type w:val="continuous"/>
          <w:pgSz w:w="15840" w:h="12240" w:orient="landscape"/>
          <w:pgMar w:top="360" w:right="360" w:bottom="360" w:left="360" w:header="432" w:footer="432" w:gutter="0"/>
          <w:cols w:space="720"/>
          <w:titlePg/>
          <w:docGrid w:linePitch="360"/>
        </w:sectPr>
      </w:pPr>
      <w:r>
        <w:rPr>
          <w:noProof/>
          <w:sz w:val="14"/>
          <w:szCs w:val="14"/>
        </w:rPr>
        <w:drawing>
          <wp:inline distT="0" distB="0" distL="0" distR="0" wp14:anchorId="08EEECA2" wp14:editId="27244FEC">
            <wp:extent cx="9044031" cy="6492240"/>
            <wp:effectExtent l="0" t="0" r="5080" b="3810"/>
            <wp:docPr id="2043865293" name="Picture 1" descr="A flowchart of the clinical decision pathways to decide whether to draw bacterial blood cultures among non-neutropenic adult patients. There are two different pathways - for blood cultures being considered for new clinical events, and for blood cultures being considered to document clearance of bacteria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865293" name="Picture 1" descr="A flowchart of the clinical decision pathways to decide whether to draw bacterial blood cultures among non-neutropenic adult patients. There are two different pathways - for blood cultures being considered for new clinical events, and for blood cultures being considered to document clearance of bacteria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6" t="12438" r="5205" b="1843"/>
                    <a:stretch/>
                  </pic:blipFill>
                  <pic:spPr bwMode="auto">
                    <a:xfrm>
                      <a:off x="0" y="0"/>
                      <a:ext cx="9044031" cy="6492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34F6">
        <w:rPr>
          <w:sz w:val="14"/>
          <w:szCs w:val="14"/>
        </w:rPr>
        <w:t xml:space="preserve"> </w:t>
      </w:r>
      <w:r w:rsidR="00BB6DAD">
        <w:rPr>
          <w:sz w:val="14"/>
          <w:szCs w:val="14"/>
        </w:rPr>
        <w:t xml:space="preserve">    </w:t>
      </w:r>
      <w:r w:rsidR="00E334F6">
        <w:rPr>
          <w:sz w:val="14"/>
          <w:szCs w:val="14"/>
        </w:rPr>
        <w:t xml:space="preserve"> </w:t>
      </w:r>
      <w:r w:rsidR="00597723" w:rsidRPr="00597723">
        <w:rPr>
          <w:noProof/>
          <w:sz w:val="14"/>
          <w:szCs w:val="14"/>
        </w:rPr>
        <mc:AlternateContent>
          <mc:Choice Requires="wps">
            <w:drawing>
              <wp:inline distT="0" distB="0" distL="0" distR="0" wp14:anchorId="05BED85C" wp14:editId="709F2772">
                <wp:extent cx="6309360" cy="374904"/>
                <wp:effectExtent l="0" t="5398" r="0" b="0"/>
                <wp:docPr id="564" name="Text Box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7F477A99-7709-E006-026F-381DC465CE41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309360" cy="374904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C23DE5" w14:textId="77777777" w:rsidR="00597723" w:rsidRDefault="00597723" w:rsidP="00597723">
                            <w:pPr>
                              <w:rPr>
                                <w:rFonts w:ascii="Calibri" w:eastAsia="Calibri" w:hAnsi="Calibri" w:cs="Calibr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Originally published in “Does This Patient Need Blood Cultures? A Scoping Review of Indications for Blood Cultures in Adult Nonneutropenic Patients” by Fabre et al in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Clinical Infectious Diseases,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September 2020. Used with permission. Image is adapted.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5BED85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&quot;&quot;" style="width:496.8pt;height:29.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" fillcolor="#fef7cb [661]" stroked="f" strokeweight=".5pt">
                <v:textbox style="mso-fit-shape-to-text:t">
                  <w:txbxContent>
                    <w:p w14:paraId="41C23DE5" w14:textId="77777777" w:rsidR="00597723" w:rsidRDefault="00597723" w:rsidP="00597723">
                      <w:pPr>
                        <w:rPr>
                          <w:rFonts w:ascii="Calibri" w:eastAsia="Calibri" w:hAnsi="Calibri" w:cs="Calibr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Originally published in “Does This Patient Need Blood Cultures? A Scoping Review of Indications for Blood Cultures in Adult Nonneutropenic Patients” by Fabre et al in </w:t>
                      </w:r>
                      <w:r>
                        <w:rPr>
                          <w:rFonts w:ascii="Calibri" w:eastAsia="Calibri" w:hAnsi="Calibri" w:cs="Calibri"/>
                          <w:i/>
                          <w:iCs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Clinical Infectious Diseases, </w:t>
                      </w:r>
                      <w:r>
                        <w:rPr>
                          <w:rFonts w:ascii="Calibri" w:eastAsia="Calibri" w:hAnsi="Calibri" w:cs="Calibri"/>
                          <w:color w:val="000000" w:themeColor="text1"/>
                          <w:kern w:val="24"/>
                          <w:sz w:val="18"/>
                          <w:szCs w:val="18"/>
                        </w:rPr>
                        <w:t>September 2020. Used with permission. Image is adapted.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D3595AC" w14:textId="77777777" w:rsidR="00851E92" w:rsidRDefault="00A16253" w:rsidP="00851E92">
      <w:pPr>
        <w:pStyle w:val="Heading1"/>
        <w:spacing w:after="0"/>
        <w:jc w:val="center"/>
        <w:rPr>
          <w:rStyle w:val="normaltextrun"/>
          <w:sz w:val="36"/>
          <w:szCs w:val="40"/>
        </w:rPr>
      </w:pPr>
      <w:r w:rsidRPr="00667477">
        <w:rPr>
          <w:rStyle w:val="normaltextrun"/>
          <w:sz w:val="36"/>
          <w:szCs w:val="40"/>
        </w:rPr>
        <w:lastRenderedPageBreak/>
        <w:t xml:space="preserve">Algorithm </w:t>
      </w:r>
      <w:r w:rsidR="009B25F5">
        <w:rPr>
          <w:rStyle w:val="normaltextrun"/>
          <w:sz w:val="36"/>
          <w:szCs w:val="40"/>
        </w:rPr>
        <w:t>o</w:t>
      </w:r>
      <w:r w:rsidR="001B4835" w:rsidRPr="00667477">
        <w:rPr>
          <w:rStyle w:val="normaltextrun"/>
          <w:sz w:val="36"/>
          <w:szCs w:val="40"/>
        </w:rPr>
        <w:t xml:space="preserve">f Indications </w:t>
      </w:r>
      <w:r w:rsidR="009B25F5">
        <w:rPr>
          <w:rStyle w:val="normaltextrun"/>
          <w:sz w:val="36"/>
          <w:szCs w:val="40"/>
        </w:rPr>
        <w:t>f</w:t>
      </w:r>
      <w:r w:rsidR="001B4835" w:rsidRPr="00667477">
        <w:rPr>
          <w:rStyle w:val="normaltextrun"/>
          <w:sz w:val="36"/>
          <w:szCs w:val="40"/>
        </w:rPr>
        <w:t xml:space="preserve">or Bacterial Blood Cultures </w:t>
      </w:r>
      <w:r w:rsidR="009B25F5">
        <w:rPr>
          <w:rStyle w:val="normaltextrun"/>
          <w:sz w:val="36"/>
          <w:szCs w:val="40"/>
        </w:rPr>
        <w:t>f</w:t>
      </w:r>
      <w:r w:rsidR="001B4835" w:rsidRPr="00667477">
        <w:rPr>
          <w:rStyle w:val="normaltextrun"/>
          <w:sz w:val="36"/>
          <w:szCs w:val="40"/>
        </w:rPr>
        <w:t xml:space="preserve">or </w:t>
      </w:r>
    </w:p>
    <w:p w14:paraId="0004CEF5" w14:textId="68631BFD" w:rsidR="00A16253" w:rsidRPr="00667477" w:rsidRDefault="001B4835" w:rsidP="00527934">
      <w:pPr>
        <w:pStyle w:val="Heading1"/>
        <w:spacing w:after="240"/>
        <w:jc w:val="center"/>
        <w:rPr>
          <w:sz w:val="36"/>
          <w:szCs w:val="36"/>
        </w:rPr>
      </w:pPr>
      <w:r w:rsidRPr="7EFA46C4">
        <w:rPr>
          <w:rStyle w:val="normaltextrun"/>
          <w:sz w:val="36"/>
          <w:szCs w:val="36"/>
        </w:rPr>
        <w:t xml:space="preserve">Non-Neutropenic </w:t>
      </w:r>
      <w:r w:rsidR="009B25F5" w:rsidRPr="7EFA46C4">
        <w:rPr>
          <w:rStyle w:val="normaltextrun"/>
          <w:sz w:val="36"/>
          <w:szCs w:val="36"/>
        </w:rPr>
        <w:t xml:space="preserve">Adult </w:t>
      </w:r>
      <w:r w:rsidRPr="7EFA46C4">
        <w:rPr>
          <w:rStyle w:val="normaltextrun"/>
          <w:sz w:val="36"/>
          <w:szCs w:val="36"/>
        </w:rPr>
        <w:t>Patients</w:t>
      </w:r>
    </w:p>
    <w:p w14:paraId="52EC9AEC" w14:textId="77777777" w:rsidR="00F93E47" w:rsidRDefault="00D31B9A" w:rsidP="006451D4">
      <w:pPr>
        <w:pStyle w:val="ListParagraph"/>
        <w:numPr>
          <w:ilvl w:val="0"/>
          <w:numId w:val="32"/>
        </w:numPr>
        <w:pBdr>
          <w:top w:val="single" w:sz="6" w:space="1" w:color="007DA3" w:themeColor="accent1"/>
          <w:left w:val="single" w:sz="6" w:space="4" w:color="007DA3" w:themeColor="accent1"/>
          <w:bottom w:val="single" w:sz="6" w:space="1" w:color="007DA3" w:themeColor="accent1"/>
          <w:right w:val="single" w:sz="6" w:space="4" w:color="007DA3" w:themeColor="accent1"/>
        </w:pBdr>
        <w:shd w:val="clear" w:color="auto" w:fill="FFFFFF" w:themeFill="background1"/>
        <w:ind w:right="720"/>
      </w:pPr>
      <w:r>
        <w:t xml:space="preserve">This </w:t>
      </w:r>
      <w:r w:rsidR="008D1A51" w:rsidRPr="008D1A51">
        <w:t xml:space="preserve">algorithm is not a substitute for clinical judgment. </w:t>
      </w:r>
    </w:p>
    <w:p w14:paraId="39EFDFA4" w14:textId="77777777" w:rsidR="00F93E47" w:rsidRDefault="008D1A51" w:rsidP="006451D4">
      <w:pPr>
        <w:pStyle w:val="ListParagraph"/>
        <w:numPr>
          <w:ilvl w:val="0"/>
          <w:numId w:val="32"/>
        </w:numPr>
        <w:pBdr>
          <w:top w:val="single" w:sz="6" w:space="1" w:color="007DA3" w:themeColor="accent1"/>
          <w:left w:val="single" w:sz="6" w:space="4" w:color="007DA3" w:themeColor="accent1"/>
          <w:bottom w:val="single" w:sz="6" w:space="1" w:color="007DA3" w:themeColor="accent1"/>
          <w:right w:val="single" w:sz="6" w:space="4" w:color="007DA3" w:themeColor="accent1"/>
        </w:pBdr>
        <w:shd w:val="clear" w:color="auto" w:fill="FFFFFF" w:themeFill="background1"/>
        <w:ind w:right="720"/>
      </w:pPr>
      <w:r w:rsidRPr="008D1A51">
        <w:t xml:space="preserve">Peripheral BCx are preferred over central lines blood cultures due to lower </w:t>
      </w:r>
      <w:r w:rsidR="00F93E47">
        <w:t xml:space="preserve">rate of </w:t>
      </w:r>
      <w:r w:rsidRPr="008D1A51">
        <w:t xml:space="preserve">false positive results. </w:t>
      </w:r>
    </w:p>
    <w:p w14:paraId="114F45B3" w14:textId="3DF4EA13" w:rsidR="00A16253" w:rsidRPr="00F738ED" w:rsidRDefault="008D1A51" w:rsidP="00527934">
      <w:pPr>
        <w:pStyle w:val="ListParagraph"/>
        <w:numPr>
          <w:ilvl w:val="0"/>
          <w:numId w:val="32"/>
        </w:numPr>
        <w:pBdr>
          <w:top w:val="single" w:sz="6" w:space="1" w:color="007DA3" w:themeColor="accent1"/>
          <w:left w:val="single" w:sz="6" w:space="4" w:color="007DA3" w:themeColor="accent1"/>
          <w:bottom w:val="single" w:sz="6" w:space="1" w:color="007DA3" w:themeColor="accent1"/>
          <w:right w:val="single" w:sz="6" w:space="4" w:color="007DA3" w:themeColor="accent1"/>
        </w:pBdr>
        <w:shd w:val="clear" w:color="auto" w:fill="FFFFFF" w:themeFill="background1"/>
        <w:spacing w:after="120"/>
        <w:ind w:right="720"/>
      </w:pPr>
      <w:r w:rsidRPr="008D1A51">
        <w:t>Always draw 2 peripheral sets (i.e., 4 bottles with 8-10cc/bottle).</w:t>
      </w:r>
    </w:p>
    <w:p w14:paraId="55BE23F0" w14:textId="6A18D0D3" w:rsidR="00583AD8" w:rsidRDefault="00583AD8" w:rsidP="0029077B">
      <w:pPr>
        <w:spacing w:after="60"/>
        <w:ind w:right="216"/>
      </w:pPr>
      <w:r>
        <w:t xml:space="preserve">Avoid use of blood cultures when they are not clinically appropriate. The algorithm presented here </w:t>
      </w:r>
      <w:r w:rsidR="008C281E">
        <w:t xml:space="preserve">is intended as </w:t>
      </w:r>
      <w:r>
        <w:t xml:space="preserve">a decision-making </w:t>
      </w:r>
      <w:r w:rsidR="008C281E">
        <w:t>aid to assess when blood cultures are necessary.</w:t>
      </w:r>
    </w:p>
    <w:p w14:paraId="7EE4DE43" w14:textId="7CB9F671" w:rsidR="00583AD8" w:rsidRDefault="00583AD8" w:rsidP="0029077B">
      <w:pPr>
        <w:spacing w:after="60"/>
        <w:ind w:right="216"/>
      </w:pPr>
      <w:r>
        <w:t>The algorithm differentiates between initial indications for blood cultures in the setting of a new clinical event, and “follow up” blood cultures that are sometimes indicated to determine and document clearance of bacteremia.</w:t>
      </w:r>
    </w:p>
    <w:p w14:paraId="53723317" w14:textId="035752A6" w:rsidR="00AD05DA" w:rsidRDefault="00AD05DA" w:rsidP="00AD05DA">
      <w:pPr>
        <w:pStyle w:val="Heading2"/>
      </w:pPr>
      <w:r>
        <w:t>For</w:t>
      </w:r>
      <w:r w:rsidR="001516B2">
        <w:t xml:space="preserve"> </w:t>
      </w:r>
      <w:r w:rsidR="00A26C2E">
        <w:t>b</w:t>
      </w:r>
      <w:r w:rsidR="001516B2">
        <w:t xml:space="preserve">lood </w:t>
      </w:r>
      <w:r w:rsidR="00A26C2E">
        <w:t>c</w:t>
      </w:r>
      <w:r w:rsidR="001516B2">
        <w:t xml:space="preserve">ultures </w:t>
      </w:r>
      <w:r w:rsidR="00A26C2E">
        <w:t>b</w:t>
      </w:r>
      <w:r w:rsidR="001516B2">
        <w:t xml:space="preserve">eing </w:t>
      </w:r>
      <w:r w:rsidR="00A26C2E">
        <w:t>c</w:t>
      </w:r>
      <w:r w:rsidR="001516B2">
        <w:t xml:space="preserve">onsidered </w:t>
      </w:r>
      <w:r w:rsidR="00A26C2E">
        <w:t xml:space="preserve">in the setting of </w:t>
      </w:r>
      <w:r w:rsidR="001516B2">
        <w:t>a</w:t>
      </w:r>
      <w:r>
        <w:t xml:space="preserve"> </w:t>
      </w:r>
      <w:r w:rsidR="00A26C2E">
        <w:t>n</w:t>
      </w:r>
      <w:r>
        <w:t xml:space="preserve">ew </w:t>
      </w:r>
      <w:r w:rsidR="00A26C2E">
        <w:t>c</w:t>
      </w:r>
      <w:r>
        <w:t xml:space="preserve">linical </w:t>
      </w:r>
      <w:r w:rsidR="00A26C2E">
        <w:t>e</w:t>
      </w:r>
      <w:r>
        <w:t>vent</w:t>
      </w:r>
      <w:r w:rsidR="00A26C2E">
        <w:t>:</w:t>
      </w:r>
    </w:p>
    <w:p w14:paraId="26BBDA74" w14:textId="67A648F6" w:rsidR="000A5918" w:rsidRDefault="00030D8A" w:rsidP="0029077B">
      <w:pPr>
        <w:pStyle w:val="ListParagraph"/>
        <w:numPr>
          <w:ilvl w:val="0"/>
          <w:numId w:val="34"/>
        </w:numPr>
        <w:ind w:right="216"/>
      </w:pPr>
      <w:r w:rsidRPr="00B56B02">
        <w:rPr>
          <w:b/>
          <w:bCs/>
        </w:rPr>
        <w:t>A</w:t>
      </w:r>
      <w:r w:rsidR="001516B2" w:rsidRPr="00B56B02">
        <w:rPr>
          <w:b/>
          <w:bCs/>
        </w:rPr>
        <w:t xml:space="preserve">ssess </w:t>
      </w:r>
      <w:r w:rsidR="00A26C2E" w:rsidRPr="00B56B02">
        <w:rPr>
          <w:b/>
          <w:bCs/>
        </w:rPr>
        <w:t>if</w:t>
      </w:r>
      <w:r w:rsidR="00A16253" w:rsidRPr="00B56B02">
        <w:rPr>
          <w:b/>
          <w:bCs/>
        </w:rPr>
        <w:t xml:space="preserve"> </w:t>
      </w:r>
      <w:r w:rsidR="00A16253" w:rsidRPr="00B56B02">
        <w:rPr>
          <w:b/>
          <w:bCs/>
          <w:u w:val="single"/>
        </w:rPr>
        <w:t>severe sepsis/septic shock</w:t>
      </w:r>
      <w:r w:rsidR="00A16253" w:rsidRPr="00B56B02">
        <w:rPr>
          <w:b/>
          <w:bCs/>
        </w:rPr>
        <w:t xml:space="preserve"> or </w:t>
      </w:r>
      <w:r w:rsidR="00A16253" w:rsidRPr="00B56B02">
        <w:rPr>
          <w:b/>
          <w:bCs/>
          <w:u w:val="single"/>
        </w:rPr>
        <w:t>endovascular infection</w:t>
      </w:r>
      <w:r w:rsidR="00A16253" w:rsidRPr="00F738ED">
        <w:t xml:space="preserve"> is suspected. </w:t>
      </w:r>
    </w:p>
    <w:p w14:paraId="29318DD7" w14:textId="5C0391B0" w:rsidR="00A16253" w:rsidRPr="00F738ED" w:rsidRDefault="00A16253" w:rsidP="0029077B">
      <w:pPr>
        <w:pStyle w:val="ListParagraph"/>
        <w:numPr>
          <w:ilvl w:val="1"/>
          <w:numId w:val="37"/>
        </w:numPr>
        <w:ind w:right="216"/>
      </w:pPr>
      <w:r w:rsidRPr="00F738ED">
        <w:t xml:space="preserve">If </w:t>
      </w:r>
      <w:r w:rsidR="000A5918" w:rsidRPr="00B56B02">
        <w:rPr>
          <w:b/>
          <w:bCs/>
          <w:color w:val="007DA3" w:themeColor="accent1"/>
        </w:rPr>
        <w:t>Y</w:t>
      </w:r>
      <w:r w:rsidRPr="00B56B02">
        <w:rPr>
          <w:b/>
          <w:bCs/>
          <w:color w:val="007DA3" w:themeColor="accent1"/>
        </w:rPr>
        <w:t>es</w:t>
      </w:r>
      <w:r w:rsidRPr="00F738ED">
        <w:t>, blood cultures are recommended.</w:t>
      </w:r>
    </w:p>
    <w:p w14:paraId="21DAC5B6" w14:textId="2EA6104C" w:rsidR="000A5918" w:rsidRDefault="00B56B02" w:rsidP="0029077B">
      <w:pPr>
        <w:pStyle w:val="ListParagraph"/>
        <w:numPr>
          <w:ilvl w:val="0"/>
          <w:numId w:val="34"/>
        </w:numPr>
        <w:ind w:right="216"/>
      </w:pPr>
      <w:r w:rsidRPr="00B56B02">
        <w:rPr>
          <w:b/>
          <w:bCs/>
        </w:rPr>
        <w:t>Categorize for</w:t>
      </w:r>
      <w:r w:rsidR="000A5918" w:rsidRPr="00B56B02">
        <w:rPr>
          <w:b/>
          <w:bCs/>
        </w:rPr>
        <w:t xml:space="preserve"> </w:t>
      </w:r>
      <w:r w:rsidR="00A16253" w:rsidRPr="00B56B02">
        <w:rPr>
          <w:b/>
          <w:bCs/>
          <w:u w:val="single"/>
        </w:rPr>
        <w:t>probability of bacteremia</w:t>
      </w:r>
      <w:r w:rsidR="00A16253" w:rsidRPr="00B56B02">
        <w:rPr>
          <w:b/>
          <w:bCs/>
        </w:rPr>
        <w:t xml:space="preserve"> </w:t>
      </w:r>
      <w:r w:rsidRPr="00B56B02">
        <w:rPr>
          <w:b/>
          <w:bCs/>
        </w:rPr>
        <w:t xml:space="preserve">into </w:t>
      </w:r>
      <w:r w:rsidR="00A16253" w:rsidRPr="00B56B02">
        <w:rPr>
          <w:b/>
          <w:bCs/>
        </w:rPr>
        <w:t>three categories:</w:t>
      </w:r>
      <w:r w:rsidR="00A16253" w:rsidRPr="00F738ED">
        <w:t xml:space="preserve"> </w:t>
      </w:r>
      <w:r w:rsidR="00A16253" w:rsidRPr="00B56B02">
        <w:rPr>
          <w:b/>
          <w:bCs/>
          <w:color w:val="007DA3" w:themeColor="accent1"/>
        </w:rPr>
        <w:t>High</w:t>
      </w:r>
      <w:r w:rsidR="00A16253" w:rsidRPr="00B56B02">
        <w:rPr>
          <w:color w:val="007DA3" w:themeColor="accent1"/>
        </w:rPr>
        <w:t xml:space="preserve">, </w:t>
      </w:r>
      <w:r w:rsidR="00A16253" w:rsidRPr="00B56B02">
        <w:rPr>
          <w:b/>
          <w:bCs/>
          <w:color w:val="007DA3" w:themeColor="accent1"/>
        </w:rPr>
        <w:t>Intermediate</w:t>
      </w:r>
      <w:r w:rsidR="00A16253" w:rsidRPr="00F738ED">
        <w:t xml:space="preserve">, and </w:t>
      </w:r>
      <w:r w:rsidR="00A16253" w:rsidRPr="00B56B02">
        <w:rPr>
          <w:b/>
          <w:bCs/>
          <w:color w:val="007DA3" w:themeColor="accent1"/>
        </w:rPr>
        <w:t>Low</w:t>
      </w:r>
      <w:r w:rsidR="00A16253" w:rsidRPr="00F738ED">
        <w:t>.</w:t>
      </w:r>
      <w:r w:rsidR="000A5918">
        <w:t xml:space="preserve"> Examples of what fits these categories </w:t>
      </w:r>
      <w:r w:rsidR="00A16253" w:rsidRPr="00F738ED">
        <w:t xml:space="preserve">are provided in the flowchart. </w:t>
      </w:r>
    </w:p>
    <w:p w14:paraId="521A4603" w14:textId="2EC73F8A" w:rsidR="000A5918" w:rsidRPr="00E4676A" w:rsidRDefault="000A5918" w:rsidP="0029077B">
      <w:pPr>
        <w:pStyle w:val="ListParagraph"/>
        <w:numPr>
          <w:ilvl w:val="0"/>
          <w:numId w:val="36"/>
        </w:numPr>
        <w:ind w:right="216"/>
      </w:pPr>
      <w:r w:rsidRPr="00E4676A">
        <w:t>For</w:t>
      </w:r>
      <w:r w:rsidR="00A16253" w:rsidRPr="00E4676A">
        <w:t xml:space="preserve"> </w:t>
      </w:r>
      <w:r w:rsidR="00A16253" w:rsidRPr="0032020D">
        <w:rPr>
          <w:b/>
          <w:bCs/>
          <w:color w:val="007DA3" w:themeColor="accent1"/>
        </w:rPr>
        <w:t>High probability of bacteremia</w:t>
      </w:r>
      <w:r w:rsidR="00A16253" w:rsidRPr="00E4676A">
        <w:t xml:space="preserve">, blood cultures are recommended. </w:t>
      </w:r>
    </w:p>
    <w:p w14:paraId="6D1B3237" w14:textId="5F31F6C8" w:rsidR="00A16253" w:rsidRPr="00E4676A" w:rsidRDefault="00A16253" w:rsidP="0029077B">
      <w:pPr>
        <w:pStyle w:val="ListParagraph"/>
        <w:numPr>
          <w:ilvl w:val="0"/>
          <w:numId w:val="36"/>
        </w:numPr>
        <w:ind w:right="216"/>
      </w:pPr>
      <w:r w:rsidRPr="00E4676A">
        <w:t xml:space="preserve">For </w:t>
      </w:r>
      <w:r w:rsidRPr="0032020D">
        <w:rPr>
          <w:b/>
          <w:bCs/>
          <w:color w:val="007DA3" w:themeColor="accent1"/>
        </w:rPr>
        <w:t>Low probability</w:t>
      </w:r>
      <w:r w:rsidR="000A5918" w:rsidRPr="0032020D">
        <w:rPr>
          <w:color w:val="007DA3" w:themeColor="accent1"/>
        </w:rPr>
        <w:t xml:space="preserve"> </w:t>
      </w:r>
      <w:r w:rsidR="000A5918" w:rsidRPr="0032020D">
        <w:rPr>
          <w:b/>
          <w:bCs/>
          <w:color w:val="007DA3" w:themeColor="accent1"/>
        </w:rPr>
        <w:t>of bacteremia</w:t>
      </w:r>
      <w:r w:rsidRPr="00E4676A">
        <w:t xml:space="preserve">, blood cultures are </w:t>
      </w:r>
      <w:r w:rsidR="000A5918" w:rsidRPr="0032020D">
        <w:rPr>
          <w:b/>
          <w:bCs/>
        </w:rPr>
        <w:t>NOT</w:t>
      </w:r>
      <w:r w:rsidRPr="00E4676A">
        <w:t xml:space="preserve"> recommended.</w:t>
      </w:r>
    </w:p>
    <w:p w14:paraId="47626243" w14:textId="2C24C413" w:rsidR="00A16253" w:rsidRPr="00E4676A" w:rsidRDefault="00A16253" w:rsidP="0029077B">
      <w:pPr>
        <w:pStyle w:val="ListParagraph"/>
        <w:numPr>
          <w:ilvl w:val="0"/>
          <w:numId w:val="34"/>
        </w:numPr>
        <w:ind w:right="216"/>
      </w:pPr>
      <w:r w:rsidRPr="00E4676A">
        <w:t xml:space="preserve">For </w:t>
      </w:r>
      <w:r w:rsidRPr="00B56B02">
        <w:rPr>
          <w:b/>
          <w:bCs/>
          <w:color w:val="007DA3" w:themeColor="accent1"/>
        </w:rPr>
        <w:t>Intermediate probability</w:t>
      </w:r>
      <w:r w:rsidR="00543197" w:rsidRPr="00B56B02">
        <w:rPr>
          <w:b/>
          <w:bCs/>
          <w:color w:val="007DA3" w:themeColor="accent1"/>
        </w:rPr>
        <w:t xml:space="preserve"> of bacteremia</w:t>
      </w:r>
      <w:r w:rsidRPr="00E4676A">
        <w:t xml:space="preserve">, </w:t>
      </w:r>
      <w:r w:rsidR="00543197" w:rsidRPr="00E4676A">
        <w:t>assess for the following:</w:t>
      </w:r>
    </w:p>
    <w:p w14:paraId="24608EF7" w14:textId="6EC9F0A0" w:rsidR="00A16253" w:rsidRPr="00B56B02" w:rsidRDefault="00A16253" w:rsidP="0029077B">
      <w:pPr>
        <w:pStyle w:val="ListParagraph"/>
        <w:numPr>
          <w:ilvl w:val="2"/>
          <w:numId w:val="35"/>
        </w:numPr>
        <w:ind w:right="216"/>
        <w:rPr>
          <w:b/>
          <w:bCs/>
        </w:rPr>
      </w:pPr>
      <w:r w:rsidRPr="00B56B02">
        <w:rPr>
          <w:b/>
          <w:bCs/>
        </w:rPr>
        <w:t xml:space="preserve">Is the patient </w:t>
      </w:r>
      <w:r w:rsidRPr="00B56B02">
        <w:rPr>
          <w:b/>
          <w:bCs/>
          <w:u w:val="single"/>
        </w:rPr>
        <w:t>at risk for endovascular infection</w:t>
      </w:r>
      <w:r w:rsidRPr="00B56B02">
        <w:rPr>
          <w:b/>
          <w:bCs/>
        </w:rPr>
        <w:t>?</w:t>
      </w:r>
    </w:p>
    <w:p w14:paraId="27595F6A" w14:textId="6F718B45" w:rsidR="00A16253" w:rsidRPr="00B56B02" w:rsidRDefault="00A16253" w:rsidP="0029077B">
      <w:pPr>
        <w:pStyle w:val="ListParagraph"/>
        <w:numPr>
          <w:ilvl w:val="2"/>
          <w:numId w:val="35"/>
        </w:numPr>
        <w:ind w:right="216"/>
        <w:rPr>
          <w:b/>
          <w:bCs/>
        </w:rPr>
      </w:pPr>
      <w:r w:rsidRPr="00B56B02">
        <w:rPr>
          <w:b/>
          <w:bCs/>
        </w:rPr>
        <w:t xml:space="preserve">Is the </w:t>
      </w:r>
      <w:r w:rsidRPr="00B56B02">
        <w:rPr>
          <w:b/>
          <w:bCs/>
          <w:u w:val="single"/>
        </w:rPr>
        <w:t>primary site of infection not readily available for culture</w:t>
      </w:r>
      <w:r w:rsidRPr="00B56B02">
        <w:rPr>
          <w:b/>
          <w:bCs/>
        </w:rPr>
        <w:t xml:space="preserve">? </w:t>
      </w:r>
    </w:p>
    <w:p w14:paraId="06D2ED95" w14:textId="78C5CCFA" w:rsidR="0032020D" w:rsidRDefault="00A16253" w:rsidP="0029077B">
      <w:pPr>
        <w:pStyle w:val="ListParagraph"/>
        <w:numPr>
          <w:ilvl w:val="2"/>
          <w:numId w:val="35"/>
        </w:numPr>
        <w:ind w:right="216"/>
        <w:rPr>
          <w:b/>
          <w:bCs/>
        </w:rPr>
      </w:pPr>
      <w:r w:rsidRPr="00B56B02">
        <w:rPr>
          <w:b/>
          <w:bCs/>
        </w:rPr>
        <w:t xml:space="preserve">Are </w:t>
      </w:r>
      <w:r w:rsidRPr="00B56B02">
        <w:rPr>
          <w:b/>
          <w:bCs/>
          <w:u w:val="single"/>
        </w:rPr>
        <w:t>blood cultures results otherwise likely to impact patient management</w:t>
      </w:r>
      <w:r w:rsidRPr="00B56B02">
        <w:rPr>
          <w:b/>
          <w:bCs/>
        </w:rPr>
        <w:t>?</w:t>
      </w:r>
    </w:p>
    <w:p w14:paraId="7953CFEA" w14:textId="5F660BD7" w:rsidR="00A16253" w:rsidRPr="0032020D" w:rsidRDefault="00A16253" w:rsidP="0029077B">
      <w:pPr>
        <w:pStyle w:val="ListParagraph"/>
        <w:numPr>
          <w:ilvl w:val="1"/>
          <w:numId w:val="35"/>
        </w:numPr>
        <w:ind w:right="216"/>
        <w:rPr>
          <w:b/>
          <w:bCs/>
        </w:rPr>
      </w:pPr>
      <w:r w:rsidRPr="00791B17">
        <w:rPr>
          <w:b/>
          <w:bCs/>
          <w:color w:val="007DA3" w:themeColor="accent1"/>
        </w:rPr>
        <w:t>If the answer to all three questions is No</w:t>
      </w:r>
      <w:r w:rsidRPr="00F738ED">
        <w:t xml:space="preserve">, then blood cultures are </w:t>
      </w:r>
      <w:r w:rsidR="00791B17">
        <w:t xml:space="preserve">NOT </w:t>
      </w:r>
      <w:r w:rsidRPr="00F738ED">
        <w:t>recommended.</w:t>
      </w:r>
    </w:p>
    <w:p w14:paraId="478226BA" w14:textId="6A4146D3" w:rsidR="00E85A86" w:rsidRPr="00E85A86" w:rsidRDefault="00A16253" w:rsidP="00667477">
      <w:pPr>
        <w:pStyle w:val="Heading2"/>
        <w:spacing w:after="60"/>
      </w:pPr>
      <w:r w:rsidRPr="00E85A86">
        <w:t>For follow-up blood cultures</w:t>
      </w:r>
      <w:r w:rsidR="00E85A86" w:rsidRPr="00E85A86">
        <w:t xml:space="preserve"> to </w:t>
      </w:r>
      <w:r w:rsidR="002870D2">
        <w:t xml:space="preserve">document </w:t>
      </w:r>
      <w:r w:rsidR="00E85A86" w:rsidRPr="00E85A86">
        <w:t>clearance of bacteremia:</w:t>
      </w:r>
    </w:p>
    <w:p w14:paraId="76C062AA" w14:textId="32AFE528" w:rsidR="00E85A86" w:rsidRDefault="001931F4" w:rsidP="00667477">
      <w:pPr>
        <w:pStyle w:val="ListParagraph"/>
        <w:numPr>
          <w:ilvl w:val="0"/>
          <w:numId w:val="38"/>
        </w:numPr>
        <w:ind w:right="216"/>
      </w:pPr>
      <w:r>
        <w:t xml:space="preserve">Assess </w:t>
      </w:r>
      <w:r w:rsidR="002870D2" w:rsidRPr="004F0D49">
        <w:t xml:space="preserve">if blood culture is to document </w:t>
      </w:r>
      <w:r w:rsidR="004F0D49" w:rsidRPr="004F0D49">
        <w:t>clearance in three scenarios:</w:t>
      </w:r>
    </w:p>
    <w:p w14:paraId="74F84024" w14:textId="2BF94296" w:rsidR="004F0D49" w:rsidRPr="00E82230" w:rsidRDefault="004F0D49" w:rsidP="00667477">
      <w:pPr>
        <w:pStyle w:val="ListParagraph"/>
        <w:numPr>
          <w:ilvl w:val="2"/>
          <w:numId w:val="39"/>
        </w:numPr>
        <w:ind w:right="216"/>
        <w:rPr>
          <w:b/>
          <w:bCs/>
          <w:u w:val="single"/>
        </w:rPr>
      </w:pPr>
      <w:r w:rsidRPr="00E82230">
        <w:rPr>
          <w:b/>
          <w:bCs/>
        </w:rPr>
        <w:t>Bacteremia due to</w:t>
      </w:r>
      <w:r w:rsidRPr="00E82230">
        <w:rPr>
          <w:b/>
          <w:bCs/>
          <w:u w:val="single"/>
        </w:rPr>
        <w:t xml:space="preserve"> </w:t>
      </w:r>
      <w:r w:rsidRPr="00E82230">
        <w:rPr>
          <w:b/>
          <w:bCs/>
          <w:i/>
          <w:iCs/>
          <w:u w:val="single"/>
        </w:rPr>
        <w:t>Staphylococcus aureus</w:t>
      </w:r>
      <w:r w:rsidRPr="00E82230">
        <w:rPr>
          <w:b/>
          <w:bCs/>
        </w:rPr>
        <w:t xml:space="preserve"> or</w:t>
      </w:r>
      <w:r w:rsidRPr="00E82230">
        <w:rPr>
          <w:b/>
          <w:bCs/>
          <w:u w:val="single"/>
        </w:rPr>
        <w:t xml:space="preserve"> </w:t>
      </w:r>
      <w:r w:rsidRPr="00E82230">
        <w:rPr>
          <w:b/>
          <w:bCs/>
          <w:i/>
          <w:iCs/>
          <w:u w:val="single"/>
        </w:rPr>
        <w:t>Staphylococcus lugdunensis</w:t>
      </w:r>
    </w:p>
    <w:p w14:paraId="72C19D43" w14:textId="5443025E" w:rsidR="004F0D49" w:rsidRPr="00E82230" w:rsidRDefault="00E82230" w:rsidP="00667477">
      <w:pPr>
        <w:pStyle w:val="ListParagraph"/>
        <w:numPr>
          <w:ilvl w:val="2"/>
          <w:numId w:val="39"/>
        </w:numPr>
        <w:ind w:right="216"/>
        <w:rPr>
          <w:b/>
          <w:bCs/>
        </w:rPr>
      </w:pPr>
      <w:r w:rsidRPr="00E82230">
        <w:rPr>
          <w:b/>
          <w:bCs/>
          <w:u w:val="single"/>
        </w:rPr>
        <w:t>I</w:t>
      </w:r>
      <w:r w:rsidR="004F0D49" w:rsidRPr="00E82230">
        <w:rPr>
          <w:b/>
          <w:bCs/>
          <w:u w:val="single"/>
        </w:rPr>
        <w:t>nfective endocarditis</w:t>
      </w:r>
      <w:r w:rsidR="004F0D49" w:rsidRPr="00E82230">
        <w:rPr>
          <w:b/>
          <w:bCs/>
        </w:rPr>
        <w:t xml:space="preserve"> or </w:t>
      </w:r>
      <w:r w:rsidRPr="00E82230">
        <w:rPr>
          <w:b/>
          <w:bCs/>
          <w:u w:val="single"/>
        </w:rPr>
        <w:t xml:space="preserve">at </w:t>
      </w:r>
      <w:r w:rsidR="004F0D49" w:rsidRPr="00E82230">
        <w:rPr>
          <w:b/>
          <w:bCs/>
          <w:u w:val="single"/>
        </w:rPr>
        <w:t>risk of endovascular infection</w:t>
      </w:r>
    </w:p>
    <w:p w14:paraId="08BAFAAB" w14:textId="60697C4B" w:rsidR="004F0D49" w:rsidRDefault="004F0D49" w:rsidP="00667477">
      <w:pPr>
        <w:pStyle w:val="ListParagraph"/>
        <w:numPr>
          <w:ilvl w:val="2"/>
          <w:numId w:val="39"/>
        </w:numPr>
        <w:ind w:right="216"/>
        <w:rPr>
          <w:b/>
          <w:bCs/>
        </w:rPr>
      </w:pPr>
      <w:r w:rsidRPr="00E82230">
        <w:rPr>
          <w:b/>
          <w:bCs/>
          <w:u w:val="single"/>
        </w:rPr>
        <w:t>Catheter-related bloodstream infection</w:t>
      </w:r>
      <w:r w:rsidRPr="00E82230">
        <w:rPr>
          <w:b/>
          <w:bCs/>
        </w:rPr>
        <w:t xml:space="preserve"> before catheter replacement</w:t>
      </w:r>
    </w:p>
    <w:p w14:paraId="2C73D60C" w14:textId="32DBE373" w:rsidR="00891A1E" w:rsidRPr="00F738ED" w:rsidRDefault="00891A1E" w:rsidP="00667477">
      <w:pPr>
        <w:pStyle w:val="ListParagraph"/>
        <w:numPr>
          <w:ilvl w:val="1"/>
          <w:numId w:val="39"/>
        </w:numPr>
        <w:ind w:right="216"/>
      </w:pPr>
      <w:r w:rsidRPr="00F738ED">
        <w:t xml:space="preserve">If </w:t>
      </w:r>
      <w:r w:rsidRPr="00B56B02">
        <w:rPr>
          <w:b/>
          <w:bCs/>
          <w:color w:val="007DA3" w:themeColor="accent1"/>
        </w:rPr>
        <w:t>Yes</w:t>
      </w:r>
      <w:r>
        <w:rPr>
          <w:b/>
          <w:bCs/>
          <w:color w:val="007DA3" w:themeColor="accent1"/>
        </w:rPr>
        <w:t xml:space="preserve"> to any of these scenarios</w:t>
      </w:r>
      <w:r w:rsidRPr="00F738ED">
        <w:t>, blood cultures are recommended.</w:t>
      </w:r>
    </w:p>
    <w:p w14:paraId="7A337068" w14:textId="42538CF2" w:rsidR="004F0D49" w:rsidRDefault="001931F4" w:rsidP="00667477">
      <w:pPr>
        <w:pStyle w:val="ListParagraph"/>
        <w:numPr>
          <w:ilvl w:val="0"/>
          <w:numId w:val="38"/>
        </w:numPr>
        <w:ind w:right="216"/>
      </w:pPr>
      <w:r>
        <w:t xml:space="preserve">Assess </w:t>
      </w:r>
      <w:r w:rsidR="006451D4">
        <w:t>if blood culture is needed for either:</w:t>
      </w:r>
    </w:p>
    <w:p w14:paraId="05A3F68C" w14:textId="235702CE" w:rsidR="006451D4" w:rsidRPr="006451D4" w:rsidRDefault="006451D4" w:rsidP="00667477">
      <w:pPr>
        <w:pStyle w:val="ListParagraph"/>
        <w:numPr>
          <w:ilvl w:val="2"/>
          <w:numId w:val="38"/>
        </w:numPr>
        <w:ind w:right="216"/>
        <w:rPr>
          <w:b/>
          <w:bCs/>
        </w:rPr>
      </w:pPr>
      <w:r w:rsidRPr="006451D4">
        <w:rPr>
          <w:b/>
          <w:bCs/>
          <w:u w:val="single"/>
        </w:rPr>
        <w:t>Single positive blood culture with skin flora</w:t>
      </w:r>
      <w:r w:rsidRPr="006451D4">
        <w:rPr>
          <w:b/>
          <w:bCs/>
        </w:rPr>
        <w:t xml:space="preserve"> in a symptomatic patient</w:t>
      </w:r>
    </w:p>
    <w:p w14:paraId="544A37D9" w14:textId="10A80A7B" w:rsidR="006451D4" w:rsidRPr="006451D4" w:rsidRDefault="006451D4" w:rsidP="00667477">
      <w:pPr>
        <w:pStyle w:val="ListParagraph"/>
        <w:numPr>
          <w:ilvl w:val="2"/>
          <w:numId w:val="38"/>
        </w:numPr>
        <w:ind w:right="216"/>
        <w:rPr>
          <w:b/>
          <w:bCs/>
        </w:rPr>
      </w:pPr>
      <w:r w:rsidRPr="006451D4">
        <w:rPr>
          <w:b/>
          <w:bCs/>
          <w:u w:val="single"/>
        </w:rPr>
        <w:t>Concern for persistent bacteremia</w:t>
      </w:r>
      <w:r>
        <w:rPr>
          <w:b/>
          <w:bCs/>
        </w:rPr>
        <w:t xml:space="preserve"> in the absence of source control</w:t>
      </w:r>
    </w:p>
    <w:p w14:paraId="523CA8DD" w14:textId="2EECF326" w:rsidR="006451D4" w:rsidRPr="00F738ED" w:rsidRDefault="006451D4" w:rsidP="00667477">
      <w:pPr>
        <w:pStyle w:val="ListParagraph"/>
        <w:numPr>
          <w:ilvl w:val="0"/>
          <w:numId w:val="40"/>
        </w:numPr>
        <w:ind w:right="216"/>
      </w:pPr>
      <w:r w:rsidRPr="00F738ED">
        <w:t xml:space="preserve">If </w:t>
      </w:r>
      <w:r w:rsidRPr="006451D4">
        <w:rPr>
          <w:b/>
          <w:bCs/>
          <w:color w:val="007DA3" w:themeColor="accent1"/>
        </w:rPr>
        <w:t xml:space="preserve">Yes to </w:t>
      </w:r>
      <w:r>
        <w:rPr>
          <w:b/>
          <w:bCs/>
          <w:color w:val="007DA3" w:themeColor="accent1"/>
        </w:rPr>
        <w:t>either</w:t>
      </w:r>
      <w:r w:rsidRPr="00F738ED">
        <w:t>, blood cultures are recommended.</w:t>
      </w:r>
    </w:p>
    <w:p w14:paraId="0FFF5A6C" w14:textId="73C14C57" w:rsidR="006451D4" w:rsidRDefault="006451D4" w:rsidP="00667477">
      <w:pPr>
        <w:pStyle w:val="ListParagraph"/>
        <w:numPr>
          <w:ilvl w:val="0"/>
          <w:numId w:val="38"/>
        </w:numPr>
        <w:ind w:right="216"/>
      </w:pPr>
      <w:r>
        <w:t xml:space="preserve">Otherwise, blood cultures are </w:t>
      </w:r>
      <w:r w:rsidRPr="006451D4">
        <w:rPr>
          <w:b/>
          <w:bCs/>
        </w:rPr>
        <w:t>NOT</w:t>
      </w:r>
      <w:r>
        <w:t xml:space="preserve"> recommended.</w:t>
      </w:r>
    </w:p>
    <w:p w14:paraId="7F95F59A" w14:textId="599AA5F5" w:rsidR="00443230" w:rsidRPr="00913395" w:rsidRDefault="00667477" w:rsidP="00B16E33">
      <w:pPr>
        <w:pStyle w:val="Subtitle"/>
        <w:jc w:val="right"/>
      </w:pPr>
      <w:r w:rsidRPr="006363A4">
        <w:rPr>
          <w:rFonts w:ascii="Calibri" w:hAnsi="Calibri" w:cs="Calibri"/>
          <w:noProof/>
        </w:rPr>
        <w:lastRenderedPageBreak/>
        <mc:AlternateContent>
          <mc:Choice Requires="wps">
            <w:drawing>
              <wp:inline distT="0" distB="0" distL="0" distR="0" wp14:anchorId="6F9502FF" wp14:editId="1E6D48C6">
                <wp:extent cx="6039485" cy="810260"/>
                <wp:effectExtent l="0" t="0" r="0" b="8890"/>
                <wp:docPr id="3764268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9485" cy="81026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 w14:paraId="3488AD14" w14:textId="03878DB1" w:rsidR="006451D4" w:rsidRPr="00B16E33" w:rsidRDefault="00A16253" w:rsidP="006451D4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B16E33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Adapted from</w:t>
                            </w:r>
                            <w:r w:rsidR="006451D4" w:rsidRPr="00B16E33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4E33759B" w14:textId="2777FD92" w:rsidR="00A16253" w:rsidRPr="006451D4" w:rsidRDefault="00A16253" w:rsidP="006451D4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after="0"/>
                              <w:ind w:left="360" w:hanging="274"/>
                              <w:rPr>
                                <w:rStyle w:val="normaltextrun"/>
                                <w:sz w:val="18"/>
                                <w:szCs w:val="18"/>
                              </w:rPr>
                            </w:pPr>
                            <w:r w:rsidRPr="006451D4">
                              <w:rPr>
                                <w:rStyle w:val="normaltextrun"/>
                                <w:sz w:val="18"/>
                                <w:szCs w:val="18"/>
                              </w:rPr>
                              <w:t xml:space="preserve">Fabre V, Klein E, Salinas AB, et al. A diagnostic stewardship intervention to improve blood culture use among adult nonneutropenic inpatients: the DISTRIBUTE study. J Clin </w:t>
                            </w:r>
                            <w:r w:rsidRPr="006451D4">
                              <w:rPr>
                                <w:rStyle w:val="scxp134018987"/>
                                <w:sz w:val="18"/>
                                <w:szCs w:val="18"/>
                              </w:rPr>
                              <w:t>Microbiol</w:t>
                            </w:r>
                            <w:r w:rsidRPr="006451D4">
                              <w:rPr>
                                <w:rStyle w:val="normaltextrun"/>
                                <w:sz w:val="18"/>
                                <w:szCs w:val="18"/>
                              </w:rPr>
                              <w:t>. 2020 Sep 22;58(10):e01053-20. PMID: 32759354.</w:t>
                            </w:r>
                          </w:p>
                          <w:p w14:paraId="27338F15" w14:textId="77777777" w:rsidR="00A16253" w:rsidRPr="006451D4" w:rsidRDefault="00A16253" w:rsidP="006451D4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after="0"/>
                              <w:ind w:left="360" w:hanging="274"/>
                              <w:rPr>
                                <w:sz w:val="18"/>
                                <w:szCs w:val="18"/>
                              </w:rPr>
                            </w:pPr>
                            <w:r w:rsidRPr="006451D4">
                              <w:rPr>
                                <w:rStyle w:val="normaltextrun"/>
                                <w:sz w:val="18"/>
                                <w:szCs w:val="18"/>
                              </w:rPr>
                              <w:t>Fabre V, Sharara SL, Salinas AB, et al. Does this patient need blood cultures? a scoping review of indications for blood cultures in adult nonneutropenic inpatients. Clin Infect Dis. 2020 Aug 22;71(5):1339-1347. PMID: 31942949.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F9502FF" id="_x0000_s1027" type="#_x0000_t202" style="width:475.55pt;height:6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" fillcolor="#fef7cb [661]" stroked="f">
                <v:textbox style="mso-fit-shape-to-text:t">
                  <w:txbxContent>
                    <w:p w14:paraId="3488AD14" w14:textId="03878DB1" w:rsidR="006451D4" w:rsidRPr="00B16E33" w:rsidRDefault="00A16253" w:rsidP="006451D4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B16E33">
                        <w:rPr>
                          <w:b/>
                          <w:bCs/>
                          <w:sz w:val="18"/>
                          <w:szCs w:val="18"/>
                        </w:rPr>
                        <w:t>Adapted from</w:t>
                      </w:r>
                      <w:r w:rsidR="006451D4" w:rsidRPr="00B16E33">
                        <w:rPr>
                          <w:b/>
                          <w:bCs/>
                          <w:sz w:val="18"/>
                          <w:szCs w:val="18"/>
                        </w:rPr>
                        <w:t>:</w:t>
                      </w:r>
                    </w:p>
                    <w:p w14:paraId="4E33759B" w14:textId="2777FD92" w:rsidR="00A16253" w:rsidRPr="006451D4" w:rsidRDefault="00A16253" w:rsidP="006451D4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spacing w:after="0"/>
                        <w:ind w:left="360" w:hanging="274"/>
                        <w:rPr>
                          <w:rStyle w:val="normaltextrun"/>
                          <w:sz w:val="18"/>
                          <w:szCs w:val="18"/>
                        </w:rPr>
                      </w:pPr>
                      <w:r w:rsidRPr="006451D4">
                        <w:rPr>
                          <w:rStyle w:val="normaltextrun"/>
                          <w:sz w:val="18"/>
                          <w:szCs w:val="18"/>
                        </w:rPr>
                        <w:t xml:space="preserve">Fabre V, Klein E, Salinas AB, et al. A diagnostic stewardship intervention to improve blood culture use among adult nonneutropenic inpatients: the DISTRIBUTE study. J Clin </w:t>
                      </w:r>
                      <w:r w:rsidRPr="006451D4">
                        <w:rPr>
                          <w:rStyle w:val="scxp134018987"/>
                          <w:sz w:val="18"/>
                          <w:szCs w:val="18"/>
                        </w:rPr>
                        <w:t>Microbiol</w:t>
                      </w:r>
                      <w:r w:rsidRPr="006451D4">
                        <w:rPr>
                          <w:rStyle w:val="normaltextrun"/>
                          <w:sz w:val="18"/>
                          <w:szCs w:val="18"/>
                        </w:rPr>
                        <w:t>. 2020 Sep 22;58(10):e01053-20. PMID: 32759354.</w:t>
                      </w:r>
                    </w:p>
                    <w:p w14:paraId="27338F15" w14:textId="77777777" w:rsidR="00A16253" w:rsidRPr="006451D4" w:rsidRDefault="00A16253" w:rsidP="006451D4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spacing w:after="0"/>
                        <w:ind w:left="360" w:hanging="274"/>
                        <w:rPr>
                          <w:sz w:val="18"/>
                          <w:szCs w:val="18"/>
                        </w:rPr>
                      </w:pPr>
                      <w:r w:rsidRPr="006451D4">
                        <w:rPr>
                          <w:rStyle w:val="normaltextrun"/>
                          <w:sz w:val="18"/>
                          <w:szCs w:val="18"/>
                        </w:rPr>
                        <w:t>Fabre V, Sharara SL, Salinas AB, et al. Does this patient need blood cultures? a scoping review of indications for blood cultures in adult nonneutropenic inpatients. Clin Infect Dis. 2020 Aug 22;71(5):1339-1347. PMID: 31942949.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443230" w:rsidRPr="00913395" w:rsidSect="00AF27F2">
      <w:headerReference w:type="first" r:id="rId18"/>
      <w:footerReference w:type="first" r:id="rId19"/>
      <w:endnotePr>
        <w:numFmt w:val="decimal"/>
      </w:endnotePr>
      <w:pgSz w:w="12240" w:h="15840"/>
      <w:pgMar w:top="720" w:right="720" w:bottom="720" w:left="720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94B302" w14:textId="77777777" w:rsidR="00F84068" w:rsidRDefault="00F84068" w:rsidP="00B81F18">
      <w:r>
        <w:separator/>
      </w:r>
    </w:p>
    <w:p w14:paraId="38A44565" w14:textId="77777777" w:rsidR="00F84068" w:rsidRDefault="00F84068" w:rsidP="00B81F18"/>
  </w:endnote>
  <w:endnote w:type="continuationSeparator" w:id="0">
    <w:p w14:paraId="5406E9F4" w14:textId="77777777" w:rsidR="00F84068" w:rsidRDefault="00F84068" w:rsidP="00B81F18">
      <w:r>
        <w:continuationSeparator/>
      </w:r>
    </w:p>
    <w:p w14:paraId="284A07EA" w14:textId="77777777" w:rsidR="00F84068" w:rsidRDefault="00F84068" w:rsidP="00B81F18"/>
  </w:endnote>
  <w:endnote w:type="continuationNotice" w:id="1">
    <w:p w14:paraId="1765BC7E" w14:textId="77777777" w:rsidR="00F84068" w:rsidRDefault="00F84068" w:rsidP="00B81F18"/>
    <w:p w14:paraId="34FCFC86" w14:textId="77777777" w:rsidR="00F84068" w:rsidRDefault="00F84068" w:rsidP="00B81F1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3286A" w14:textId="77777777" w:rsidR="00813257" w:rsidRDefault="0081325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BFB2B" w14:textId="54709558" w:rsidR="008D58E4" w:rsidRPr="004835BF" w:rsidRDefault="004835BF" w:rsidP="004835BF">
    <w:pPr>
      <w:pStyle w:val="FooterText"/>
      <w:tabs>
        <w:tab w:val="right" w:pos="10800"/>
      </w:tabs>
      <w:spacing w:before="240"/>
      <w:jc w:val="right"/>
      <w:rPr>
        <w:b/>
        <w:bCs w:val="0"/>
      </w:rPr>
    </w:pPr>
    <w:r w:rsidRPr="00F91E7D">
      <w:rPr>
        <w:b/>
        <w:bCs w:val="0"/>
      </w:rPr>
      <w:t>AHRQ Safety Program for MRSA Prevention</w:t>
    </w:r>
    <w:r>
      <w:rPr>
        <w:b/>
        <w:bCs w:val="0"/>
      </w:rPr>
      <w:t xml:space="preserve"> |</w:t>
    </w:r>
    <w:r w:rsidRPr="00F91E7D">
      <w:rPr>
        <w:b/>
        <w:bCs w:val="0"/>
      </w:rPr>
      <w:t xml:space="preserve"> </w:t>
    </w:r>
    <w:r w:rsidRPr="00F91E7D">
      <w:t xml:space="preserve">ICU </w:t>
    </w:r>
    <w:r>
      <w:t xml:space="preserve">&amp; </w:t>
    </w:r>
    <w:r w:rsidRPr="00F91E7D">
      <w:t>Non-ICU</w:t>
    </w:r>
    <w:r>
      <w:t xml:space="preserve"> </w:t>
    </w:r>
    <w:r>
      <w:tab/>
    </w:r>
    <w:r w:rsidRPr="005D7EEB">
      <w:t>&lt;</w:t>
    </w:r>
    <w:r>
      <w:t>TITLE</w:t>
    </w:r>
    <w:r w:rsidRPr="005D7EEB">
      <w:t>&gt;</w:t>
    </w:r>
    <w:r w:rsidRPr="00F91E7D">
      <w:rPr>
        <w:b/>
        <w:bCs w:val="0"/>
      </w:rPr>
      <w:t xml:space="preserve"> | </w:t>
    </w:r>
    <w:r w:rsidRPr="00F91E7D">
      <w:rPr>
        <w:b/>
        <w:bCs w:val="0"/>
      </w:rPr>
      <w:fldChar w:fldCharType="begin"/>
    </w:r>
    <w:r w:rsidRPr="00F91E7D">
      <w:rPr>
        <w:b/>
        <w:bCs w:val="0"/>
      </w:rPr>
      <w:instrText xml:space="preserve"> PAGE   \* MERGEFORMAT </w:instrText>
    </w:r>
    <w:r w:rsidRPr="00F91E7D">
      <w:rPr>
        <w:b/>
        <w:bCs w:val="0"/>
      </w:rPr>
      <w:fldChar w:fldCharType="separate"/>
    </w:r>
    <w:r>
      <w:rPr>
        <w:b/>
        <w:bCs w:val="0"/>
      </w:rPr>
      <w:t>1</w:t>
    </w:r>
    <w:r w:rsidRPr="00F91E7D">
      <w:rPr>
        <w:b/>
        <w:bCs w:val="0"/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098AB2" w14:textId="731EBEE1" w:rsidR="00F87A84" w:rsidRPr="00B955E6" w:rsidRDefault="00F87A84" w:rsidP="00B955E6">
    <w:pPr>
      <w:pStyle w:val="Footer"/>
      <w:jc w:val="right"/>
      <w:rPr>
        <w:sz w:val="18"/>
        <w:szCs w:val="18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C11AD" w14:textId="77777777" w:rsidR="00813257" w:rsidRDefault="00813257" w:rsidP="00B955E6">
    <w:pPr>
      <w:pStyle w:val="Footer"/>
      <w:jc w:val="right"/>
      <w:rPr>
        <w:sz w:val="18"/>
        <w:szCs w:val="18"/>
      </w:rPr>
    </w:pPr>
  </w:p>
  <w:p w14:paraId="767D8F91" w14:textId="2A51147F" w:rsidR="00813257" w:rsidRDefault="00813257" w:rsidP="00B955E6">
    <w:pPr>
      <w:pStyle w:val="Footer"/>
      <w:jc w:val="right"/>
      <w:rPr>
        <w:sz w:val="18"/>
        <w:szCs w:val="18"/>
      </w:rPr>
    </w:pPr>
    <w:r>
      <w:rPr>
        <w:sz w:val="18"/>
        <w:szCs w:val="18"/>
      </w:rPr>
      <w:t>AHRQ Pub. No. 25-0007</w:t>
    </w:r>
  </w:p>
  <w:p w14:paraId="5C0F967C" w14:textId="480CB38D" w:rsidR="00813257" w:rsidRPr="00B955E6" w:rsidRDefault="00813257" w:rsidP="00B955E6">
    <w:pPr>
      <w:pStyle w:val="Footer"/>
      <w:jc w:val="right"/>
      <w:rPr>
        <w:sz w:val="18"/>
        <w:szCs w:val="18"/>
      </w:rPr>
    </w:pPr>
    <w:r>
      <w:rPr>
        <w:sz w:val="18"/>
        <w:szCs w:val="18"/>
      </w:rPr>
      <w:t>October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4E3DF2" w14:textId="77777777" w:rsidR="00F84068" w:rsidRDefault="00F84068" w:rsidP="00B81F18">
      <w:r>
        <w:separator/>
      </w:r>
    </w:p>
    <w:p w14:paraId="24AB39DE" w14:textId="77777777" w:rsidR="00F84068" w:rsidRDefault="00F84068" w:rsidP="00B81F18"/>
  </w:footnote>
  <w:footnote w:type="continuationSeparator" w:id="0">
    <w:p w14:paraId="0B3B7238" w14:textId="77777777" w:rsidR="00F84068" w:rsidRDefault="00F84068" w:rsidP="00B81F18">
      <w:r>
        <w:continuationSeparator/>
      </w:r>
    </w:p>
    <w:p w14:paraId="0299827F" w14:textId="77777777" w:rsidR="00F84068" w:rsidRDefault="00F84068" w:rsidP="00B81F18"/>
  </w:footnote>
  <w:footnote w:type="continuationNotice" w:id="1">
    <w:p w14:paraId="0B5B3DC7" w14:textId="77777777" w:rsidR="00F84068" w:rsidRDefault="00F84068" w:rsidP="00B81F18"/>
    <w:p w14:paraId="465DBD88" w14:textId="77777777" w:rsidR="00F84068" w:rsidRDefault="00F84068" w:rsidP="00B81F1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6418B" w14:textId="77777777" w:rsidR="00813257" w:rsidRDefault="0081325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D97153" w14:textId="77777777" w:rsidR="00813257" w:rsidRDefault="0081325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015C9" w14:textId="19E31488" w:rsidR="00E66198" w:rsidRPr="00597723" w:rsidRDefault="00597723" w:rsidP="0049443A">
    <w:pPr>
      <w:pStyle w:val="Title"/>
      <w:spacing w:before="0" w:after="120"/>
      <w:ind w:left="1440" w:right="1440"/>
      <w:jc w:val="center"/>
      <w:rPr>
        <w:color w:val="auto"/>
        <w:sz w:val="44"/>
        <w:szCs w:val="44"/>
      </w:rPr>
    </w:pPr>
    <w:r w:rsidRPr="00597723">
      <w:rPr>
        <w:noProof/>
        <w:color w:val="auto"/>
        <w:sz w:val="52"/>
        <w:szCs w:val="52"/>
      </w:rPr>
      <w:drawing>
        <wp:anchor distT="0" distB="0" distL="114300" distR="114300" simplePos="0" relativeHeight="251658242" behindDoc="0" locked="0" layoutInCell="1" allowOverlap="1" wp14:anchorId="5A34E90C" wp14:editId="19E949E3">
          <wp:simplePos x="0" y="0"/>
          <wp:positionH relativeFrom="page">
            <wp:posOffset>278130</wp:posOffset>
          </wp:positionH>
          <wp:positionV relativeFrom="page">
            <wp:posOffset>182880</wp:posOffset>
          </wp:positionV>
          <wp:extent cx="822960" cy="822960"/>
          <wp:effectExtent l="0" t="0" r="0" b="0"/>
          <wp:wrapNone/>
          <wp:docPr id="1287016631" name="Picture 8">
            <a:extLst xmlns:a="http://schemas.openxmlformats.org/drawingml/2006/main">
              <a:ext uri="{FF2B5EF4-FFF2-40B4-BE49-F238E27FC236}">
                <a16:creationId xmlns:a16="http://schemas.microsoft.com/office/drawing/2014/main" id="{6EFA91E4-447F-FDCE-BC7A-9B009FD92DA9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8">
                    <a:extLst>
                      <a:ext uri="{FF2B5EF4-FFF2-40B4-BE49-F238E27FC236}">
                        <a16:creationId xmlns:a16="http://schemas.microsoft.com/office/drawing/2014/main" id="{6EFA91E4-447F-FDCE-BC7A-9B009FD92DA9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2960" cy="822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97723">
      <w:rPr>
        <w:noProof/>
        <w:color w:val="auto"/>
        <w:sz w:val="52"/>
        <w:szCs w:val="52"/>
      </w:rPr>
      <w:drawing>
        <wp:anchor distT="0" distB="0" distL="114300" distR="114300" simplePos="0" relativeHeight="251658241" behindDoc="1" locked="0" layoutInCell="1" allowOverlap="1" wp14:anchorId="5A3461A2" wp14:editId="606CB724">
          <wp:simplePos x="0" y="0"/>
          <wp:positionH relativeFrom="page">
            <wp:align>right</wp:align>
          </wp:positionH>
          <wp:positionV relativeFrom="page">
            <wp:posOffset>-150495</wp:posOffset>
          </wp:positionV>
          <wp:extent cx="10059035" cy="914400"/>
          <wp:effectExtent l="0" t="0" r="0" b="0"/>
          <wp:wrapNone/>
          <wp:docPr id="362394271" name="Picture 4">
            <a:extLst xmlns:a="http://schemas.openxmlformats.org/drawingml/2006/main">
              <a:ext uri="{FF2B5EF4-FFF2-40B4-BE49-F238E27FC236}">
                <a16:creationId xmlns:a16="http://schemas.microsoft.com/office/drawing/2014/main" id="{776957D4-3702-030B-E540-8F2E7D3FBAA8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>
                    <a:extLst>
                      <a:ext uri="{FF2B5EF4-FFF2-40B4-BE49-F238E27FC236}">
                        <a16:creationId xmlns:a16="http://schemas.microsoft.com/office/drawing/2014/main" id="{776957D4-3702-030B-E540-8F2E7D3FBAA8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 bwMode="auto">
                  <a:xfrm>
                    <a:off x="0" y="0"/>
                    <a:ext cx="10059035" cy="91440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B1E8E" w:rsidRPr="00597723">
      <w:rPr>
        <w:noProof/>
        <w:color w:val="auto"/>
        <w:sz w:val="52"/>
        <w:szCs w:val="52"/>
      </w:rPr>
      <w:drawing>
        <wp:anchor distT="0" distB="0" distL="114300" distR="114300" simplePos="0" relativeHeight="251658240" behindDoc="0" locked="0" layoutInCell="1" allowOverlap="1" wp14:anchorId="0784E3E0" wp14:editId="1F7ECBB4">
          <wp:simplePos x="0" y="0"/>
          <wp:positionH relativeFrom="margin">
            <wp:align>right</wp:align>
          </wp:positionH>
          <wp:positionV relativeFrom="paragraph">
            <wp:posOffset>3589</wp:posOffset>
          </wp:positionV>
          <wp:extent cx="1081405" cy="448310"/>
          <wp:effectExtent l="0" t="0" r="4445" b="0"/>
          <wp:wrapNone/>
          <wp:docPr id="473723152" name="Picture 47372315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272304" name="Picture 151427230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1405" cy="4483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F7FB1" w:rsidRPr="00597723">
      <w:rPr>
        <w:noProof/>
        <w:color w:val="auto"/>
        <w:sz w:val="52"/>
        <w:szCs w:val="52"/>
      </w:rPr>
      <w:t>Blood Culture Algorithm Decision Support Tool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F4B826" w14:textId="6DEEFBF8" w:rsidR="0082535E" w:rsidRPr="0082535E" w:rsidRDefault="0082535E" w:rsidP="0082535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F2046"/>
    <w:multiLevelType w:val="hybridMultilevel"/>
    <w:tmpl w:val="E2DA672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7B639D"/>
    <w:multiLevelType w:val="hybridMultilevel"/>
    <w:tmpl w:val="9B44F40A"/>
    <w:lvl w:ilvl="0" w:tplc="FFFFFFFF">
      <w:start w:val="1"/>
      <w:numFmt w:val="bullet"/>
      <w:lvlText w:val="m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1C3B36"/>
    <w:multiLevelType w:val="hybridMultilevel"/>
    <w:tmpl w:val="79C4D1A4"/>
    <w:lvl w:ilvl="0" w:tplc="04090019">
      <w:start w:val="1"/>
      <w:numFmt w:val="lowerLetter"/>
      <w:lvlText w:val="%1."/>
      <w:lvlJc w:val="left"/>
      <w:pPr>
        <w:ind w:left="4590" w:hanging="360"/>
      </w:pPr>
    </w:lvl>
    <w:lvl w:ilvl="1" w:tplc="04090019" w:tentative="1">
      <w:start w:val="1"/>
      <w:numFmt w:val="lowerLetter"/>
      <w:lvlText w:val="%2."/>
      <w:lvlJc w:val="left"/>
      <w:pPr>
        <w:ind w:left="5310" w:hanging="360"/>
      </w:pPr>
    </w:lvl>
    <w:lvl w:ilvl="2" w:tplc="0409001B" w:tentative="1">
      <w:start w:val="1"/>
      <w:numFmt w:val="lowerRoman"/>
      <w:lvlText w:val="%3."/>
      <w:lvlJc w:val="right"/>
      <w:pPr>
        <w:ind w:left="6030" w:hanging="180"/>
      </w:pPr>
    </w:lvl>
    <w:lvl w:ilvl="3" w:tplc="0409000F" w:tentative="1">
      <w:start w:val="1"/>
      <w:numFmt w:val="decimal"/>
      <w:lvlText w:val="%4."/>
      <w:lvlJc w:val="left"/>
      <w:pPr>
        <w:ind w:left="6750" w:hanging="360"/>
      </w:pPr>
    </w:lvl>
    <w:lvl w:ilvl="4" w:tplc="04090019" w:tentative="1">
      <w:start w:val="1"/>
      <w:numFmt w:val="lowerLetter"/>
      <w:lvlText w:val="%5."/>
      <w:lvlJc w:val="left"/>
      <w:pPr>
        <w:ind w:left="7470" w:hanging="360"/>
      </w:pPr>
    </w:lvl>
    <w:lvl w:ilvl="5" w:tplc="0409001B" w:tentative="1">
      <w:start w:val="1"/>
      <w:numFmt w:val="lowerRoman"/>
      <w:lvlText w:val="%6."/>
      <w:lvlJc w:val="right"/>
      <w:pPr>
        <w:ind w:left="8190" w:hanging="180"/>
      </w:pPr>
    </w:lvl>
    <w:lvl w:ilvl="6" w:tplc="0409000F" w:tentative="1">
      <w:start w:val="1"/>
      <w:numFmt w:val="decimal"/>
      <w:lvlText w:val="%7."/>
      <w:lvlJc w:val="left"/>
      <w:pPr>
        <w:ind w:left="8910" w:hanging="360"/>
      </w:pPr>
    </w:lvl>
    <w:lvl w:ilvl="7" w:tplc="04090019" w:tentative="1">
      <w:start w:val="1"/>
      <w:numFmt w:val="lowerLetter"/>
      <w:lvlText w:val="%8."/>
      <w:lvlJc w:val="left"/>
      <w:pPr>
        <w:ind w:left="9630" w:hanging="360"/>
      </w:pPr>
    </w:lvl>
    <w:lvl w:ilvl="8" w:tplc="0409001B" w:tentative="1">
      <w:start w:val="1"/>
      <w:numFmt w:val="lowerRoman"/>
      <w:lvlText w:val="%9."/>
      <w:lvlJc w:val="right"/>
      <w:pPr>
        <w:ind w:left="10350" w:hanging="180"/>
      </w:pPr>
    </w:lvl>
  </w:abstractNum>
  <w:abstractNum w:abstractNumId="3" w15:restartNumberingAfterBreak="0">
    <w:nsid w:val="0C26363D"/>
    <w:multiLevelType w:val="hybridMultilevel"/>
    <w:tmpl w:val="477A6376"/>
    <w:lvl w:ilvl="0" w:tplc="FFFFFFF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CF6657"/>
    <w:multiLevelType w:val="hybridMultilevel"/>
    <w:tmpl w:val="DBFE56D4"/>
    <w:lvl w:ilvl="0" w:tplc="625A755C">
      <w:start w:val="19"/>
      <w:numFmt w:val="bullet"/>
      <w:lvlText w:val="-"/>
      <w:lvlJc w:val="left"/>
      <w:pPr>
        <w:ind w:left="420" w:hanging="360"/>
      </w:pPr>
      <w:rPr>
        <w:rFonts w:ascii="Calibri Light" w:eastAsiaTheme="minorHAnsi" w:hAnsi="Calibri Light" w:cs="Calibri Light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0F5679EC"/>
    <w:multiLevelType w:val="hybridMultilevel"/>
    <w:tmpl w:val="C44C33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C00EB6"/>
    <w:multiLevelType w:val="hybridMultilevel"/>
    <w:tmpl w:val="1766FFAC"/>
    <w:lvl w:ilvl="0" w:tplc="FFFFFFFF">
      <w:start w:val="1"/>
      <w:numFmt w:val="bullet"/>
      <w:lvlText w:val="m"/>
      <w:lvlJc w:val="left"/>
      <w:pPr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F21432"/>
    <w:multiLevelType w:val="hybridMultilevel"/>
    <w:tmpl w:val="E5E4D880"/>
    <w:lvl w:ilvl="0" w:tplc="FFFFFFFF">
      <w:start w:val="1"/>
      <w:numFmt w:val="bullet"/>
      <w:lvlText w:val="m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534A88"/>
    <w:multiLevelType w:val="hybridMultilevel"/>
    <w:tmpl w:val="28B63B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7C06B9"/>
    <w:multiLevelType w:val="hybridMultilevel"/>
    <w:tmpl w:val="1A62833E"/>
    <w:lvl w:ilvl="0" w:tplc="FFFFFFFF">
      <w:start w:val="1"/>
      <w:numFmt w:val="bullet"/>
      <w:lvlText w:val="m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4601C2"/>
    <w:multiLevelType w:val="hybridMultilevel"/>
    <w:tmpl w:val="1F1247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5B17B1"/>
    <w:multiLevelType w:val="hybridMultilevel"/>
    <w:tmpl w:val="D4E850B0"/>
    <w:lvl w:ilvl="0" w:tplc="FFFFFFFF">
      <w:start w:val="1"/>
      <w:numFmt w:val="bullet"/>
      <w:lvlText w:val="m"/>
      <w:lvlJc w:val="left"/>
      <w:pPr>
        <w:ind w:left="720" w:hanging="360"/>
      </w:pPr>
      <w:rPr>
        <w:rFonts w:ascii="Wingdings" w:hAnsi="Wingdings" w:hint="default"/>
      </w:rPr>
    </w:lvl>
    <w:lvl w:ilvl="1" w:tplc="CE02C6A6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768A1AB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A7076A"/>
    <w:multiLevelType w:val="hybridMultilevel"/>
    <w:tmpl w:val="AA24D190"/>
    <w:lvl w:ilvl="0" w:tplc="6EAC2700">
      <w:start w:val="1"/>
      <w:numFmt w:val="bullet"/>
      <w:lvlText w:val="④"/>
      <w:lvlJc w:val="left"/>
      <w:pPr>
        <w:ind w:left="720" w:hanging="360"/>
      </w:pPr>
      <w:rPr>
        <w:rFonts w:ascii="Calibri" w:hAnsi="Calibri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9B6BD1"/>
    <w:multiLevelType w:val="hybridMultilevel"/>
    <w:tmpl w:val="323A4B00"/>
    <w:lvl w:ilvl="0" w:tplc="B922EE16">
      <w:start w:val="1"/>
      <w:numFmt w:val="decimal"/>
      <w:pStyle w:val="RefList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B00A1C"/>
    <w:multiLevelType w:val="hybridMultilevel"/>
    <w:tmpl w:val="14D6A736"/>
    <w:lvl w:ilvl="0" w:tplc="C9B24A6A">
      <w:start w:val="1"/>
      <w:numFmt w:val="bullet"/>
      <w:lvlText w:val="①"/>
      <w:lvlJc w:val="left"/>
      <w:pPr>
        <w:ind w:left="720" w:hanging="360"/>
      </w:pPr>
      <w:rPr>
        <w:rFonts w:ascii="Calibri" w:hAnsi="Calibri" w:hint="default"/>
      </w:rPr>
    </w:lvl>
    <w:lvl w:ilvl="1" w:tplc="FFFFFFFF">
      <w:start w:val="1"/>
      <w:numFmt w:val="decimal"/>
      <w:lvlText w:val="%2."/>
      <w:lvlJc w:val="left"/>
      <w:pPr>
        <w:ind w:left="1440" w:hanging="360"/>
      </w:p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8314C0"/>
    <w:multiLevelType w:val="hybridMultilevel"/>
    <w:tmpl w:val="9B6AB4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E9270E"/>
    <w:multiLevelType w:val="hybridMultilevel"/>
    <w:tmpl w:val="DEC0118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24949AF"/>
    <w:multiLevelType w:val="hybridMultilevel"/>
    <w:tmpl w:val="F458797E"/>
    <w:lvl w:ilvl="0" w:tplc="FFFFFFFF">
      <w:start w:val="1"/>
      <w:numFmt w:val="bullet"/>
      <w:lvlText w:val="m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114A6F"/>
    <w:multiLevelType w:val="hybridMultilevel"/>
    <w:tmpl w:val="87D460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3C3443"/>
    <w:multiLevelType w:val="hybridMultilevel"/>
    <w:tmpl w:val="DEFE5344"/>
    <w:lvl w:ilvl="0" w:tplc="FFFFFFF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A942D5"/>
    <w:multiLevelType w:val="hybridMultilevel"/>
    <w:tmpl w:val="1AB87538"/>
    <w:lvl w:ilvl="0" w:tplc="811EFF3E">
      <w:start w:val="1"/>
      <w:numFmt w:val="bullet"/>
      <w:lvlText w:val="m"/>
      <w:lvlJc w:val="left"/>
      <w:pPr>
        <w:ind w:left="72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772ABC"/>
    <w:multiLevelType w:val="hybridMultilevel"/>
    <w:tmpl w:val="404AB788"/>
    <w:lvl w:ilvl="0" w:tplc="FFFFFFFF">
      <w:start w:val="1"/>
      <w:numFmt w:val="bullet"/>
      <w:lvlText w:val="m"/>
      <w:lvlJc w:val="left"/>
      <w:pPr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4D1716"/>
    <w:multiLevelType w:val="hybridMultilevel"/>
    <w:tmpl w:val="D02E0EC0"/>
    <w:lvl w:ilvl="0" w:tplc="FFFFFFFF">
      <w:start w:val="1"/>
      <w:numFmt w:val="bullet"/>
      <w:lvlText w:val="m"/>
      <w:lvlJc w:val="left"/>
      <w:pPr>
        <w:ind w:left="720" w:hanging="360"/>
      </w:pPr>
      <w:rPr>
        <w:rFonts w:ascii="Wingdings" w:hAnsi="Wingdings" w:hint="default"/>
      </w:rPr>
    </w:lvl>
    <w:lvl w:ilvl="1" w:tplc="C0EA6792">
      <w:start w:val="84"/>
      <w:numFmt w:val="bullet"/>
      <w:lvlText w:val="–"/>
      <w:lvlJc w:val="left"/>
      <w:pPr>
        <w:ind w:left="1440" w:hanging="360"/>
      </w:pPr>
      <w:rPr>
        <w:rFonts w:ascii="Arial" w:hAnsi="Arial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BB1403"/>
    <w:multiLevelType w:val="hybridMultilevel"/>
    <w:tmpl w:val="2F567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A3C64D6">
      <w:numFmt w:val="bullet"/>
      <w:lvlText w:val="•"/>
      <w:lvlJc w:val="left"/>
      <w:pPr>
        <w:ind w:left="1800" w:hanging="720"/>
      </w:pPr>
      <w:rPr>
        <w:rFonts w:ascii="Calibri" w:eastAsiaTheme="minorHAns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F74DD8"/>
    <w:multiLevelType w:val="hybridMultilevel"/>
    <w:tmpl w:val="261A34A4"/>
    <w:lvl w:ilvl="0" w:tplc="811EFF3E">
      <w:start w:val="1"/>
      <w:numFmt w:val="bullet"/>
      <w:lvlText w:val="m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084425"/>
    <w:multiLevelType w:val="hybridMultilevel"/>
    <w:tmpl w:val="F50C7BB4"/>
    <w:lvl w:ilvl="0" w:tplc="811EFF3E">
      <w:start w:val="1"/>
      <w:numFmt w:val="bullet"/>
      <w:lvlText w:val="m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4A1C13"/>
    <w:multiLevelType w:val="hybridMultilevel"/>
    <w:tmpl w:val="9AB49936"/>
    <w:lvl w:ilvl="0" w:tplc="FFFFFFFF">
      <w:start w:val="1"/>
      <w:numFmt w:val="bullet"/>
      <w:lvlText w:val="m"/>
      <w:lvlJc w:val="left"/>
      <w:pPr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6919B5"/>
    <w:multiLevelType w:val="hybridMultilevel"/>
    <w:tmpl w:val="BEE6F210"/>
    <w:lvl w:ilvl="0" w:tplc="FFFFFFFF">
      <w:start w:val="1"/>
      <w:numFmt w:val="bullet"/>
      <w:lvlText w:val="m"/>
      <w:lvlJc w:val="left"/>
      <w:pPr>
        <w:ind w:left="720" w:hanging="360"/>
      </w:pPr>
      <w:rPr>
        <w:rFonts w:ascii="Wingdings" w:hAnsi="Wingdings" w:hint="default"/>
      </w:rPr>
    </w:lvl>
    <w:lvl w:ilvl="1" w:tplc="C0EA6792">
      <w:start w:val="84"/>
      <w:numFmt w:val="bullet"/>
      <w:lvlText w:val="–"/>
      <w:lvlJc w:val="left"/>
      <w:pPr>
        <w:ind w:left="1440" w:hanging="360"/>
      </w:pPr>
      <w:rPr>
        <w:rFonts w:ascii="Arial" w:hAnsi="Arial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3C1420"/>
    <w:multiLevelType w:val="hybridMultilevel"/>
    <w:tmpl w:val="966E83E8"/>
    <w:lvl w:ilvl="0" w:tplc="5304185A">
      <w:start w:val="1"/>
      <w:numFmt w:val="bullet"/>
      <w:lvlText w:val="②"/>
      <w:lvlJc w:val="left"/>
      <w:pPr>
        <w:ind w:left="720" w:hanging="360"/>
      </w:pPr>
      <w:rPr>
        <w:rFonts w:ascii="Calibri" w:hAnsi="Calibri" w:hint="default"/>
      </w:rPr>
    </w:lvl>
    <w:lvl w:ilvl="1" w:tplc="FFFFFFFF">
      <w:start w:val="1"/>
      <w:numFmt w:val="decimal"/>
      <w:lvlText w:val="%2."/>
      <w:lvlJc w:val="left"/>
      <w:pPr>
        <w:ind w:left="1440" w:hanging="360"/>
      </w:p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6918AD"/>
    <w:multiLevelType w:val="hybridMultilevel"/>
    <w:tmpl w:val="D4EAC85C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 w15:restartNumberingAfterBreak="0">
    <w:nsid w:val="56F6736E"/>
    <w:multiLevelType w:val="hybridMultilevel"/>
    <w:tmpl w:val="A65211AE"/>
    <w:lvl w:ilvl="0" w:tplc="18BC2D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DA3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FFFFFFFF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851BE8"/>
    <w:multiLevelType w:val="hybridMultilevel"/>
    <w:tmpl w:val="9904CB94"/>
    <w:lvl w:ilvl="0" w:tplc="77BE4A4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9E1AFBF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7A02B44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3F5C1626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F2DEC05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4C3812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54E665A8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6F34B12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228F14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BF20AC0"/>
    <w:multiLevelType w:val="hybridMultilevel"/>
    <w:tmpl w:val="15F008A8"/>
    <w:lvl w:ilvl="0" w:tplc="FFFFFFFF">
      <w:start w:val="1"/>
      <w:numFmt w:val="bullet"/>
      <w:lvlText w:val="m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5A7BDD"/>
    <w:multiLevelType w:val="hybridMultilevel"/>
    <w:tmpl w:val="469C391C"/>
    <w:lvl w:ilvl="0" w:tplc="11F2EAF8">
      <w:start w:val="1"/>
      <w:numFmt w:val="bullet"/>
      <w:lvlText w:val="③"/>
      <w:lvlJc w:val="left"/>
      <w:pPr>
        <w:ind w:left="720" w:hanging="360"/>
      </w:pPr>
      <w:rPr>
        <w:rFonts w:ascii="Calibri" w:hAnsi="Calibri" w:hint="default"/>
      </w:rPr>
    </w:lvl>
    <w:lvl w:ilvl="1" w:tplc="FFFFFFFF">
      <w:start w:val="1"/>
      <w:numFmt w:val="decimal"/>
      <w:lvlText w:val="%2."/>
      <w:lvlJc w:val="left"/>
      <w:pPr>
        <w:ind w:left="1440" w:hanging="360"/>
      </w:p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F005F2"/>
    <w:multiLevelType w:val="hybridMultilevel"/>
    <w:tmpl w:val="FF4EFB2C"/>
    <w:lvl w:ilvl="0" w:tplc="20CCB5C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72AE0DAE">
      <w:start w:val="3"/>
      <w:numFmt w:val="bullet"/>
      <w:lvlText w:val="•"/>
      <w:lvlJc w:val="left"/>
      <w:pPr>
        <w:ind w:left="1800" w:hanging="720"/>
      </w:pPr>
      <w:rPr>
        <w:rFonts w:ascii="Calibri" w:eastAsiaTheme="minorHAnsi" w:hAnsi="Calibri" w:cs="Calibr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C9108E"/>
    <w:multiLevelType w:val="hybridMultilevel"/>
    <w:tmpl w:val="A274CF1A"/>
    <w:lvl w:ilvl="0" w:tplc="9ABCAAA8">
      <w:start w:val="1"/>
      <w:numFmt w:val="decimal"/>
      <w:lvlText w:val="%1"/>
      <w:lvlJc w:val="left"/>
      <w:pPr>
        <w:ind w:left="360" w:hanging="360"/>
      </w:pPr>
      <w:rPr>
        <w:rFonts w:hint="default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78109D0"/>
    <w:multiLevelType w:val="hybridMultilevel"/>
    <w:tmpl w:val="57749798"/>
    <w:lvl w:ilvl="0" w:tplc="07489680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007DA3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7A17F4">
      <w:numFmt w:val="bullet"/>
      <w:lvlText w:val="-"/>
      <w:lvlJc w:val="left"/>
      <w:pPr>
        <w:ind w:left="2880" w:hanging="360"/>
      </w:pPr>
      <w:rPr>
        <w:rFonts w:ascii="Calibri" w:eastAsiaTheme="minorEastAsia" w:hAnsi="Calibri" w:hint="default"/>
        <w:b/>
        <w:i w:val="0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956786"/>
    <w:multiLevelType w:val="hybridMultilevel"/>
    <w:tmpl w:val="A388226A"/>
    <w:lvl w:ilvl="0" w:tplc="FFFFFFFF">
      <w:start w:val="1"/>
      <w:numFmt w:val="bullet"/>
      <w:lvlText w:val="m"/>
      <w:lvlJc w:val="left"/>
      <w:pPr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EB079F"/>
    <w:multiLevelType w:val="hybridMultilevel"/>
    <w:tmpl w:val="2322256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4E504B"/>
    <w:multiLevelType w:val="hybridMultilevel"/>
    <w:tmpl w:val="FF4EFB2C"/>
    <w:lvl w:ilvl="0" w:tplc="FFFFFFF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FFFFFFFF">
      <w:start w:val="3"/>
      <w:numFmt w:val="bullet"/>
      <w:lvlText w:val="•"/>
      <w:lvlJc w:val="left"/>
      <w:pPr>
        <w:ind w:left="1800" w:hanging="720"/>
      </w:pPr>
      <w:rPr>
        <w:rFonts w:ascii="Calibri" w:eastAsiaTheme="minorHAnsi" w:hAnsi="Calibri" w:cs="Calibri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F3450A"/>
    <w:multiLevelType w:val="hybridMultilevel"/>
    <w:tmpl w:val="539619D4"/>
    <w:lvl w:ilvl="0" w:tplc="374014A0">
      <w:start w:val="1"/>
      <w:numFmt w:val="bullet"/>
      <w:lvlText w:val="m"/>
      <w:lvlJc w:val="left"/>
      <w:pPr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DA70C1"/>
    <w:multiLevelType w:val="hybridMultilevel"/>
    <w:tmpl w:val="EB92EF08"/>
    <w:lvl w:ilvl="0" w:tplc="FFFFFFFF">
      <w:start w:val="1"/>
      <w:numFmt w:val="bullet"/>
      <w:lvlText w:val="m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1107978">
    <w:abstractNumId w:val="4"/>
  </w:num>
  <w:num w:numId="2" w16cid:durableId="344525615">
    <w:abstractNumId w:val="25"/>
  </w:num>
  <w:num w:numId="3" w16cid:durableId="885683521">
    <w:abstractNumId w:val="20"/>
  </w:num>
  <w:num w:numId="4" w16cid:durableId="43649322">
    <w:abstractNumId w:val="11"/>
  </w:num>
  <w:num w:numId="5" w16cid:durableId="2105412758">
    <w:abstractNumId w:val="12"/>
  </w:num>
  <w:num w:numId="6" w16cid:durableId="1934776602">
    <w:abstractNumId w:val="21"/>
  </w:num>
  <w:num w:numId="7" w16cid:durableId="945582592">
    <w:abstractNumId w:val="26"/>
  </w:num>
  <w:num w:numId="8" w16cid:durableId="1020084692">
    <w:abstractNumId w:val="6"/>
  </w:num>
  <w:num w:numId="9" w16cid:durableId="2011135310">
    <w:abstractNumId w:val="37"/>
  </w:num>
  <w:num w:numId="10" w16cid:durableId="1666936013">
    <w:abstractNumId w:val="24"/>
  </w:num>
  <w:num w:numId="11" w16cid:durableId="325211512">
    <w:abstractNumId w:val="40"/>
  </w:num>
  <w:num w:numId="12" w16cid:durableId="706225747">
    <w:abstractNumId w:val="14"/>
  </w:num>
  <w:num w:numId="13" w16cid:durableId="560137936">
    <w:abstractNumId w:val="17"/>
  </w:num>
  <w:num w:numId="14" w16cid:durableId="1605184650">
    <w:abstractNumId w:val="7"/>
  </w:num>
  <w:num w:numId="15" w16cid:durableId="777599538">
    <w:abstractNumId w:val="9"/>
  </w:num>
  <w:num w:numId="16" w16cid:durableId="1222137090">
    <w:abstractNumId w:val="28"/>
  </w:num>
  <w:num w:numId="17" w16cid:durableId="1843351410">
    <w:abstractNumId w:val="41"/>
  </w:num>
  <w:num w:numId="18" w16cid:durableId="472062977">
    <w:abstractNumId w:val="22"/>
  </w:num>
  <w:num w:numId="19" w16cid:durableId="1100569918">
    <w:abstractNumId w:val="27"/>
  </w:num>
  <w:num w:numId="20" w16cid:durableId="2090886110">
    <w:abstractNumId w:val="33"/>
  </w:num>
  <w:num w:numId="21" w16cid:durableId="873544918">
    <w:abstractNumId w:val="1"/>
  </w:num>
  <w:num w:numId="22" w16cid:durableId="994188242">
    <w:abstractNumId w:val="32"/>
  </w:num>
  <w:num w:numId="23" w16cid:durableId="127862642">
    <w:abstractNumId w:val="35"/>
  </w:num>
  <w:num w:numId="24" w16cid:durableId="76559370">
    <w:abstractNumId w:val="18"/>
  </w:num>
  <w:num w:numId="25" w16cid:durableId="994457845">
    <w:abstractNumId w:val="13"/>
  </w:num>
  <w:num w:numId="26" w16cid:durableId="2117284741">
    <w:abstractNumId w:val="30"/>
  </w:num>
  <w:num w:numId="27" w16cid:durableId="1572496820">
    <w:abstractNumId w:val="36"/>
  </w:num>
  <w:num w:numId="28" w16cid:durableId="238444599">
    <w:abstractNumId w:val="2"/>
  </w:num>
  <w:num w:numId="29" w16cid:durableId="1605503190">
    <w:abstractNumId w:val="31"/>
  </w:num>
  <w:num w:numId="30" w16cid:durableId="343433973">
    <w:abstractNumId w:val="23"/>
  </w:num>
  <w:num w:numId="31" w16cid:durableId="793713142">
    <w:abstractNumId w:val="15"/>
  </w:num>
  <w:num w:numId="32" w16cid:durableId="1432974286">
    <w:abstractNumId w:val="10"/>
  </w:num>
  <w:num w:numId="33" w16cid:durableId="2019695632">
    <w:abstractNumId w:val="8"/>
  </w:num>
  <w:num w:numId="34" w16cid:durableId="907227989">
    <w:abstractNumId w:val="34"/>
  </w:num>
  <w:num w:numId="35" w16cid:durableId="681862868">
    <w:abstractNumId w:val="0"/>
  </w:num>
  <w:num w:numId="36" w16cid:durableId="505905097">
    <w:abstractNumId w:val="16"/>
  </w:num>
  <w:num w:numId="37" w16cid:durableId="2145851472">
    <w:abstractNumId w:val="19"/>
  </w:num>
  <w:num w:numId="38" w16cid:durableId="214002831">
    <w:abstractNumId w:val="39"/>
  </w:num>
  <w:num w:numId="39" w16cid:durableId="844126449">
    <w:abstractNumId w:val="3"/>
  </w:num>
  <w:num w:numId="40" w16cid:durableId="1037698991">
    <w:abstractNumId w:val="29"/>
  </w:num>
  <w:num w:numId="41" w16cid:durableId="1052189892">
    <w:abstractNumId w:val="38"/>
  </w:num>
  <w:num w:numId="42" w16cid:durableId="32801845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1114"/>
    <w:rsid w:val="000011D1"/>
    <w:rsid w:val="000014BD"/>
    <w:rsid w:val="00003F47"/>
    <w:rsid w:val="00004F32"/>
    <w:rsid w:val="00005293"/>
    <w:rsid w:val="00015744"/>
    <w:rsid w:val="00015BAC"/>
    <w:rsid w:val="00030D8A"/>
    <w:rsid w:val="000325E8"/>
    <w:rsid w:val="00032EA5"/>
    <w:rsid w:val="00035D04"/>
    <w:rsid w:val="0003631D"/>
    <w:rsid w:val="00036562"/>
    <w:rsid w:val="00046F5C"/>
    <w:rsid w:val="00047D44"/>
    <w:rsid w:val="00047F1D"/>
    <w:rsid w:val="00061895"/>
    <w:rsid w:val="00063743"/>
    <w:rsid w:val="0006528D"/>
    <w:rsid w:val="00065338"/>
    <w:rsid w:val="00076115"/>
    <w:rsid w:val="00076B59"/>
    <w:rsid w:val="00085186"/>
    <w:rsid w:val="000856D6"/>
    <w:rsid w:val="000937C2"/>
    <w:rsid w:val="000A4CCC"/>
    <w:rsid w:val="000A5918"/>
    <w:rsid w:val="000A799B"/>
    <w:rsid w:val="000A7DD3"/>
    <w:rsid w:val="000B2076"/>
    <w:rsid w:val="000C2225"/>
    <w:rsid w:val="000C4154"/>
    <w:rsid w:val="000C7141"/>
    <w:rsid w:val="000C79D3"/>
    <w:rsid w:val="000D609D"/>
    <w:rsid w:val="000D79E5"/>
    <w:rsid w:val="000E0D8E"/>
    <w:rsid w:val="000E1391"/>
    <w:rsid w:val="000E4D54"/>
    <w:rsid w:val="000E50E8"/>
    <w:rsid w:val="000F7DF1"/>
    <w:rsid w:val="0010258F"/>
    <w:rsid w:val="00114A92"/>
    <w:rsid w:val="00117754"/>
    <w:rsid w:val="001201A4"/>
    <w:rsid w:val="00121206"/>
    <w:rsid w:val="001250A8"/>
    <w:rsid w:val="00132E23"/>
    <w:rsid w:val="00140F4D"/>
    <w:rsid w:val="00143F41"/>
    <w:rsid w:val="001516B2"/>
    <w:rsid w:val="00154647"/>
    <w:rsid w:val="0016704E"/>
    <w:rsid w:val="001751AD"/>
    <w:rsid w:val="00182814"/>
    <w:rsid w:val="00183382"/>
    <w:rsid w:val="0018752C"/>
    <w:rsid w:val="001931F4"/>
    <w:rsid w:val="001944C4"/>
    <w:rsid w:val="00195E0F"/>
    <w:rsid w:val="00196F20"/>
    <w:rsid w:val="001A77D5"/>
    <w:rsid w:val="001B1787"/>
    <w:rsid w:val="001B4835"/>
    <w:rsid w:val="001C2B0D"/>
    <w:rsid w:val="001C4737"/>
    <w:rsid w:val="001D0A44"/>
    <w:rsid w:val="001E0217"/>
    <w:rsid w:val="001E57A8"/>
    <w:rsid w:val="001F0612"/>
    <w:rsid w:val="001F19E4"/>
    <w:rsid w:val="001F1C19"/>
    <w:rsid w:val="001F2578"/>
    <w:rsid w:val="001F3190"/>
    <w:rsid w:val="001F5ECC"/>
    <w:rsid w:val="00204422"/>
    <w:rsid w:val="00206720"/>
    <w:rsid w:val="0020771B"/>
    <w:rsid w:val="00207BB8"/>
    <w:rsid w:val="00212E7D"/>
    <w:rsid w:val="00213294"/>
    <w:rsid w:val="00221664"/>
    <w:rsid w:val="00225DA3"/>
    <w:rsid w:val="00231D2C"/>
    <w:rsid w:val="00235B9B"/>
    <w:rsid w:val="00246E73"/>
    <w:rsid w:val="0026125E"/>
    <w:rsid w:val="00266BEC"/>
    <w:rsid w:val="00277FA7"/>
    <w:rsid w:val="0028510A"/>
    <w:rsid w:val="002870D2"/>
    <w:rsid w:val="0029077B"/>
    <w:rsid w:val="00291A85"/>
    <w:rsid w:val="00292D4A"/>
    <w:rsid w:val="002A1A1F"/>
    <w:rsid w:val="002A615C"/>
    <w:rsid w:val="002B1E8E"/>
    <w:rsid w:val="002B553E"/>
    <w:rsid w:val="002D0EAA"/>
    <w:rsid w:val="002E35EF"/>
    <w:rsid w:val="002E720F"/>
    <w:rsid w:val="002F0F47"/>
    <w:rsid w:val="002F26EE"/>
    <w:rsid w:val="002F3670"/>
    <w:rsid w:val="00302FC0"/>
    <w:rsid w:val="003151D8"/>
    <w:rsid w:val="0032020D"/>
    <w:rsid w:val="003318DD"/>
    <w:rsid w:val="00331C54"/>
    <w:rsid w:val="00337BDB"/>
    <w:rsid w:val="003461E7"/>
    <w:rsid w:val="003558F9"/>
    <w:rsid w:val="00361EA0"/>
    <w:rsid w:val="00370FA9"/>
    <w:rsid w:val="00374A4E"/>
    <w:rsid w:val="003911AA"/>
    <w:rsid w:val="00394CA5"/>
    <w:rsid w:val="003952FF"/>
    <w:rsid w:val="00395896"/>
    <w:rsid w:val="003B4C89"/>
    <w:rsid w:val="003C0A62"/>
    <w:rsid w:val="003C27B2"/>
    <w:rsid w:val="003C4B0D"/>
    <w:rsid w:val="003C5CAC"/>
    <w:rsid w:val="003C5E3B"/>
    <w:rsid w:val="003D017C"/>
    <w:rsid w:val="003D02C2"/>
    <w:rsid w:val="003D4B02"/>
    <w:rsid w:val="003E17B9"/>
    <w:rsid w:val="003E2374"/>
    <w:rsid w:val="003F2511"/>
    <w:rsid w:val="003F2AF7"/>
    <w:rsid w:val="00402F58"/>
    <w:rsid w:val="004157DD"/>
    <w:rsid w:val="00416245"/>
    <w:rsid w:val="00423DC1"/>
    <w:rsid w:val="004275EA"/>
    <w:rsid w:val="00427673"/>
    <w:rsid w:val="00434908"/>
    <w:rsid w:val="00434C61"/>
    <w:rsid w:val="00436E39"/>
    <w:rsid w:val="00437751"/>
    <w:rsid w:val="00440601"/>
    <w:rsid w:val="00440EFD"/>
    <w:rsid w:val="00443230"/>
    <w:rsid w:val="00443574"/>
    <w:rsid w:val="0044791E"/>
    <w:rsid w:val="004506C2"/>
    <w:rsid w:val="004523F9"/>
    <w:rsid w:val="004607E4"/>
    <w:rsid w:val="0047053E"/>
    <w:rsid w:val="004835BF"/>
    <w:rsid w:val="00492F08"/>
    <w:rsid w:val="0049443A"/>
    <w:rsid w:val="004A6527"/>
    <w:rsid w:val="004B249C"/>
    <w:rsid w:val="004B4D90"/>
    <w:rsid w:val="004C2030"/>
    <w:rsid w:val="004C5ADD"/>
    <w:rsid w:val="004D0DF5"/>
    <w:rsid w:val="004D13AE"/>
    <w:rsid w:val="004E38A7"/>
    <w:rsid w:val="004F0D49"/>
    <w:rsid w:val="004F1371"/>
    <w:rsid w:val="004F235F"/>
    <w:rsid w:val="004F5DA1"/>
    <w:rsid w:val="004F65AC"/>
    <w:rsid w:val="00513F32"/>
    <w:rsid w:val="005153A1"/>
    <w:rsid w:val="0052132F"/>
    <w:rsid w:val="005213CB"/>
    <w:rsid w:val="00522BE2"/>
    <w:rsid w:val="0052593E"/>
    <w:rsid w:val="00527934"/>
    <w:rsid w:val="005405E1"/>
    <w:rsid w:val="00543197"/>
    <w:rsid w:val="005512E8"/>
    <w:rsid w:val="005521F9"/>
    <w:rsid w:val="00557379"/>
    <w:rsid w:val="00561F7E"/>
    <w:rsid w:val="00564A73"/>
    <w:rsid w:val="005661AD"/>
    <w:rsid w:val="005732D1"/>
    <w:rsid w:val="00580291"/>
    <w:rsid w:val="00583513"/>
    <w:rsid w:val="00583AD8"/>
    <w:rsid w:val="0058497F"/>
    <w:rsid w:val="0058703A"/>
    <w:rsid w:val="00587B29"/>
    <w:rsid w:val="00587B2C"/>
    <w:rsid w:val="00595250"/>
    <w:rsid w:val="005959C9"/>
    <w:rsid w:val="00597723"/>
    <w:rsid w:val="005C6D51"/>
    <w:rsid w:val="005D1E02"/>
    <w:rsid w:val="005D44DD"/>
    <w:rsid w:val="005F0FEA"/>
    <w:rsid w:val="005F194B"/>
    <w:rsid w:val="005F3453"/>
    <w:rsid w:val="005F550E"/>
    <w:rsid w:val="005F6480"/>
    <w:rsid w:val="006019EC"/>
    <w:rsid w:val="006041A0"/>
    <w:rsid w:val="006044E4"/>
    <w:rsid w:val="0062188A"/>
    <w:rsid w:val="006260F9"/>
    <w:rsid w:val="006315EA"/>
    <w:rsid w:val="00633673"/>
    <w:rsid w:val="006355CC"/>
    <w:rsid w:val="006451D4"/>
    <w:rsid w:val="006468AD"/>
    <w:rsid w:val="006475DA"/>
    <w:rsid w:val="006561FC"/>
    <w:rsid w:val="00657436"/>
    <w:rsid w:val="006648B4"/>
    <w:rsid w:val="006649AE"/>
    <w:rsid w:val="00665AF1"/>
    <w:rsid w:val="0066745D"/>
    <w:rsid w:val="00667477"/>
    <w:rsid w:val="00674170"/>
    <w:rsid w:val="0067587E"/>
    <w:rsid w:val="0067609A"/>
    <w:rsid w:val="00680A48"/>
    <w:rsid w:val="00682AAA"/>
    <w:rsid w:val="006875D6"/>
    <w:rsid w:val="006921A2"/>
    <w:rsid w:val="006A048A"/>
    <w:rsid w:val="006A4B4A"/>
    <w:rsid w:val="006A6983"/>
    <w:rsid w:val="006B7D60"/>
    <w:rsid w:val="006C1F37"/>
    <w:rsid w:val="006C2461"/>
    <w:rsid w:val="006C662F"/>
    <w:rsid w:val="006D2404"/>
    <w:rsid w:val="006D2C42"/>
    <w:rsid w:val="006F7FB1"/>
    <w:rsid w:val="00700592"/>
    <w:rsid w:val="007007FD"/>
    <w:rsid w:val="00711C36"/>
    <w:rsid w:val="00714E3F"/>
    <w:rsid w:val="0071500F"/>
    <w:rsid w:val="0071561F"/>
    <w:rsid w:val="007309E1"/>
    <w:rsid w:val="007325E8"/>
    <w:rsid w:val="0073750E"/>
    <w:rsid w:val="007452EF"/>
    <w:rsid w:val="00751F8D"/>
    <w:rsid w:val="00753E0F"/>
    <w:rsid w:val="00755FDC"/>
    <w:rsid w:val="007627F5"/>
    <w:rsid w:val="007630A4"/>
    <w:rsid w:val="00767AEE"/>
    <w:rsid w:val="0077282B"/>
    <w:rsid w:val="007821A1"/>
    <w:rsid w:val="00784B55"/>
    <w:rsid w:val="00791B17"/>
    <w:rsid w:val="0079205D"/>
    <w:rsid w:val="007923E9"/>
    <w:rsid w:val="007A5605"/>
    <w:rsid w:val="007A5F9A"/>
    <w:rsid w:val="007B029F"/>
    <w:rsid w:val="007B253A"/>
    <w:rsid w:val="007B4760"/>
    <w:rsid w:val="007C32EA"/>
    <w:rsid w:val="007D20B3"/>
    <w:rsid w:val="007D3309"/>
    <w:rsid w:val="007D397D"/>
    <w:rsid w:val="007D5A86"/>
    <w:rsid w:val="007E045C"/>
    <w:rsid w:val="007E4A52"/>
    <w:rsid w:val="007E5E96"/>
    <w:rsid w:val="007F6722"/>
    <w:rsid w:val="00804C83"/>
    <w:rsid w:val="00813257"/>
    <w:rsid w:val="00813280"/>
    <w:rsid w:val="00813A65"/>
    <w:rsid w:val="00823421"/>
    <w:rsid w:val="0082467C"/>
    <w:rsid w:val="0082535E"/>
    <w:rsid w:val="00825901"/>
    <w:rsid w:val="00830DB9"/>
    <w:rsid w:val="00830F49"/>
    <w:rsid w:val="00851E92"/>
    <w:rsid w:val="00854E2A"/>
    <w:rsid w:val="00854F5C"/>
    <w:rsid w:val="008607BB"/>
    <w:rsid w:val="00862B8C"/>
    <w:rsid w:val="00866EAE"/>
    <w:rsid w:val="008743EB"/>
    <w:rsid w:val="00881F8D"/>
    <w:rsid w:val="00882D43"/>
    <w:rsid w:val="00891A1E"/>
    <w:rsid w:val="00892697"/>
    <w:rsid w:val="00894A75"/>
    <w:rsid w:val="00897AF5"/>
    <w:rsid w:val="008A76E4"/>
    <w:rsid w:val="008B0CB8"/>
    <w:rsid w:val="008B29A0"/>
    <w:rsid w:val="008B53DC"/>
    <w:rsid w:val="008C281E"/>
    <w:rsid w:val="008C3333"/>
    <w:rsid w:val="008C6771"/>
    <w:rsid w:val="008D1A51"/>
    <w:rsid w:val="008D42BD"/>
    <w:rsid w:val="008D58E4"/>
    <w:rsid w:val="008E286B"/>
    <w:rsid w:val="008E3802"/>
    <w:rsid w:val="008F2D91"/>
    <w:rsid w:val="008F4660"/>
    <w:rsid w:val="008F5315"/>
    <w:rsid w:val="009039C3"/>
    <w:rsid w:val="0090483E"/>
    <w:rsid w:val="00910CF8"/>
    <w:rsid w:val="00910E38"/>
    <w:rsid w:val="00910F34"/>
    <w:rsid w:val="00913395"/>
    <w:rsid w:val="009304EE"/>
    <w:rsid w:val="0093582C"/>
    <w:rsid w:val="0093669F"/>
    <w:rsid w:val="00941DE7"/>
    <w:rsid w:val="00942357"/>
    <w:rsid w:val="009446AC"/>
    <w:rsid w:val="00946870"/>
    <w:rsid w:val="009517D9"/>
    <w:rsid w:val="00961B50"/>
    <w:rsid w:val="009673C4"/>
    <w:rsid w:val="00975E3B"/>
    <w:rsid w:val="00976B21"/>
    <w:rsid w:val="00991E6D"/>
    <w:rsid w:val="00996319"/>
    <w:rsid w:val="009A1926"/>
    <w:rsid w:val="009A23AB"/>
    <w:rsid w:val="009B25F5"/>
    <w:rsid w:val="009C03E9"/>
    <w:rsid w:val="009C2950"/>
    <w:rsid w:val="009D0323"/>
    <w:rsid w:val="009D58D3"/>
    <w:rsid w:val="009D7766"/>
    <w:rsid w:val="009E088B"/>
    <w:rsid w:val="009E0C49"/>
    <w:rsid w:val="009E45A9"/>
    <w:rsid w:val="009F19C2"/>
    <w:rsid w:val="00A00451"/>
    <w:rsid w:val="00A0597C"/>
    <w:rsid w:val="00A11490"/>
    <w:rsid w:val="00A16253"/>
    <w:rsid w:val="00A22E39"/>
    <w:rsid w:val="00A22EA9"/>
    <w:rsid w:val="00A26C2E"/>
    <w:rsid w:val="00A3729E"/>
    <w:rsid w:val="00A415DB"/>
    <w:rsid w:val="00A4410F"/>
    <w:rsid w:val="00A44BD4"/>
    <w:rsid w:val="00A51D2B"/>
    <w:rsid w:val="00A74DEB"/>
    <w:rsid w:val="00A77B3D"/>
    <w:rsid w:val="00A77F09"/>
    <w:rsid w:val="00A81332"/>
    <w:rsid w:val="00A83E36"/>
    <w:rsid w:val="00A86720"/>
    <w:rsid w:val="00AA095A"/>
    <w:rsid w:val="00AA3224"/>
    <w:rsid w:val="00AA7E4B"/>
    <w:rsid w:val="00AB5295"/>
    <w:rsid w:val="00AC1B0E"/>
    <w:rsid w:val="00AD05DA"/>
    <w:rsid w:val="00AD1B2B"/>
    <w:rsid w:val="00AD381B"/>
    <w:rsid w:val="00AD46FC"/>
    <w:rsid w:val="00AF27F2"/>
    <w:rsid w:val="00B0207C"/>
    <w:rsid w:val="00B0451E"/>
    <w:rsid w:val="00B0677A"/>
    <w:rsid w:val="00B16E33"/>
    <w:rsid w:val="00B25C78"/>
    <w:rsid w:val="00B31154"/>
    <w:rsid w:val="00B40503"/>
    <w:rsid w:val="00B42931"/>
    <w:rsid w:val="00B4347F"/>
    <w:rsid w:val="00B51B88"/>
    <w:rsid w:val="00B56B02"/>
    <w:rsid w:val="00B60677"/>
    <w:rsid w:val="00B62ACE"/>
    <w:rsid w:val="00B664E9"/>
    <w:rsid w:val="00B67950"/>
    <w:rsid w:val="00B77D74"/>
    <w:rsid w:val="00B813D9"/>
    <w:rsid w:val="00B81F18"/>
    <w:rsid w:val="00B86530"/>
    <w:rsid w:val="00B93A97"/>
    <w:rsid w:val="00B955E6"/>
    <w:rsid w:val="00BA298A"/>
    <w:rsid w:val="00BA5C18"/>
    <w:rsid w:val="00BB2D45"/>
    <w:rsid w:val="00BB4D03"/>
    <w:rsid w:val="00BB6DAD"/>
    <w:rsid w:val="00BC405F"/>
    <w:rsid w:val="00BC7FB3"/>
    <w:rsid w:val="00BE3DEF"/>
    <w:rsid w:val="00BE6048"/>
    <w:rsid w:val="00BE7DFC"/>
    <w:rsid w:val="00C16F5D"/>
    <w:rsid w:val="00C17618"/>
    <w:rsid w:val="00C17821"/>
    <w:rsid w:val="00C22DE6"/>
    <w:rsid w:val="00C230AB"/>
    <w:rsid w:val="00C3287E"/>
    <w:rsid w:val="00C33A5D"/>
    <w:rsid w:val="00C40422"/>
    <w:rsid w:val="00C52AC8"/>
    <w:rsid w:val="00C57E17"/>
    <w:rsid w:val="00C6139F"/>
    <w:rsid w:val="00C674BC"/>
    <w:rsid w:val="00C71D12"/>
    <w:rsid w:val="00C75FE3"/>
    <w:rsid w:val="00C93DE7"/>
    <w:rsid w:val="00CA2226"/>
    <w:rsid w:val="00CA385C"/>
    <w:rsid w:val="00CA58D3"/>
    <w:rsid w:val="00CA75B4"/>
    <w:rsid w:val="00CC77B5"/>
    <w:rsid w:val="00CD4AF9"/>
    <w:rsid w:val="00CD4E92"/>
    <w:rsid w:val="00CD5F66"/>
    <w:rsid w:val="00CD7148"/>
    <w:rsid w:val="00CE2AD1"/>
    <w:rsid w:val="00CE465B"/>
    <w:rsid w:val="00CF0BD6"/>
    <w:rsid w:val="00CF2F41"/>
    <w:rsid w:val="00CF7F49"/>
    <w:rsid w:val="00D00B7B"/>
    <w:rsid w:val="00D01593"/>
    <w:rsid w:val="00D141B8"/>
    <w:rsid w:val="00D142DA"/>
    <w:rsid w:val="00D252FA"/>
    <w:rsid w:val="00D31B9A"/>
    <w:rsid w:val="00D41FFA"/>
    <w:rsid w:val="00D47230"/>
    <w:rsid w:val="00D60948"/>
    <w:rsid w:val="00D60CD0"/>
    <w:rsid w:val="00D60E16"/>
    <w:rsid w:val="00D64378"/>
    <w:rsid w:val="00D81114"/>
    <w:rsid w:val="00D85218"/>
    <w:rsid w:val="00D91D5A"/>
    <w:rsid w:val="00D934DA"/>
    <w:rsid w:val="00DA24E6"/>
    <w:rsid w:val="00DA2702"/>
    <w:rsid w:val="00DB0619"/>
    <w:rsid w:val="00DB12A8"/>
    <w:rsid w:val="00DC014C"/>
    <w:rsid w:val="00DC0404"/>
    <w:rsid w:val="00DC49D2"/>
    <w:rsid w:val="00DC4A4D"/>
    <w:rsid w:val="00DD5740"/>
    <w:rsid w:val="00DE195F"/>
    <w:rsid w:val="00DF5360"/>
    <w:rsid w:val="00E02968"/>
    <w:rsid w:val="00E1018E"/>
    <w:rsid w:val="00E13AC8"/>
    <w:rsid w:val="00E3068E"/>
    <w:rsid w:val="00E334F6"/>
    <w:rsid w:val="00E4676A"/>
    <w:rsid w:val="00E65233"/>
    <w:rsid w:val="00E66198"/>
    <w:rsid w:val="00E70FFA"/>
    <w:rsid w:val="00E71F43"/>
    <w:rsid w:val="00E72B87"/>
    <w:rsid w:val="00E7594A"/>
    <w:rsid w:val="00E75F84"/>
    <w:rsid w:val="00E774F6"/>
    <w:rsid w:val="00E77546"/>
    <w:rsid w:val="00E81B83"/>
    <w:rsid w:val="00E82230"/>
    <w:rsid w:val="00E83E1C"/>
    <w:rsid w:val="00E85A86"/>
    <w:rsid w:val="00E865E0"/>
    <w:rsid w:val="00E919BA"/>
    <w:rsid w:val="00E938E3"/>
    <w:rsid w:val="00E95D41"/>
    <w:rsid w:val="00EA12F5"/>
    <w:rsid w:val="00EA4C26"/>
    <w:rsid w:val="00EB4830"/>
    <w:rsid w:val="00EB713A"/>
    <w:rsid w:val="00EC0567"/>
    <w:rsid w:val="00EC2B42"/>
    <w:rsid w:val="00EC5CA5"/>
    <w:rsid w:val="00EC79A2"/>
    <w:rsid w:val="00ED2A30"/>
    <w:rsid w:val="00EE572D"/>
    <w:rsid w:val="00EF27A6"/>
    <w:rsid w:val="00EF3926"/>
    <w:rsid w:val="00F1330D"/>
    <w:rsid w:val="00F147DC"/>
    <w:rsid w:val="00F14B01"/>
    <w:rsid w:val="00F16DB3"/>
    <w:rsid w:val="00F25E45"/>
    <w:rsid w:val="00F26E39"/>
    <w:rsid w:val="00F32291"/>
    <w:rsid w:val="00F37751"/>
    <w:rsid w:val="00F41953"/>
    <w:rsid w:val="00F46BBF"/>
    <w:rsid w:val="00F46ED3"/>
    <w:rsid w:val="00F52187"/>
    <w:rsid w:val="00F57057"/>
    <w:rsid w:val="00F57183"/>
    <w:rsid w:val="00F57416"/>
    <w:rsid w:val="00F72892"/>
    <w:rsid w:val="00F73F10"/>
    <w:rsid w:val="00F80A93"/>
    <w:rsid w:val="00F83BCD"/>
    <w:rsid w:val="00F84068"/>
    <w:rsid w:val="00F87A84"/>
    <w:rsid w:val="00F93E47"/>
    <w:rsid w:val="00F95790"/>
    <w:rsid w:val="00F961AD"/>
    <w:rsid w:val="00F9769A"/>
    <w:rsid w:val="00FA157B"/>
    <w:rsid w:val="00FA31A6"/>
    <w:rsid w:val="00FA4759"/>
    <w:rsid w:val="00FA5094"/>
    <w:rsid w:val="00FC6EAF"/>
    <w:rsid w:val="00FF251D"/>
    <w:rsid w:val="00FF5A7B"/>
    <w:rsid w:val="496CD689"/>
    <w:rsid w:val="4DBBD45B"/>
    <w:rsid w:val="7EFA4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24D61E"/>
  <w14:defaultImageDpi w14:val="32767"/>
  <w15:chartTrackingRefBased/>
  <w15:docId w15:val="{7510A236-81E8-41B7-A101-65C9A3690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1F18"/>
    <w:rPr>
      <w:rFonts w:cstheme="minorHAnsi"/>
    </w:rPr>
  </w:style>
  <w:style w:type="paragraph" w:styleId="Heading1">
    <w:name w:val="heading 1"/>
    <w:basedOn w:val="Normal"/>
    <w:next w:val="Normal"/>
    <w:link w:val="Heading1Char"/>
    <w:uiPriority w:val="9"/>
    <w:qFormat/>
    <w:rsid w:val="007C32EA"/>
    <w:pPr>
      <w:pBdr>
        <w:bottom w:val="single" w:sz="18" w:space="1" w:color="007DA3"/>
      </w:pBdr>
      <w:spacing w:after="120"/>
      <w:outlineLvl w:val="0"/>
    </w:pPr>
    <w:rPr>
      <w:b/>
      <w:bCs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30D8A"/>
    <w:pPr>
      <w:keepNext/>
      <w:keepLines/>
      <w:spacing w:before="240" w:after="120"/>
      <w:outlineLvl w:val="1"/>
    </w:pPr>
    <w:rPr>
      <w:b/>
      <w:bCs/>
      <w:color w:val="007DA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329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3294"/>
  </w:style>
  <w:style w:type="paragraph" w:styleId="Footer">
    <w:name w:val="footer"/>
    <w:basedOn w:val="Normal"/>
    <w:link w:val="FooterChar"/>
    <w:uiPriority w:val="99"/>
    <w:unhideWhenUsed/>
    <w:rsid w:val="002132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3294"/>
  </w:style>
  <w:style w:type="paragraph" w:styleId="ListParagraph">
    <w:name w:val="List Paragraph"/>
    <w:basedOn w:val="Normal"/>
    <w:uiPriority w:val="34"/>
    <w:qFormat/>
    <w:rsid w:val="00440EFD"/>
    <w:pPr>
      <w:numPr>
        <w:numId w:val="27"/>
      </w:numPr>
      <w:spacing w:after="60"/>
      <w:ind w:left="360"/>
    </w:pPr>
  </w:style>
  <w:style w:type="table" w:styleId="TableGrid">
    <w:name w:val="Table Grid"/>
    <w:basedOn w:val="TableNormal"/>
    <w:uiPriority w:val="39"/>
    <w:rsid w:val="000618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7E5E96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E5E9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E5E96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unhideWhenUsed/>
    <w:rsid w:val="007E5E96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7E5E96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7E5E96"/>
    <w:rPr>
      <w:vertAlign w:val="superscript"/>
    </w:rPr>
  </w:style>
  <w:style w:type="paragraph" w:customStyle="1" w:styleId="FooterText">
    <w:name w:val="Footer Text"/>
    <w:link w:val="FooterTextChar"/>
    <w:qFormat/>
    <w:rsid w:val="00C230AB"/>
    <w:rPr>
      <w:rFonts w:ascii="Calibri" w:eastAsia="Calibri" w:hAnsi="Calibri" w:cs="Times New Roman"/>
      <w:bCs/>
      <w:sz w:val="20"/>
      <w:szCs w:val="20"/>
      <w:lang w:bidi="en-US"/>
    </w:rPr>
  </w:style>
  <w:style w:type="character" w:customStyle="1" w:styleId="FooterTextChar">
    <w:name w:val="Footer Text Char"/>
    <w:basedOn w:val="DefaultParagraphFont"/>
    <w:link w:val="FooterText"/>
    <w:rsid w:val="00C230AB"/>
    <w:rPr>
      <w:rFonts w:ascii="Calibri" w:eastAsia="Calibri" w:hAnsi="Calibri" w:cs="Times New Roman"/>
      <w:bCs/>
      <w:sz w:val="20"/>
      <w:szCs w:val="20"/>
      <w:lang w:bidi="en-US"/>
    </w:rPr>
  </w:style>
  <w:style w:type="character" w:customStyle="1" w:styleId="Heading1Char">
    <w:name w:val="Heading 1 Char"/>
    <w:basedOn w:val="DefaultParagraphFont"/>
    <w:link w:val="Heading1"/>
    <w:uiPriority w:val="9"/>
    <w:rsid w:val="007C32EA"/>
    <w:rPr>
      <w:rFonts w:cstheme="minorHAnsi"/>
      <w:b/>
      <w:bCs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30D8A"/>
    <w:rPr>
      <w:rFonts w:cstheme="minorHAnsi"/>
      <w:b/>
      <w:bCs/>
      <w:color w:val="007DA3"/>
    </w:rPr>
  </w:style>
  <w:style w:type="paragraph" w:styleId="Title">
    <w:name w:val="Title"/>
    <w:basedOn w:val="Header"/>
    <w:next w:val="Normal"/>
    <w:link w:val="TitleChar"/>
    <w:uiPriority w:val="10"/>
    <w:qFormat/>
    <w:rsid w:val="0018752C"/>
    <w:pPr>
      <w:tabs>
        <w:tab w:val="clear" w:pos="4680"/>
        <w:tab w:val="clear" w:pos="9360"/>
        <w:tab w:val="center" w:pos="5400"/>
        <w:tab w:val="right" w:pos="10800"/>
      </w:tabs>
      <w:spacing w:before="120"/>
    </w:pPr>
    <w:rPr>
      <w:b/>
      <w:bCs/>
      <w:color w:val="FFFFFF" w:themeColor="background1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8752C"/>
    <w:rPr>
      <w:rFonts w:cstheme="minorHAnsi"/>
      <w:b/>
      <w:bCs/>
      <w:color w:val="FFFFFF" w:themeColor="background1"/>
      <w:sz w:val="56"/>
      <w:szCs w:val="56"/>
    </w:rPr>
  </w:style>
  <w:style w:type="paragraph" w:styleId="Subtitle">
    <w:name w:val="Subtitle"/>
    <w:basedOn w:val="Header"/>
    <w:next w:val="Normal"/>
    <w:link w:val="SubtitleChar"/>
    <w:uiPriority w:val="11"/>
    <w:qFormat/>
    <w:rsid w:val="0018752C"/>
    <w:pPr>
      <w:tabs>
        <w:tab w:val="clear" w:pos="4680"/>
        <w:tab w:val="clear" w:pos="9360"/>
        <w:tab w:val="center" w:pos="5400"/>
        <w:tab w:val="right" w:pos="10800"/>
      </w:tabs>
      <w:spacing w:before="240" w:after="120"/>
      <w:jc w:val="center"/>
    </w:pPr>
    <w:rPr>
      <w:b/>
      <w:bCs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8752C"/>
    <w:rPr>
      <w:rFonts w:cstheme="minorHAnsi"/>
      <w:b/>
      <w:bCs/>
      <w:sz w:val="28"/>
      <w:szCs w:val="28"/>
    </w:rPr>
  </w:style>
  <w:style w:type="paragraph" w:customStyle="1" w:styleId="RefList">
    <w:name w:val="Ref List"/>
    <w:basedOn w:val="EndnoteText"/>
    <w:link w:val="RefListChar"/>
    <w:qFormat/>
    <w:rsid w:val="00402F58"/>
    <w:pPr>
      <w:numPr>
        <w:numId w:val="25"/>
      </w:numPr>
      <w:spacing w:after="120"/>
      <w:ind w:left="360"/>
    </w:pPr>
    <w:rPr>
      <w:sz w:val="24"/>
      <w:szCs w:val="24"/>
    </w:rPr>
  </w:style>
  <w:style w:type="character" w:customStyle="1" w:styleId="RefListChar">
    <w:name w:val="Ref List Char"/>
    <w:basedOn w:val="EndnoteTextChar"/>
    <w:link w:val="RefList"/>
    <w:rsid w:val="00402F58"/>
    <w:rPr>
      <w:rFonts w:cstheme="minorHAnsi"/>
      <w:sz w:val="20"/>
      <w:szCs w:val="20"/>
    </w:rPr>
  </w:style>
  <w:style w:type="paragraph" w:customStyle="1" w:styleId="paragraph">
    <w:name w:val="paragraph"/>
    <w:basedOn w:val="Normal"/>
    <w:rsid w:val="00A16253"/>
    <w:pPr>
      <w:spacing w:before="100" w:beforeAutospacing="1" w:after="100" w:afterAutospacing="1"/>
    </w:pPr>
    <w:rPr>
      <w:rFonts w:ascii="Times New Roman" w:eastAsia="Times New Roman" w:hAnsi="Times New Roman" w:cs="Times New Roman"/>
      <w:sz w:val="22"/>
    </w:rPr>
  </w:style>
  <w:style w:type="character" w:customStyle="1" w:styleId="normaltextrun">
    <w:name w:val="normaltextrun"/>
    <w:basedOn w:val="DefaultParagraphFont"/>
    <w:rsid w:val="00A16253"/>
  </w:style>
  <w:style w:type="character" w:customStyle="1" w:styleId="singleunderline">
    <w:name w:val="singleunderline"/>
    <w:basedOn w:val="DefaultParagraphFont"/>
    <w:rsid w:val="00A16253"/>
  </w:style>
  <w:style w:type="character" w:customStyle="1" w:styleId="scxp134018987">
    <w:name w:val="scxp134018987"/>
    <w:basedOn w:val="DefaultParagraphFont"/>
    <w:rsid w:val="00A16253"/>
  </w:style>
  <w:style w:type="character" w:styleId="CommentReference">
    <w:name w:val="annotation reference"/>
    <w:basedOn w:val="DefaultParagraphFont"/>
    <w:uiPriority w:val="99"/>
    <w:semiHidden/>
    <w:unhideWhenUsed/>
    <w:rsid w:val="001F31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F319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F3190"/>
    <w:rPr>
      <w:rFonts w:cstheme="minorHAns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F31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F3190"/>
    <w:rPr>
      <w:rFonts w:cstheme="minorHAns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130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4633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32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0314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4.tif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AHRQ MRSA">
      <a:dk1>
        <a:sysClr val="windowText" lastClr="000000"/>
      </a:dk1>
      <a:lt1>
        <a:sysClr val="window" lastClr="FFFFFF"/>
      </a:lt1>
      <a:dk2>
        <a:srgbClr val="757575"/>
      </a:dk2>
      <a:lt2>
        <a:srgbClr val="E7E6E6"/>
      </a:lt2>
      <a:accent1>
        <a:srgbClr val="007DA3"/>
      </a:accent1>
      <a:accent2>
        <a:srgbClr val="FAD701"/>
      </a:accent2>
      <a:accent3>
        <a:srgbClr val="FCF1DD"/>
      </a:accent3>
      <a:accent4>
        <a:srgbClr val="F48154"/>
      </a:accent4>
      <a:accent5>
        <a:srgbClr val="086354"/>
      </a:accent5>
      <a:accent6>
        <a:srgbClr val="E7E6E6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d14f105-b512-4c58-b648-3bdda2cf581d" xsi:nil="true"/>
    <lcf76f155ced4ddcb4097134ff3c332f xmlns="931aec66-2863-455c-9bb0-8c99df0ac3fd">
      <Terms xmlns="http://schemas.microsoft.com/office/infopath/2007/PartnerControls"/>
    </lcf76f155ced4ddcb4097134ff3c332f>
    <SharedWithUsers xmlns="5d14f105-b512-4c58-b648-3bdda2cf581d">
      <UserInfo>
        <DisplayName>Caylin Andrews</DisplayName>
        <AccountId>120</AccountId>
        <AccountType/>
      </UserInfo>
      <UserInfo>
        <DisplayName>Samuel Kim</DisplayName>
        <AccountId>12</AccountId>
        <AccountType/>
      </UserInfo>
      <UserInfo>
        <DisplayName>Sean Berenholtz</DisplayName>
        <AccountId>58</AccountId>
        <AccountType/>
      </UserInfo>
      <UserInfo>
        <DisplayName>Sara Karaba</DisplayName>
        <AccountId>70</AccountId>
        <AccountType/>
      </UserInfo>
      <UserInfo>
        <DisplayName>Kathleen Speck</DisplayName>
        <AccountId>11</AccountId>
        <AccountType/>
      </UserInfo>
    </SharedWithUsers>
    <ResidentBathingPreferencesandSkinassessments xmlns="931aec66-2863-455c-9bb0-8c99df0ac3fd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GostTitle.XSL" StyleName="GOST - Title Sort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C06F82F74DC74D9A1715CAE0E542E2" ma:contentTypeVersion="20" ma:contentTypeDescription="Create a new document." ma:contentTypeScope="" ma:versionID="f9bc1d42ba8155787123ceb957459d8d">
  <xsd:schema xmlns:xsd="http://www.w3.org/2001/XMLSchema" xmlns:xs="http://www.w3.org/2001/XMLSchema" xmlns:p="http://schemas.microsoft.com/office/2006/metadata/properties" xmlns:ns2="931aec66-2863-455c-9bb0-8c99df0ac3fd" xmlns:ns3="5d14f105-b512-4c58-b648-3bdda2cf581d" targetNamespace="http://schemas.microsoft.com/office/2006/metadata/properties" ma:root="true" ma:fieldsID="3ec37f08cc1e008a62fd65c6ec224e6c" ns2:_="" ns3:_="">
    <xsd:import namespace="931aec66-2863-455c-9bb0-8c99df0ac3fd"/>
    <xsd:import namespace="5d14f105-b512-4c58-b648-3bdda2cf581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ResidentBathingPreferencesandSkinassessment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1aec66-2863-455c-9bb0-8c99df0ac3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hidden="true" ma:internalName="MediaServiceAutoTags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3f7c956-802a-45ac-b2ba-cc78506785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ResidentBathingPreferencesandSkinassessments" ma:index="23" nillable="true" ma:displayName="Resident Bathing Preferences and Skin assessments" ma:format="Dropdown" ma:hidden="true" ma:internalName="ResidentBathingPreferencesandSkinassessments" ma:readOnly="false">
      <xsd:simpleType>
        <xsd:restriction base="dms:Text">
          <xsd:maxLength value="255"/>
        </xsd:restriction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5" nillable="true" ma:displayName="Location" ma:hidden="true" ma:indexed="true" ma:internalName="MediaServiceLocation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14f105-b512-4c58-b648-3bdda2cf581d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2" nillable="true" ma:displayName="Taxonomy Catch All Column" ma:hidden="true" ma:list="{74233f0f-6bd0-4026-a550-8b5d019f9378}" ma:internalName="TaxCatchAll" ma:readOnly="false" ma:showField="CatchAllData" ma:web="5d14f105-b512-4c58-b648-3bdda2cf581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1F85230-F463-4716-939A-C5296EA864CE}">
  <ds:schemaRefs>
    <ds:schemaRef ds:uri="http://schemas.microsoft.com/office/2006/metadata/properties"/>
    <ds:schemaRef ds:uri="http://schemas.microsoft.com/office/infopath/2007/PartnerControls"/>
    <ds:schemaRef ds:uri="5d14f105-b512-4c58-b648-3bdda2cf581d"/>
    <ds:schemaRef ds:uri="931aec66-2863-455c-9bb0-8c99df0ac3fd"/>
  </ds:schemaRefs>
</ds:datastoreItem>
</file>

<file path=customXml/itemProps2.xml><?xml version="1.0" encoding="utf-8"?>
<ds:datastoreItem xmlns:ds="http://schemas.openxmlformats.org/officeDocument/2006/customXml" ds:itemID="{0F60F6C5-9DAA-4F78-8A23-78B1B9F09D2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5307EF4-5A01-42A0-8FF3-34962B5CFCD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A33D1CD-1889-487C-8462-BACE29CCA5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1aec66-2863-455c-9bb0-8c99df0ac3fd"/>
    <ds:schemaRef ds:uri="5d14f105-b512-4c58-b648-3bdda2cf58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338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Agency for Healthcare Research &amp; Quality</dc:creator>
  <cp:keywords/>
  <dc:description/>
  <cp:lastModifiedBy>Heidenrich, Christine (AHRQ/OC) (CTR)</cp:lastModifiedBy>
  <cp:revision>8</cp:revision>
  <cp:lastPrinted>2024-06-07T02:32:00Z</cp:lastPrinted>
  <dcterms:created xsi:type="dcterms:W3CDTF">2024-10-16T13:50:00Z</dcterms:created>
  <dcterms:modified xsi:type="dcterms:W3CDTF">2024-10-17T02:35:00Z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0x0101009DC06F82F74DC74D9A1715CAE0E542E2</vt:lpwstr>
  </property>
  <property fmtid="{D5CDD505-2E9C-101B-9397-08002B2CF9AE}" pid="3" name="MediaServiceImageTags">
    <vt:lpwstr/>
  </property>
</Properties>
</file>