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A929" w14:textId="243D02C8" w:rsidR="00583A7E" w:rsidRPr="00576E95" w:rsidRDefault="008727DA" w:rsidP="00851534">
      <w:pPr>
        <w:rPr>
          <w:sz w:val="22"/>
          <w:szCs w:val="22"/>
        </w:rPr>
      </w:pPr>
      <w:r w:rsidRPr="00576E95">
        <w:rPr>
          <w:sz w:val="22"/>
          <w:szCs w:val="22"/>
        </w:rPr>
        <w:t xml:space="preserve">Methicillin-resistant </w:t>
      </w:r>
      <w:r w:rsidRPr="00576E95">
        <w:rPr>
          <w:i/>
          <w:iCs/>
          <w:sz w:val="22"/>
          <w:szCs w:val="22"/>
        </w:rPr>
        <w:t>Staphylococcus aureus</w:t>
      </w:r>
      <w:r w:rsidRPr="00576E95">
        <w:rPr>
          <w:sz w:val="22"/>
          <w:szCs w:val="22"/>
        </w:rPr>
        <w:t xml:space="preserve"> (MRSA) is spread through direct contact, from person</w:t>
      </w:r>
      <w:r w:rsidR="00EE31C4" w:rsidRPr="00576E95">
        <w:rPr>
          <w:sz w:val="22"/>
          <w:szCs w:val="22"/>
        </w:rPr>
        <w:t xml:space="preserve"> </w:t>
      </w:r>
      <w:r w:rsidRPr="00576E95">
        <w:rPr>
          <w:sz w:val="22"/>
          <w:szCs w:val="22"/>
        </w:rPr>
        <w:t>to</w:t>
      </w:r>
      <w:r w:rsidR="00EE31C4" w:rsidRPr="00576E95">
        <w:rPr>
          <w:sz w:val="22"/>
          <w:szCs w:val="22"/>
        </w:rPr>
        <w:t xml:space="preserve"> </w:t>
      </w:r>
      <w:r w:rsidRPr="00576E95">
        <w:rPr>
          <w:sz w:val="22"/>
          <w:szCs w:val="22"/>
        </w:rPr>
        <w:t xml:space="preserve">person, or indirect contact, by touching something in the environment that was previously contaminated. </w:t>
      </w:r>
      <w:r w:rsidR="00817256" w:rsidRPr="00576E95">
        <w:rPr>
          <w:sz w:val="22"/>
          <w:szCs w:val="22"/>
        </w:rPr>
        <w:t xml:space="preserve">Contact </w:t>
      </w:r>
      <w:r w:rsidRPr="00576E95">
        <w:rPr>
          <w:sz w:val="22"/>
          <w:szCs w:val="22"/>
        </w:rPr>
        <w:t>precaution</w:t>
      </w:r>
      <w:r w:rsidR="00817256" w:rsidRPr="00576E95">
        <w:rPr>
          <w:sz w:val="22"/>
          <w:szCs w:val="22"/>
        </w:rPr>
        <w:t>s</w:t>
      </w:r>
      <w:r w:rsidR="006B2B8E" w:rsidRPr="00576E95">
        <w:rPr>
          <w:sz w:val="22"/>
          <w:szCs w:val="22"/>
        </w:rPr>
        <w:t>,</w:t>
      </w:r>
      <w:r w:rsidRPr="00576E95">
        <w:rPr>
          <w:sz w:val="22"/>
          <w:szCs w:val="22"/>
        </w:rPr>
        <w:t xml:space="preserve"> a </w:t>
      </w:r>
      <w:r w:rsidR="00F274C4" w:rsidRPr="00576E95">
        <w:rPr>
          <w:sz w:val="22"/>
          <w:szCs w:val="22"/>
        </w:rPr>
        <w:t xml:space="preserve">type </w:t>
      </w:r>
      <w:r w:rsidRPr="00576E95">
        <w:rPr>
          <w:sz w:val="22"/>
          <w:szCs w:val="22"/>
        </w:rPr>
        <w:t>of transmission-based precaution</w:t>
      </w:r>
      <w:r w:rsidR="006B2B8E" w:rsidRPr="00576E95">
        <w:rPr>
          <w:sz w:val="22"/>
          <w:szCs w:val="22"/>
        </w:rPr>
        <w:t>, are</w:t>
      </w:r>
      <w:r w:rsidRPr="00576E95">
        <w:rPr>
          <w:sz w:val="22"/>
          <w:szCs w:val="22"/>
        </w:rPr>
        <w:t xml:space="preserve"> </w:t>
      </w:r>
      <w:r w:rsidR="00F274C4" w:rsidRPr="00576E95">
        <w:rPr>
          <w:sz w:val="22"/>
          <w:szCs w:val="22"/>
        </w:rPr>
        <w:t xml:space="preserve">used to reduce the risk of </w:t>
      </w:r>
      <w:r w:rsidRPr="00576E95">
        <w:rPr>
          <w:sz w:val="22"/>
          <w:szCs w:val="22"/>
        </w:rPr>
        <w:t>person-based transmission</w:t>
      </w:r>
      <w:r w:rsidR="00F274C4" w:rsidRPr="00576E95">
        <w:rPr>
          <w:sz w:val="22"/>
          <w:szCs w:val="22"/>
        </w:rPr>
        <w:t xml:space="preserve"> of pathogens such as MRSA. Contact precautions </w:t>
      </w:r>
      <w:r w:rsidR="00C93ACA" w:rsidRPr="00576E95">
        <w:rPr>
          <w:sz w:val="22"/>
          <w:szCs w:val="22"/>
        </w:rPr>
        <w:t xml:space="preserve">for MRSA </w:t>
      </w:r>
      <w:r w:rsidR="00F274C4" w:rsidRPr="00576E95">
        <w:rPr>
          <w:sz w:val="22"/>
          <w:szCs w:val="22"/>
        </w:rPr>
        <w:t xml:space="preserve">include the use of a gown and gloves by healthcare personnel during contact with </w:t>
      </w:r>
      <w:r w:rsidR="006B2B8E" w:rsidRPr="00576E95">
        <w:rPr>
          <w:sz w:val="22"/>
          <w:szCs w:val="22"/>
        </w:rPr>
        <w:t>a patient with MRSA</w:t>
      </w:r>
      <w:r w:rsidR="00F274C4" w:rsidRPr="00576E95">
        <w:rPr>
          <w:sz w:val="22"/>
          <w:szCs w:val="22"/>
        </w:rPr>
        <w:t xml:space="preserve"> and/or </w:t>
      </w:r>
      <w:r w:rsidR="006B2B8E" w:rsidRPr="00576E95">
        <w:rPr>
          <w:sz w:val="22"/>
          <w:szCs w:val="22"/>
        </w:rPr>
        <w:t>potentially contaminated areas in the patient’s</w:t>
      </w:r>
      <w:r w:rsidR="00F274C4" w:rsidRPr="00576E95">
        <w:rPr>
          <w:sz w:val="22"/>
          <w:szCs w:val="22"/>
        </w:rPr>
        <w:t xml:space="preserve"> environment</w:t>
      </w:r>
      <w:r w:rsidR="006B2B8E" w:rsidRPr="00576E95">
        <w:rPr>
          <w:sz w:val="22"/>
          <w:szCs w:val="22"/>
        </w:rPr>
        <w:t>. Placement of the patient in a single</w:t>
      </w:r>
      <w:r w:rsidR="00C93ACA" w:rsidRPr="00576E95">
        <w:rPr>
          <w:sz w:val="22"/>
          <w:szCs w:val="22"/>
        </w:rPr>
        <w:t>-patient</w:t>
      </w:r>
      <w:r w:rsidR="006B2B8E" w:rsidRPr="00576E95">
        <w:rPr>
          <w:sz w:val="22"/>
          <w:szCs w:val="22"/>
        </w:rPr>
        <w:t xml:space="preserve"> room is </w:t>
      </w:r>
      <w:r w:rsidR="00C93ACA" w:rsidRPr="00576E95">
        <w:rPr>
          <w:sz w:val="22"/>
          <w:szCs w:val="22"/>
        </w:rPr>
        <w:t>preferred.</w:t>
      </w:r>
    </w:p>
    <w:p w14:paraId="7E4805FB" w14:textId="53A06801" w:rsidR="00583A7E" w:rsidRPr="00576E95" w:rsidRDefault="00583A7E" w:rsidP="00851534">
      <w:pPr>
        <w:rPr>
          <w:sz w:val="22"/>
          <w:szCs w:val="22"/>
        </w:rPr>
      </w:pPr>
      <w:r w:rsidRPr="00576E95">
        <w:rPr>
          <w:noProof/>
          <w:sz w:val="22"/>
          <w:szCs w:val="22"/>
        </w:rPr>
        <w:drawing>
          <wp:anchor distT="0" distB="0" distL="114300" distR="114300" simplePos="0" relativeHeight="251658240" behindDoc="0" locked="0" layoutInCell="1" allowOverlap="1" wp14:anchorId="2C1A6BEA" wp14:editId="7AE65D71">
            <wp:simplePos x="0" y="0"/>
            <wp:positionH relativeFrom="column">
              <wp:posOffset>3496945</wp:posOffset>
            </wp:positionH>
            <wp:positionV relativeFrom="paragraph">
              <wp:posOffset>199200</wp:posOffset>
            </wp:positionV>
            <wp:extent cx="3496310" cy="1858010"/>
            <wp:effectExtent l="0" t="0" r="8890" b="8890"/>
            <wp:wrapThrough wrapText="bothSides">
              <wp:wrapPolygon edited="0">
                <wp:start x="14240" y="0"/>
                <wp:lineTo x="0" y="0"/>
                <wp:lineTo x="0" y="21482"/>
                <wp:lineTo x="17418" y="21482"/>
                <wp:lineTo x="18124" y="21260"/>
                <wp:lineTo x="20596" y="18160"/>
                <wp:lineTo x="20596" y="17717"/>
                <wp:lineTo x="21537" y="14395"/>
                <wp:lineTo x="21537" y="7087"/>
                <wp:lineTo x="21066" y="5537"/>
                <wp:lineTo x="20596" y="3100"/>
                <wp:lineTo x="18360" y="664"/>
                <wp:lineTo x="17418" y="0"/>
                <wp:lineTo x="14240" y="0"/>
              </wp:wrapPolygon>
            </wp:wrapThrough>
            <wp:docPr id="984726385" name="Picture 24" descr="A graphic of the four key strategies to take aim and target MRSA infection. The four key strategies include the following: decolonize patients, decontaminate the environment, prevent person-based transmission, and prevent device- and procedure-related infections.">
              <a:extLst xmlns:a="http://schemas.openxmlformats.org/drawingml/2006/main">
                <a:ext uri="{FF2B5EF4-FFF2-40B4-BE49-F238E27FC236}">
                  <a16:creationId xmlns:a16="http://schemas.microsoft.com/office/drawing/2014/main" id="{10B821B0-3086-503E-2A84-EAAB2DC277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26385" name="Picture 24" descr="A graphic of the four key strategies to take aim and target MRSA infection. The four key strategies include the following: decolonize patients, decontaminate the environment, prevent person-based transmission, and prevent device- and procedure-related infections.">
                      <a:extLst>
                        <a:ext uri="{FF2B5EF4-FFF2-40B4-BE49-F238E27FC236}">
                          <a16:creationId xmlns:a16="http://schemas.microsoft.com/office/drawing/2014/main" id="{10B821B0-3086-503E-2A84-EAAB2DC2775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6310" cy="1858010"/>
                    </a:xfrm>
                    <a:prstGeom prst="rect">
                      <a:avLst/>
                    </a:prstGeom>
                  </pic:spPr>
                </pic:pic>
              </a:graphicData>
            </a:graphic>
            <wp14:sizeRelH relativeFrom="margin">
              <wp14:pctWidth>0</wp14:pctWidth>
            </wp14:sizeRelH>
            <wp14:sizeRelV relativeFrom="margin">
              <wp14:pctHeight>0</wp14:pctHeight>
            </wp14:sizeRelV>
          </wp:anchor>
        </w:drawing>
      </w:r>
      <w:r w:rsidRPr="00576E95">
        <w:rPr>
          <w:sz w:val="22"/>
          <w:szCs w:val="22"/>
        </w:rPr>
        <w:t xml:space="preserve">Contact precautions are </w:t>
      </w:r>
      <w:r w:rsidR="00607FBB" w:rsidRPr="00576E95">
        <w:rPr>
          <w:sz w:val="22"/>
          <w:szCs w:val="22"/>
        </w:rPr>
        <w:t>typically used</w:t>
      </w:r>
      <w:r w:rsidRPr="00576E95">
        <w:rPr>
          <w:sz w:val="22"/>
          <w:szCs w:val="22"/>
        </w:rPr>
        <w:t xml:space="preserve"> as part of </w:t>
      </w:r>
      <w:r w:rsidRPr="00576E95">
        <w:rPr>
          <w:b/>
          <w:bCs/>
          <w:sz w:val="22"/>
          <w:szCs w:val="22"/>
        </w:rPr>
        <w:t xml:space="preserve">a </w:t>
      </w:r>
      <w:r w:rsidR="00607FBB" w:rsidRPr="00576E95">
        <w:rPr>
          <w:b/>
          <w:bCs/>
          <w:sz w:val="22"/>
          <w:szCs w:val="22"/>
        </w:rPr>
        <w:t>MRSA</w:t>
      </w:r>
      <w:r w:rsidRPr="00576E95">
        <w:rPr>
          <w:b/>
          <w:bCs/>
          <w:sz w:val="22"/>
          <w:szCs w:val="22"/>
        </w:rPr>
        <w:t xml:space="preserve"> prevention bundle</w:t>
      </w:r>
      <w:r w:rsidRPr="00576E95">
        <w:rPr>
          <w:sz w:val="22"/>
          <w:szCs w:val="22"/>
        </w:rPr>
        <w:t>—including not only contact precautions, but also hand hygiene promotion, adherence to standard precautions, MRSA surveillance to identify which patients require contact precautions, environmental cleaning and disinfection, and decolonization strategies.</w:t>
      </w:r>
      <w:r w:rsidRPr="00576E95">
        <w:rPr>
          <w:sz w:val="22"/>
          <w:szCs w:val="22"/>
          <w:vertAlign w:val="superscript"/>
        </w:rPr>
        <w:t>1,2</w:t>
      </w:r>
    </w:p>
    <w:p w14:paraId="1E22AC95" w14:textId="5737E14D" w:rsidR="00CA0691" w:rsidRPr="00576E95" w:rsidRDefault="00CA0691" w:rsidP="00851534">
      <w:pPr>
        <w:rPr>
          <w:sz w:val="22"/>
          <w:szCs w:val="22"/>
        </w:rPr>
      </w:pPr>
      <w:r w:rsidRPr="00576E95">
        <w:rPr>
          <w:sz w:val="22"/>
          <w:szCs w:val="22"/>
        </w:rPr>
        <w:t xml:space="preserve">More information on </w:t>
      </w:r>
      <w:r w:rsidRPr="00576E95">
        <w:rPr>
          <w:b/>
          <w:bCs/>
          <w:sz w:val="22"/>
          <w:szCs w:val="22"/>
        </w:rPr>
        <w:t>the four key strategies to take aim and target MRSA</w:t>
      </w:r>
      <w:r w:rsidRPr="00576E95">
        <w:rPr>
          <w:sz w:val="22"/>
          <w:szCs w:val="22"/>
        </w:rPr>
        <w:t>—decolonizing patients, decontaminating the healthcare environment, preventing person-based transmission, and preventing device</w:t>
      </w:r>
      <w:r w:rsidR="00EE31C4" w:rsidRPr="00576E95">
        <w:rPr>
          <w:sz w:val="22"/>
          <w:szCs w:val="22"/>
        </w:rPr>
        <w:t>-</w:t>
      </w:r>
      <w:r w:rsidRPr="00576E95">
        <w:rPr>
          <w:sz w:val="22"/>
          <w:szCs w:val="22"/>
        </w:rPr>
        <w:t xml:space="preserve"> and procedure-associated infections—can be found on </w:t>
      </w:r>
      <w:hyperlink r:id="rId12" w:history="1">
        <w:r w:rsidRPr="007D478E">
          <w:rPr>
            <w:rStyle w:val="Hyperlink"/>
            <w:b/>
            <w:bCs/>
            <w:sz w:val="22"/>
            <w:szCs w:val="22"/>
          </w:rPr>
          <w:t>The 4 Key Strategies</w:t>
        </w:r>
        <w:r w:rsidR="00AF6801" w:rsidRPr="007D478E">
          <w:rPr>
            <w:rStyle w:val="Hyperlink"/>
            <w:b/>
            <w:bCs/>
            <w:sz w:val="22"/>
            <w:szCs w:val="22"/>
          </w:rPr>
          <w:t xml:space="preserve"> </w:t>
        </w:r>
        <w:r w:rsidRPr="007D478E">
          <w:rPr>
            <w:rStyle w:val="Hyperlink"/>
            <w:b/>
            <w:bCs/>
            <w:sz w:val="22"/>
            <w:szCs w:val="22"/>
          </w:rPr>
          <w:t>of MRSA Prevention</w:t>
        </w:r>
      </w:hyperlink>
      <w:r w:rsidRPr="00576E95">
        <w:rPr>
          <w:sz w:val="22"/>
          <w:szCs w:val="22"/>
        </w:rPr>
        <w:t xml:space="preserve"> and </w:t>
      </w:r>
      <w:hyperlink r:id="rId13" w:history="1">
        <w:r w:rsidRPr="00EB7D80">
          <w:rPr>
            <w:rStyle w:val="Hyperlink"/>
            <w:b/>
            <w:bCs/>
            <w:sz w:val="22"/>
            <w:szCs w:val="22"/>
          </w:rPr>
          <w:t>Contact Precautions</w:t>
        </w:r>
        <w:r w:rsidRPr="00EB7D80">
          <w:rPr>
            <w:rStyle w:val="Hyperlink"/>
            <w:sz w:val="22"/>
            <w:szCs w:val="22"/>
          </w:rPr>
          <w:t xml:space="preserve"> </w:t>
        </w:r>
      </w:hyperlink>
      <w:r w:rsidRPr="00576E95">
        <w:rPr>
          <w:sz w:val="22"/>
          <w:szCs w:val="22"/>
        </w:rPr>
        <w:t>pages of the Toolkit website.</w:t>
      </w:r>
    </w:p>
    <w:p w14:paraId="199F9F38" w14:textId="4BC2D4CA" w:rsidR="00C93ACA" w:rsidRPr="00576E95" w:rsidRDefault="00C93ACA" w:rsidP="00851534">
      <w:pPr>
        <w:rPr>
          <w:sz w:val="22"/>
          <w:szCs w:val="22"/>
        </w:rPr>
      </w:pPr>
      <w:r w:rsidRPr="00576E95">
        <w:rPr>
          <w:sz w:val="22"/>
          <w:szCs w:val="22"/>
        </w:rPr>
        <w:t xml:space="preserve">Current </w:t>
      </w:r>
      <w:r w:rsidR="00F6018A" w:rsidRPr="00576E95">
        <w:rPr>
          <w:sz w:val="22"/>
          <w:szCs w:val="22"/>
        </w:rPr>
        <w:t xml:space="preserve">Centers for Disease Control </w:t>
      </w:r>
      <w:r w:rsidR="00EE31C4" w:rsidRPr="00576E95">
        <w:rPr>
          <w:sz w:val="22"/>
          <w:szCs w:val="22"/>
        </w:rPr>
        <w:t xml:space="preserve">and Prevention </w:t>
      </w:r>
      <w:r w:rsidRPr="00576E95">
        <w:rPr>
          <w:sz w:val="22"/>
          <w:szCs w:val="22"/>
        </w:rPr>
        <w:t>guid</w:t>
      </w:r>
      <w:r w:rsidR="007415B3" w:rsidRPr="00576E95">
        <w:rPr>
          <w:sz w:val="22"/>
          <w:szCs w:val="22"/>
        </w:rPr>
        <w:t>ance</w:t>
      </w:r>
      <w:r w:rsidRPr="00576E95">
        <w:rPr>
          <w:sz w:val="22"/>
          <w:szCs w:val="22"/>
        </w:rPr>
        <w:t xml:space="preserve"> and </w:t>
      </w:r>
      <w:r w:rsidR="00971F4E" w:rsidRPr="00576E95">
        <w:rPr>
          <w:sz w:val="22"/>
          <w:szCs w:val="22"/>
        </w:rPr>
        <w:t>SHEA/IDSA/APIC</w:t>
      </w:r>
      <w:r w:rsidR="007415B3" w:rsidRPr="00576E95">
        <w:rPr>
          <w:sz w:val="22"/>
          <w:szCs w:val="22"/>
        </w:rPr>
        <w:t xml:space="preserve"> </w:t>
      </w:r>
      <w:r w:rsidRPr="00576E95">
        <w:rPr>
          <w:sz w:val="22"/>
          <w:szCs w:val="22"/>
        </w:rPr>
        <w:t>practice recommendations</w:t>
      </w:r>
      <w:r w:rsidR="00754E15" w:rsidRPr="00576E95">
        <w:rPr>
          <w:sz w:val="22"/>
          <w:szCs w:val="22"/>
        </w:rPr>
        <w:t xml:space="preserve"> </w:t>
      </w:r>
      <w:r w:rsidR="00EE31C4" w:rsidRPr="00576E95">
        <w:rPr>
          <w:sz w:val="22"/>
          <w:szCs w:val="22"/>
        </w:rPr>
        <w:t>f</w:t>
      </w:r>
      <w:r w:rsidRPr="00576E95">
        <w:rPr>
          <w:sz w:val="22"/>
          <w:szCs w:val="22"/>
        </w:rPr>
        <w:t xml:space="preserve">or MRSA prevention </w:t>
      </w:r>
      <w:r w:rsidR="00011C7D" w:rsidRPr="00576E95">
        <w:rPr>
          <w:sz w:val="22"/>
          <w:szCs w:val="22"/>
        </w:rPr>
        <w:t xml:space="preserve">in acute care hospitals </w:t>
      </w:r>
      <w:r w:rsidRPr="00576E95">
        <w:rPr>
          <w:sz w:val="22"/>
          <w:szCs w:val="22"/>
        </w:rPr>
        <w:t>inclu</w:t>
      </w:r>
      <w:r w:rsidR="00011C7D" w:rsidRPr="00576E95">
        <w:rPr>
          <w:sz w:val="22"/>
          <w:szCs w:val="22"/>
        </w:rPr>
        <w:t>de use of contact precautions</w:t>
      </w:r>
      <w:r w:rsidR="00F6018A" w:rsidRPr="00576E95">
        <w:rPr>
          <w:sz w:val="22"/>
          <w:szCs w:val="22"/>
        </w:rPr>
        <w:t xml:space="preserve"> for patients colonized and infected with MRSA</w:t>
      </w:r>
      <w:r w:rsidR="00011C7D" w:rsidRPr="00576E95">
        <w:rPr>
          <w:sz w:val="22"/>
          <w:szCs w:val="22"/>
        </w:rPr>
        <w:t>.</w:t>
      </w:r>
      <w:r w:rsidR="00450777" w:rsidRPr="00576E95">
        <w:rPr>
          <w:sz w:val="22"/>
          <w:szCs w:val="22"/>
          <w:vertAlign w:val="superscript"/>
        </w:rPr>
        <w:t>1,3</w:t>
      </w:r>
      <w:r w:rsidR="00011C7D" w:rsidRPr="00576E95">
        <w:rPr>
          <w:sz w:val="22"/>
          <w:szCs w:val="22"/>
        </w:rPr>
        <w:t xml:space="preserve"> </w:t>
      </w:r>
      <w:r w:rsidR="007415B3" w:rsidRPr="00576E95">
        <w:rPr>
          <w:sz w:val="22"/>
          <w:szCs w:val="22"/>
        </w:rPr>
        <w:t xml:space="preserve">A brief summary of the rationale for and the evidence </w:t>
      </w:r>
      <w:r w:rsidR="00901834" w:rsidRPr="00576E95">
        <w:rPr>
          <w:sz w:val="22"/>
          <w:szCs w:val="22"/>
        </w:rPr>
        <w:t>regarding</w:t>
      </w:r>
      <w:r w:rsidR="007415B3" w:rsidRPr="00576E95">
        <w:rPr>
          <w:sz w:val="22"/>
          <w:szCs w:val="22"/>
        </w:rPr>
        <w:t xml:space="preserve"> the</w:t>
      </w:r>
      <w:r w:rsidR="007B0D69" w:rsidRPr="00576E95">
        <w:rPr>
          <w:sz w:val="22"/>
          <w:szCs w:val="22"/>
        </w:rPr>
        <w:t xml:space="preserve"> </w:t>
      </w:r>
      <w:r w:rsidR="007415B3" w:rsidRPr="00576E95">
        <w:rPr>
          <w:sz w:val="22"/>
          <w:szCs w:val="22"/>
        </w:rPr>
        <w:t>use of contact precautions</w:t>
      </w:r>
      <w:r w:rsidR="007B0D69" w:rsidRPr="00576E95">
        <w:rPr>
          <w:sz w:val="22"/>
          <w:szCs w:val="22"/>
        </w:rPr>
        <w:t xml:space="preserve"> for patients with MRSA</w:t>
      </w:r>
      <w:r w:rsidR="007415B3" w:rsidRPr="00576E95">
        <w:rPr>
          <w:sz w:val="22"/>
          <w:szCs w:val="22"/>
        </w:rPr>
        <w:t xml:space="preserve"> is provided below. </w:t>
      </w:r>
    </w:p>
    <w:p w14:paraId="05BD44B3" w14:textId="7CF80CB0" w:rsidR="00E938E3" w:rsidRPr="00576E95" w:rsidRDefault="001B375E" w:rsidP="00576E95">
      <w:pPr>
        <w:pStyle w:val="Heading1"/>
      </w:pPr>
      <w:r w:rsidRPr="00576E95">
        <w:t xml:space="preserve">Rationale and </w:t>
      </w:r>
      <w:r w:rsidR="00A53FAC" w:rsidRPr="00576E95">
        <w:t xml:space="preserve">Evidence Regarding </w:t>
      </w:r>
      <w:r w:rsidR="006D6E02" w:rsidRPr="00576E95">
        <w:t xml:space="preserve">the </w:t>
      </w:r>
      <w:r w:rsidR="000503DA" w:rsidRPr="00576E95">
        <w:t xml:space="preserve">Use </w:t>
      </w:r>
      <w:r w:rsidR="006D6E02" w:rsidRPr="00576E95">
        <w:t xml:space="preserve">of </w:t>
      </w:r>
      <w:r w:rsidR="000503DA" w:rsidRPr="00576E95">
        <w:t>Contact Precautions for MRSA Prevention</w:t>
      </w:r>
    </w:p>
    <w:p w14:paraId="4D5EE09C" w14:textId="5FAE2B89" w:rsidR="005C1247" w:rsidRPr="00576E95" w:rsidRDefault="005A1638" w:rsidP="000B4D6F">
      <w:pPr>
        <w:pStyle w:val="ListParagraph"/>
        <w:numPr>
          <w:ilvl w:val="0"/>
          <w:numId w:val="28"/>
        </w:numPr>
        <w:spacing w:after="120"/>
        <w:ind w:left="504"/>
        <w:rPr>
          <w:sz w:val="22"/>
          <w:szCs w:val="22"/>
        </w:rPr>
      </w:pPr>
      <w:r w:rsidRPr="00576E95">
        <w:rPr>
          <w:sz w:val="22"/>
          <w:szCs w:val="22"/>
        </w:rPr>
        <w:t>Observational studies have demonstrated that MRSA frequently contaminates the environment</w:t>
      </w:r>
      <w:r w:rsidR="0045070C" w:rsidRPr="00576E95">
        <w:rPr>
          <w:sz w:val="22"/>
          <w:szCs w:val="22"/>
        </w:rPr>
        <w:t xml:space="preserve"> of hospital patients who are colonized or infected with MRSA and that healthcare personnel </w:t>
      </w:r>
      <w:r w:rsidR="00D450E1" w:rsidRPr="00576E95">
        <w:rPr>
          <w:sz w:val="22"/>
          <w:szCs w:val="22"/>
        </w:rPr>
        <w:t>become contaminate</w:t>
      </w:r>
      <w:r w:rsidR="00C6708F" w:rsidRPr="00576E95">
        <w:rPr>
          <w:sz w:val="22"/>
          <w:szCs w:val="22"/>
        </w:rPr>
        <w:t>d</w:t>
      </w:r>
      <w:r w:rsidR="00D450E1" w:rsidRPr="00576E95">
        <w:rPr>
          <w:sz w:val="22"/>
          <w:szCs w:val="22"/>
        </w:rPr>
        <w:t xml:space="preserve"> with MRSA i</w:t>
      </w:r>
      <w:r w:rsidR="001B4C33" w:rsidRPr="00576E95">
        <w:rPr>
          <w:sz w:val="22"/>
          <w:szCs w:val="22"/>
        </w:rPr>
        <w:t xml:space="preserve">n approximately </w:t>
      </w:r>
      <w:r w:rsidR="00BC10CD" w:rsidRPr="00576E95">
        <w:rPr>
          <w:sz w:val="22"/>
          <w:szCs w:val="22"/>
        </w:rPr>
        <w:t>16</w:t>
      </w:r>
      <w:r w:rsidR="003116DA" w:rsidRPr="00576E95">
        <w:rPr>
          <w:sz w:val="22"/>
          <w:szCs w:val="22"/>
        </w:rPr>
        <w:t xml:space="preserve"> percent</w:t>
      </w:r>
      <w:r w:rsidR="001B4C33" w:rsidRPr="00576E95">
        <w:rPr>
          <w:sz w:val="22"/>
          <w:szCs w:val="22"/>
        </w:rPr>
        <w:t xml:space="preserve"> of interactions with such patients and/or their environment.</w:t>
      </w:r>
      <w:r w:rsidR="00F82EF7" w:rsidRPr="00576E95">
        <w:rPr>
          <w:sz w:val="22"/>
          <w:szCs w:val="22"/>
          <w:vertAlign w:val="superscript"/>
        </w:rPr>
        <w:t>4-</w:t>
      </w:r>
      <w:r w:rsidR="009E33C4" w:rsidRPr="00576E95">
        <w:rPr>
          <w:sz w:val="22"/>
          <w:szCs w:val="22"/>
          <w:vertAlign w:val="superscript"/>
        </w:rPr>
        <w:t>8</w:t>
      </w:r>
      <w:r w:rsidR="001B4C33" w:rsidRPr="00576E95">
        <w:rPr>
          <w:sz w:val="22"/>
          <w:szCs w:val="22"/>
        </w:rPr>
        <w:t xml:space="preserve"> The </w:t>
      </w:r>
      <w:r w:rsidR="007B0D69" w:rsidRPr="00576E95">
        <w:rPr>
          <w:sz w:val="22"/>
          <w:szCs w:val="22"/>
        </w:rPr>
        <w:t>odds</w:t>
      </w:r>
      <w:r w:rsidR="001B4C33" w:rsidRPr="00576E95">
        <w:rPr>
          <w:sz w:val="22"/>
          <w:szCs w:val="22"/>
        </w:rPr>
        <w:t xml:space="preserve"> of healthcare personnel contamination var</w:t>
      </w:r>
      <w:r w:rsidR="007B0D69" w:rsidRPr="00576E95">
        <w:rPr>
          <w:sz w:val="22"/>
          <w:szCs w:val="22"/>
        </w:rPr>
        <w:t>y</w:t>
      </w:r>
      <w:r w:rsidR="00C6708F" w:rsidRPr="00576E95">
        <w:rPr>
          <w:sz w:val="22"/>
          <w:szCs w:val="22"/>
        </w:rPr>
        <w:t xml:space="preserve"> widely</w:t>
      </w:r>
      <w:r w:rsidR="007B0D69" w:rsidRPr="00576E95">
        <w:rPr>
          <w:sz w:val="22"/>
          <w:szCs w:val="22"/>
        </w:rPr>
        <w:t xml:space="preserve"> among healthcare personnel type</w:t>
      </w:r>
      <w:r w:rsidR="00901834" w:rsidRPr="00576E95">
        <w:rPr>
          <w:sz w:val="22"/>
          <w:szCs w:val="22"/>
        </w:rPr>
        <w:t>s</w:t>
      </w:r>
      <w:r w:rsidR="007B0D69" w:rsidRPr="00576E95">
        <w:rPr>
          <w:sz w:val="22"/>
          <w:szCs w:val="22"/>
        </w:rPr>
        <w:t>, activit</w:t>
      </w:r>
      <w:r w:rsidR="00901834" w:rsidRPr="00576E95">
        <w:rPr>
          <w:sz w:val="22"/>
          <w:szCs w:val="22"/>
        </w:rPr>
        <w:t>ies</w:t>
      </w:r>
      <w:r w:rsidR="007B0D69" w:rsidRPr="00576E95">
        <w:rPr>
          <w:sz w:val="22"/>
          <w:szCs w:val="22"/>
        </w:rPr>
        <w:t xml:space="preserve"> performed, and the item</w:t>
      </w:r>
      <w:r w:rsidR="00901834" w:rsidRPr="00576E95">
        <w:rPr>
          <w:sz w:val="22"/>
          <w:szCs w:val="22"/>
        </w:rPr>
        <w:t>s</w:t>
      </w:r>
      <w:r w:rsidR="007B0D69" w:rsidRPr="00576E95">
        <w:rPr>
          <w:sz w:val="22"/>
          <w:szCs w:val="22"/>
        </w:rPr>
        <w:t xml:space="preserve"> </w:t>
      </w:r>
      <w:r w:rsidR="00901834" w:rsidRPr="00576E95">
        <w:rPr>
          <w:sz w:val="22"/>
          <w:szCs w:val="22"/>
        </w:rPr>
        <w:t xml:space="preserve">and </w:t>
      </w:r>
      <w:r w:rsidR="007B0D69" w:rsidRPr="00576E95">
        <w:rPr>
          <w:sz w:val="22"/>
          <w:szCs w:val="22"/>
        </w:rPr>
        <w:t>surface</w:t>
      </w:r>
      <w:r w:rsidR="00901834" w:rsidRPr="00576E95">
        <w:rPr>
          <w:sz w:val="22"/>
          <w:szCs w:val="22"/>
        </w:rPr>
        <w:t>s</w:t>
      </w:r>
      <w:r w:rsidR="007B0D69" w:rsidRPr="00576E95">
        <w:rPr>
          <w:sz w:val="22"/>
          <w:szCs w:val="22"/>
        </w:rPr>
        <w:t xml:space="preserve"> touched. </w:t>
      </w:r>
      <w:r w:rsidR="00AE118F" w:rsidRPr="00576E95">
        <w:rPr>
          <w:sz w:val="22"/>
          <w:szCs w:val="22"/>
        </w:rPr>
        <w:t>A rece</w:t>
      </w:r>
      <w:r w:rsidR="00A32CE3" w:rsidRPr="00576E95">
        <w:rPr>
          <w:sz w:val="22"/>
          <w:szCs w:val="22"/>
        </w:rPr>
        <w:t>n</w:t>
      </w:r>
      <w:r w:rsidR="00AE118F" w:rsidRPr="00576E95">
        <w:rPr>
          <w:sz w:val="22"/>
          <w:szCs w:val="22"/>
        </w:rPr>
        <w:t>t s</w:t>
      </w:r>
      <w:r w:rsidR="00DE01AC" w:rsidRPr="00576E95">
        <w:rPr>
          <w:sz w:val="22"/>
          <w:szCs w:val="22"/>
        </w:rPr>
        <w:t>imulation</w:t>
      </w:r>
      <w:r w:rsidR="0004589D" w:rsidRPr="00576E95">
        <w:rPr>
          <w:sz w:val="22"/>
          <w:szCs w:val="22"/>
        </w:rPr>
        <w:t xml:space="preserve"> stud</w:t>
      </w:r>
      <w:r w:rsidR="00AE118F" w:rsidRPr="00576E95">
        <w:rPr>
          <w:sz w:val="22"/>
          <w:szCs w:val="22"/>
        </w:rPr>
        <w:t>y</w:t>
      </w:r>
      <w:r w:rsidR="0004589D" w:rsidRPr="00576E95">
        <w:rPr>
          <w:sz w:val="22"/>
          <w:szCs w:val="22"/>
        </w:rPr>
        <w:t xml:space="preserve"> </w:t>
      </w:r>
      <w:r w:rsidR="00AE118F" w:rsidRPr="00576E95">
        <w:rPr>
          <w:sz w:val="22"/>
          <w:szCs w:val="22"/>
        </w:rPr>
        <w:t>found</w:t>
      </w:r>
      <w:r w:rsidR="0004589D" w:rsidRPr="00576E95">
        <w:rPr>
          <w:sz w:val="22"/>
          <w:szCs w:val="22"/>
        </w:rPr>
        <w:t xml:space="preserve"> that</w:t>
      </w:r>
      <w:r w:rsidR="007231E4" w:rsidRPr="00576E95">
        <w:rPr>
          <w:sz w:val="22"/>
          <w:szCs w:val="22"/>
        </w:rPr>
        <w:t>,</w:t>
      </w:r>
      <w:r w:rsidR="0004589D" w:rsidRPr="00576E95">
        <w:rPr>
          <w:sz w:val="22"/>
          <w:szCs w:val="22"/>
        </w:rPr>
        <w:t xml:space="preserve"> in the absence of hand hygiene, </w:t>
      </w:r>
      <w:r w:rsidR="007B0D69" w:rsidRPr="00576E95">
        <w:rPr>
          <w:sz w:val="22"/>
          <w:szCs w:val="22"/>
        </w:rPr>
        <w:t xml:space="preserve">healthcare personnel who become contaminated with </w:t>
      </w:r>
      <w:r w:rsidR="00DE01AC" w:rsidRPr="00576E95">
        <w:rPr>
          <w:sz w:val="22"/>
          <w:szCs w:val="22"/>
        </w:rPr>
        <w:t>MRSA</w:t>
      </w:r>
      <w:r w:rsidR="00FA6250" w:rsidRPr="00576E95">
        <w:rPr>
          <w:sz w:val="22"/>
          <w:szCs w:val="22"/>
        </w:rPr>
        <w:t xml:space="preserve"> may</w:t>
      </w:r>
      <w:r w:rsidR="003D07AE" w:rsidRPr="00576E95">
        <w:rPr>
          <w:sz w:val="22"/>
          <w:szCs w:val="22"/>
        </w:rPr>
        <w:t xml:space="preserve"> frequently</w:t>
      </w:r>
      <w:r w:rsidR="00FA6250" w:rsidRPr="00576E95">
        <w:rPr>
          <w:sz w:val="22"/>
          <w:szCs w:val="22"/>
        </w:rPr>
        <w:t xml:space="preserve"> transmit MRSA to subsequent </w:t>
      </w:r>
      <w:r w:rsidR="00DE01AC" w:rsidRPr="00576E95">
        <w:rPr>
          <w:sz w:val="22"/>
          <w:szCs w:val="22"/>
        </w:rPr>
        <w:t>patients.</w:t>
      </w:r>
      <w:r w:rsidR="009B4BB3" w:rsidRPr="00576E95">
        <w:rPr>
          <w:sz w:val="22"/>
          <w:szCs w:val="22"/>
          <w:vertAlign w:val="superscript"/>
        </w:rPr>
        <w:t>8</w:t>
      </w:r>
      <w:r w:rsidR="00DE01AC" w:rsidRPr="00576E95">
        <w:rPr>
          <w:sz w:val="22"/>
          <w:szCs w:val="22"/>
        </w:rPr>
        <w:t xml:space="preserve"> </w:t>
      </w:r>
      <w:r w:rsidR="006C4F64" w:rsidRPr="00576E95">
        <w:rPr>
          <w:sz w:val="22"/>
          <w:szCs w:val="22"/>
        </w:rPr>
        <w:t>The use of gown and gloves</w:t>
      </w:r>
      <w:r w:rsidR="0004589D" w:rsidRPr="00576E95">
        <w:rPr>
          <w:sz w:val="22"/>
          <w:szCs w:val="22"/>
        </w:rPr>
        <w:t xml:space="preserve"> is intended to reduce </w:t>
      </w:r>
      <w:r w:rsidR="00DE01AC" w:rsidRPr="00576E95">
        <w:rPr>
          <w:sz w:val="22"/>
          <w:szCs w:val="22"/>
        </w:rPr>
        <w:t xml:space="preserve">the risk of healthcare personnel </w:t>
      </w:r>
      <w:r w:rsidR="0004589D" w:rsidRPr="00576E95">
        <w:rPr>
          <w:sz w:val="22"/>
          <w:szCs w:val="22"/>
        </w:rPr>
        <w:t xml:space="preserve">contamination </w:t>
      </w:r>
      <w:r w:rsidR="00DE01AC" w:rsidRPr="00576E95">
        <w:rPr>
          <w:sz w:val="22"/>
          <w:szCs w:val="22"/>
        </w:rPr>
        <w:t>and subsequent forward transmission of MRSA.</w:t>
      </w:r>
      <w:r w:rsidR="0004589D" w:rsidRPr="00576E95">
        <w:rPr>
          <w:sz w:val="22"/>
          <w:szCs w:val="22"/>
        </w:rPr>
        <w:t xml:space="preserve"> </w:t>
      </w:r>
    </w:p>
    <w:p w14:paraId="74088F96" w14:textId="275F27F6" w:rsidR="003A4B1D" w:rsidRPr="00576E95" w:rsidRDefault="005140A1" w:rsidP="000B4D6F">
      <w:pPr>
        <w:pStyle w:val="ListParagraph"/>
        <w:numPr>
          <w:ilvl w:val="0"/>
          <w:numId w:val="28"/>
        </w:numPr>
        <w:spacing w:after="120"/>
        <w:ind w:left="504"/>
        <w:rPr>
          <w:sz w:val="22"/>
          <w:szCs w:val="22"/>
        </w:rPr>
      </w:pPr>
      <w:r w:rsidRPr="00576E95">
        <w:rPr>
          <w:sz w:val="22"/>
          <w:szCs w:val="22"/>
        </w:rPr>
        <w:t xml:space="preserve">Many </w:t>
      </w:r>
      <w:r w:rsidR="00B75922" w:rsidRPr="00576E95">
        <w:rPr>
          <w:sz w:val="22"/>
          <w:szCs w:val="22"/>
        </w:rPr>
        <w:t xml:space="preserve">single-center, </w:t>
      </w:r>
      <w:r w:rsidR="003D365A" w:rsidRPr="00576E95">
        <w:rPr>
          <w:sz w:val="22"/>
          <w:szCs w:val="22"/>
        </w:rPr>
        <w:t>observational</w:t>
      </w:r>
      <w:r w:rsidRPr="00576E95">
        <w:rPr>
          <w:sz w:val="22"/>
          <w:szCs w:val="22"/>
        </w:rPr>
        <w:t xml:space="preserve"> studies</w:t>
      </w:r>
      <w:r w:rsidR="00A0361B" w:rsidRPr="00576E95">
        <w:rPr>
          <w:sz w:val="22"/>
          <w:szCs w:val="22"/>
        </w:rPr>
        <w:t xml:space="preserve"> have reported successful control of MRSA, often in outbreak settings,</w:t>
      </w:r>
      <w:r w:rsidR="003D365A" w:rsidRPr="00576E95">
        <w:rPr>
          <w:sz w:val="22"/>
          <w:szCs w:val="22"/>
        </w:rPr>
        <w:t xml:space="preserve"> </w:t>
      </w:r>
      <w:r w:rsidR="00A0361B" w:rsidRPr="00576E95">
        <w:rPr>
          <w:sz w:val="22"/>
          <w:szCs w:val="22"/>
        </w:rPr>
        <w:t>after the introduction of</w:t>
      </w:r>
      <w:r w:rsidR="003D365A" w:rsidRPr="00576E95">
        <w:rPr>
          <w:sz w:val="22"/>
          <w:szCs w:val="22"/>
        </w:rPr>
        <w:t xml:space="preserve"> contact precautions </w:t>
      </w:r>
      <w:r w:rsidR="00A0361B" w:rsidRPr="00576E95">
        <w:rPr>
          <w:sz w:val="22"/>
          <w:szCs w:val="22"/>
        </w:rPr>
        <w:t xml:space="preserve">and a variety of other interventions. </w:t>
      </w:r>
      <w:r w:rsidR="003D365A" w:rsidRPr="00576E95">
        <w:rPr>
          <w:sz w:val="22"/>
          <w:szCs w:val="22"/>
        </w:rPr>
        <w:t xml:space="preserve">Because multiple interventions were often introduced simultaneously, the </w:t>
      </w:r>
      <w:r w:rsidRPr="00576E95">
        <w:rPr>
          <w:sz w:val="22"/>
          <w:szCs w:val="22"/>
        </w:rPr>
        <w:t xml:space="preserve">impact </w:t>
      </w:r>
      <w:r w:rsidR="003D365A" w:rsidRPr="00576E95">
        <w:rPr>
          <w:sz w:val="22"/>
          <w:szCs w:val="22"/>
        </w:rPr>
        <w:t>attributable to</w:t>
      </w:r>
      <w:r w:rsidRPr="00576E95">
        <w:rPr>
          <w:sz w:val="22"/>
          <w:szCs w:val="22"/>
        </w:rPr>
        <w:t xml:space="preserve"> any single intervention</w:t>
      </w:r>
      <w:r w:rsidR="003D365A" w:rsidRPr="00576E95">
        <w:rPr>
          <w:sz w:val="22"/>
          <w:szCs w:val="22"/>
        </w:rPr>
        <w:t>, such as contact precautions, cannot be determined from such studies</w:t>
      </w:r>
      <w:r w:rsidRPr="00576E95">
        <w:rPr>
          <w:sz w:val="22"/>
          <w:szCs w:val="22"/>
        </w:rPr>
        <w:t xml:space="preserve">. </w:t>
      </w:r>
    </w:p>
    <w:p w14:paraId="2549A70C" w14:textId="77777777" w:rsidR="00C772F7" w:rsidRPr="00576E95" w:rsidRDefault="00A0361B" w:rsidP="000B4D6F">
      <w:pPr>
        <w:pStyle w:val="ListParagraph"/>
        <w:numPr>
          <w:ilvl w:val="0"/>
          <w:numId w:val="28"/>
        </w:numPr>
        <w:spacing w:after="120"/>
        <w:ind w:left="504"/>
        <w:rPr>
          <w:sz w:val="22"/>
          <w:szCs w:val="22"/>
        </w:rPr>
      </w:pPr>
      <w:r w:rsidRPr="00576E95">
        <w:rPr>
          <w:sz w:val="22"/>
          <w:szCs w:val="22"/>
        </w:rPr>
        <w:t>Additional</w:t>
      </w:r>
      <w:r w:rsidR="003D365A" w:rsidRPr="00576E95">
        <w:rPr>
          <w:sz w:val="22"/>
          <w:szCs w:val="22"/>
        </w:rPr>
        <w:t xml:space="preserve"> studies have attempted to more rigorously </w:t>
      </w:r>
      <w:r w:rsidRPr="00576E95">
        <w:rPr>
          <w:sz w:val="22"/>
          <w:szCs w:val="22"/>
        </w:rPr>
        <w:t>evaluate</w:t>
      </w:r>
      <w:r w:rsidR="003D365A" w:rsidRPr="00576E95">
        <w:rPr>
          <w:sz w:val="22"/>
          <w:szCs w:val="22"/>
        </w:rPr>
        <w:t xml:space="preserve"> the impact of contact precautions on MRSA transmission</w:t>
      </w:r>
      <w:r w:rsidRPr="00576E95">
        <w:rPr>
          <w:sz w:val="22"/>
          <w:szCs w:val="22"/>
        </w:rPr>
        <w:t xml:space="preserve"> in hospitals</w:t>
      </w:r>
      <w:r w:rsidR="003D365A" w:rsidRPr="00576E95">
        <w:rPr>
          <w:sz w:val="22"/>
          <w:szCs w:val="22"/>
        </w:rPr>
        <w:t>.</w:t>
      </w:r>
      <w:r w:rsidRPr="00576E95">
        <w:rPr>
          <w:sz w:val="22"/>
          <w:szCs w:val="22"/>
        </w:rPr>
        <w:t xml:space="preserve"> </w:t>
      </w:r>
    </w:p>
    <w:p w14:paraId="445E1C3C" w14:textId="564BDA5E" w:rsidR="00A6400D" w:rsidRPr="00576E95" w:rsidRDefault="00A6400D" w:rsidP="000B4D6F">
      <w:pPr>
        <w:pStyle w:val="ListParagraph"/>
        <w:numPr>
          <w:ilvl w:val="0"/>
          <w:numId w:val="32"/>
        </w:numPr>
        <w:spacing w:after="120"/>
        <w:ind w:left="1080"/>
        <w:rPr>
          <w:sz w:val="22"/>
          <w:szCs w:val="22"/>
        </w:rPr>
      </w:pPr>
      <w:r w:rsidRPr="00576E95">
        <w:rPr>
          <w:sz w:val="22"/>
          <w:szCs w:val="22"/>
        </w:rPr>
        <w:t>The STAR*ICU trial</w:t>
      </w:r>
      <w:r w:rsidR="00FA1804" w:rsidRPr="00576E95">
        <w:rPr>
          <w:sz w:val="22"/>
          <w:szCs w:val="22"/>
        </w:rPr>
        <w:t xml:space="preserve"> was a </w:t>
      </w:r>
      <w:r w:rsidR="0097213D" w:rsidRPr="00576E95">
        <w:rPr>
          <w:sz w:val="22"/>
          <w:szCs w:val="22"/>
        </w:rPr>
        <w:t xml:space="preserve">6-month, </w:t>
      </w:r>
      <w:r w:rsidR="00FA1804" w:rsidRPr="00576E95">
        <w:rPr>
          <w:sz w:val="22"/>
          <w:szCs w:val="22"/>
        </w:rPr>
        <w:t>cluster-randomized trial of active surveillance and expanded barrier pre</w:t>
      </w:r>
      <w:r w:rsidR="00DD500C" w:rsidRPr="00576E95">
        <w:rPr>
          <w:sz w:val="22"/>
          <w:szCs w:val="22"/>
        </w:rPr>
        <w:t>cau</w:t>
      </w:r>
      <w:r w:rsidR="00FA1804" w:rsidRPr="00576E95">
        <w:rPr>
          <w:sz w:val="22"/>
          <w:szCs w:val="22"/>
        </w:rPr>
        <w:t xml:space="preserve">tions for the prevention of MRSA and </w:t>
      </w:r>
      <w:r w:rsidR="00F01E11" w:rsidRPr="00576E95">
        <w:rPr>
          <w:sz w:val="22"/>
          <w:szCs w:val="22"/>
        </w:rPr>
        <w:t>vancomycin-resistant enterococci (</w:t>
      </w:r>
      <w:r w:rsidR="00FA1804" w:rsidRPr="00576E95">
        <w:rPr>
          <w:sz w:val="22"/>
          <w:szCs w:val="22"/>
        </w:rPr>
        <w:t>VRE</w:t>
      </w:r>
      <w:r w:rsidR="00F01E11" w:rsidRPr="00576E95">
        <w:rPr>
          <w:sz w:val="22"/>
          <w:szCs w:val="22"/>
        </w:rPr>
        <w:t>)</w:t>
      </w:r>
      <w:r w:rsidR="00FA1804" w:rsidRPr="00576E95">
        <w:rPr>
          <w:sz w:val="22"/>
          <w:szCs w:val="22"/>
        </w:rPr>
        <w:t xml:space="preserve"> transmission in </w:t>
      </w:r>
      <w:r w:rsidR="0097213D" w:rsidRPr="00576E95">
        <w:rPr>
          <w:sz w:val="22"/>
          <w:szCs w:val="22"/>
        </w:rPr>
        <w:t xml:space="preserve">adult </w:t>
      </w:r>
      <w:r w:rsidR="00FA1804" w:rsidRPr="00576E95">
        <w:rPr>
          <w:sz w:val="22"/>
          <w:szCs w:val="22"/>
        </w:rPr>
        <w:t>intensive care units</w:t>
      </w:r>
      <w:r w:rsidR="00EE31C4" w:rsidRPr="00576E95">
        <w:rPr>
          <w:sz w:val="22"/>
          <w:szCs w:val="22"/>
        </w:rPr>
        <w:t xml:space="preserve"> (ICUs)</w:t>
      </w:r>
      <w:r w:rsidR="00FA1804" w:rsidRPr="00576E95">
        <w:rPr>
          <w:sz w:val="22"/>
          <w:szCs w:val="22"/>
        </w:rPr>
        <w:t>.</w:t>
      </w:r>
      <w:r w:rsidR="00807A5A" w:rsidRPr="00576E95">
        <w:rPr>
          <w:sz w:val="22"/>
          <w:szCs w:val="22"/>
          <w:vertAlign w:val="superscript"/>
        </w:rPr>
        <w:t>9</w:t>
      </w:r>
      <w:r w:rsidR="00FA1804" w:rsidRPr="00576E95">
        <w:rPr>
          <w:sz w:val="22"/>
          <w:szCs w:val="22"/>
          <w:vertAlign w:val="superscript"/>
        </w:rPr>
        <w:t xml:space="preserve"> </w:t>
      </w:r>
      <w:r w:rsidR="00DD500C" w:rsidRPr="00576E95">
        <w:rPr>
          <w:sz w:val="22"/>
          <w:szCs w:val="22"/>
        </w:rPr>
        <w:t xml:space="preserve"> </w:t>
      </w:r>
      <w:r w:rsidR="0097213D" w:rsidRPr="00576E95">
        <w:rPr>
          <w:sz w:val="22"/>
          <w:szCs w:val="22"/>
        </w:rPr>
        <w:t xml:space="preserve">Intervention units implemented universal gloving for all patient contact until results of active surveillance tests for MRSA and VRE were known. Contact precautions were implemented for patients found to be colonized with MRSA or VRE. No change in the incidence of MRSA or VRE </w:t>
      </w:r>
      <w:r w:rsidR="0097213D" w:rsidRPr="00576E95">
        <w:rPr>
          <w:sz w:val="22"/>
          <w:szCs w:val="22"/>
        </w:rPr>
        <w:lastRenderedPageBreak/>
        <w:t>colonization was observed. The authors noted, however, that adherence to the use of contact precautions and universal gloving was less than required.</w:t>
      </w:r>
    </w:p>
    <w:p w14:paraId="01E76C92" w14:textId="60939F55" w:rsidR="00C772F7" w:rsidRPr="00576E95" w:rsidRDefault="00C772F7" w:rsidP="000B4D6F">
      <w:pPr>
        <w:pStyle w:val="ListParagraph"/>
        <w:numPr>
          <w:ilvl w:val="0"/>
          <w:numId w:val="32"/>
        </w:numPr>
        <w:spacing w:after="120"/>
        <w:ind w:left="1080"/>
        <w:rPr>
          <w:sz w:val="22"/>
          <w:szCs w:val="22"/>
        </w:rPr>
      </w:pPr>
      <w:r w:rsidRPr="00576E95">
        <w:rPr>
          <w:sz w:val="22"/>
          <w:szCs w:val="22"/>
        </w:rPr>
        <w:t xml:space="preserve">A retrospective </w:t>
      </w:r>
      <w:r w:rsidR="0051368B" w:rsidRPr="00576E95">
        <w:rPr>
          <w:sz w:val="22"/>
          <w:szCs w:val="22"/>
        </w:rPr>
        <w:t xml:space="preserve">study </w:t>
      </w:r>
      <w:r w:rsidR="004F3A15" w:rsidRPr="00576E95">
        <w:rPr>
          <w:sz w:val="22"/>
          <w:szCs w:val="22"/>
        </w:rPr>
        <w:t>observed reductions of 62</w:t>
      </w:r>
      <w:r w:rsidR="003116DA" w:rsidRPr="00576E95">
        <w:rPr>
          <w:sz w:val="22"/>
          <w:szCs w:val="22"/>
        </w:rPr>
        <w:t xml:space="preserve"> percent</w:t>
      </w:r>
      <w:r w:rsidR="004F3A15" w:rsidRPr="00576E95">
        <w:rPr>
          <w:sz w:val="22"/>
          <w:szCs w:val="22"/>
        </w:rPr>
        <w:t xml:space="preserve"> and 45</w:t>
      </w:r>
      <w:r w:rsidR="003116DA" w:rsidRPr="00576E95">
        <w:rPr>
          <w:sz w:val="22"/>
          <w:szCs w:val="22"/>
        </w:rPr>
        <w:t xml:space="preserve"> percent</w:t>
      </w:r>
      <w:r w:rsidR="004F3A15" w:rsidRPr="00576E95">
        <w:rPr>
          <w:sz w:val="22"/>
          <w:szCs w:val="22"/>
        </w:rPr>
        <w:t xml:space="preserve"> in healthcare-associated MRSA infections in ICUs and non-ICUs, respectively, in association with</w:t>
      </w:r>
      <w:r w:rsidR="0051368B" w:rsidRPr="00576E95">
        <w:rPr>
          <w:sz w:val="22"/>
          <w:szCs w:val="22"/>
        </w:rPr>
        <w:t xml:space="preserve"> </w:t>
      </w:r>
      <w:r w:rsidR="004F3A15" w:rsidRPr="00576E95">
        <w:rPr>
          <w:sz w:val="22"/>
          <w:szCs w:val="22"/>
        </w:rPr>
        <w:t>the introduction of</w:t>
      </w:r>
      <w:r w:rsidR="0051368B" w:rsidRPr="00576E95">
        <w:rPr>
          <w:sz w:val="22"/>
          <w:szCs w:val="22"/>
        </w:rPr>
        <w:t xml:space="preserve"> a “MRSA bundle,” consisting of active surveillance testing for MRSA, contact precautions, hand hygiene, and institutional culture change, across </w:t>
      </w:r>
      <w:r w:rsidRPr="00576E95">
        <w:rPr>
          <w:sz w:val="22"/>
          <w:szCs w:val="22"/>
        </w:rPr>
        <w:t xml:space="preserve">Veterans Affairs </w:t>
      </w:r>
      <w:r w:rsidR="0051368B" w:rsidRPr="00576E95">
        <w:rPr>
          <w:sz w:val="22"/>
          <w:szCs w:val="22"/>
        </w:rPr>
        <w:t>hospitals nationwide.</w:t>
      </w:r>
      <w:r w:rsidR="00AB13E0" w:rsidRPr="00576E95">
        <w:rPr>
          <w:sz w:val="22"/>
          <w:szCs w:val="22"/>
          <w:vertAlign w:val="superscript"/>
        </w:rPr>
        <w:t>2</w:t>
      </w:r>
      <w:r w:rsidRPr="00576E95">
        <w:rPr>
          <w:sz w:val="22"/>
          <w:szCs w:val="22"/>
        </w:rPr>
        <w:t xml:space="preserve"> </w:t>
      </w:r>
      <w:r w:rsidR="004F3A15" w:rsidRPr="00576E95">
        <w:rPr>
          <w:sz w:val="22"/>
          <w:szCs w:val="22"/>
        </w:rPr>
        <w:t>Rates of MRSA transmission were noted to decrease by 17</w:t>
      </w:r>
      <w:r w:rsidR="003116DA" w:rsidRPr="00576E95">
        <w:rPr>
          <w:sz w:val="22"/>
          <w:szCs w:val="22"/>
        </w:rPr>
        <w:t xml:space="preserve"> percent</w:t>
      </w:r>
      <w:r w:rsidR="004F3A15" w:rsidRPr="00576E95">
        <w:rPr>
          <w:sz w:val="22"/>
          <w:szCs w:val="22"/>
        </w:rPr>
        <w:t xml:space="preserve"> and 21</w:t>
      </w:r>
      <w:r w:rsidR="003116DA" w:rsidRPr="00576E95">
        <w:rPr>
          <w:sz w:val="22"/>
          <w:szCs w:val="22"/>
        </w:rPr>
        <w:t xml:space="preserve"> percent</w:t>
      </w:r>
      <w:r w:rsidR="004F3A15" w:rsidRPr="00576E95">
        <w:rPr>
          <w:sz w:val="22"/>
          <w:szCs w:val="22"/>
        </w:rPr>
        <w:t>, respectively, after the bundle was implemented. A subsequent mathematical modeling study estimated that contact precautions reduced MRSA transmission by 47</w:t>
      </w:r>
      <w:r w:rsidR="003116DA" w:rsidRPr="00576E95">
        <w:rPr>
          <w:sz w:val="22"/>
          <w:szCs w:val="22"/>
        </w:rPr>
        <w:t xml:space="preserve"> percent</w:t>
      </w:r>
      <w:r w:rsidR="00901834" w:rsidRPr="00576E95">
        <w:rPr>
          <w:sz w:val="22"/>
          <w:szCs w:val="22"/>
        </w:rPr>
        <w:t xml:space="preserve"> over a 10-year period</w:t>
      </w:r>
      <w:r w:rsidR="004F3A15" w:rsidRPr="00576E95">
        <w:rPr>
          <w:sz w:val="22"/>
          <w:szCs w:val="22"/>
        </w:rPr>
        <w:t>.</w:t>
      </w:r>
      <w:r w:rsidR="00C60E10" w:rsidRPr="00576E95">
        <w:rPr>
          <w:sz w:val="22"/>
          <w:szCs w:val="22"/>
          <w:vertAlign w:val="superscript"/>
        </w:rPr>
        <w:t>10</w:t>
      </w:r>
    </w:p>
    <w:p w14:paraId="2581DBCC" w14:textId="77619C36" w:rsidR="00BE6048" w:rsidRPr="00576E95" w:rsidRDefault="005E6DC4" w:rsidP="000B4D6F">
      <w:pPr>
        <w:pStyle w:val="ListParagraph"/>
        <w:numPr>
          <w:ilvl w:val="0"/>
          <w:numId w:val="32"/>
        </w:numPr>
        <w:spacing w:after="120"/>
        <w:ind w:left="1080"/>
        <w:rPr>
          <w:sz w:val="22"/>
          <w:szCs w:val="22"/>
        </w:rPr>
      </w:pPr>
      <w:r w:rsidRPr="00576E95">
        <w:rPr>
          <w:sz w:val="22"/>
          <w:szCs w:val="22"/>
        </w:rPr>
        <w:t>T</w:t>
      </w:r>
      <w:r w:rsidR="005339F8" w:rsidRPr="00576E95">
        <w:rPr>
          <w:sz w:val="22"/>
          <w:szCs w:val="22"/>
        </w:rPr>
        <w:t xml:space="preserve">he BUGG </w:t>
      </w:r>
      <w:r w:rsidR="00901834" w:rsidRPr="00576E95">
        <w:rPr>
          <w:sz w:val="22"/>
          <w:szCs w:val="22"/>
        </w:rPr>
        <w:t>s</w:t>
      </w:r>
      <w:r w:rsidR="00E01265" w:rsidRPr="00576E95">
        <w:rPr>
          <w:sz w:val="22"/>
          <w:szCs w:val="22"/>
        </w:rPr>
        <w:t xml:space="preserve">tudy was a cluster-randomized trial of </w:t>
      </w:r>
      <w:r w:rsidR="00A863A3" w:rsidRPr="00576E95">
        <w:rPr>
          <w:sz w:val="22"/>
          <w:szCs w:val="22"/>
        </w:rPr>
        <w:t xml:space="preserve">the effectiveness of universal </w:t>
      </w:r>
      <w:r w:rsidR="00E01265" w:rsidRPr="00576E95">
        <w:rPr>
          <w:sz w:val="22"/>
          <w:szCs w:val="22"/>
        </w:rPr>
        <w:t>gown and glove use</w:t>
      </w:r>
      <w:r w:rsidR="00F06E07" w:rsidRPr="00576E95">
        <w:rPr>
          <w:sz w:val="22"/>
          <w:szCs w:val="22"/>
        </w:rPr>
        <w:t xml:space="preserve"> for all patient contact in 20 ICUs.</w:t>
      </w:r>
      <w:r w:rsidR="002B3DBD" w:rsidRPr="00576E95">
        <w:rPr>
          <w:sz w:val="22"/>
          <w:szCs w:val="22"/>
          <w:vertAlign w:val="superscript"/>
        </w:rPr>
        <w:t>11</w:t>
      </w:r>
      <w:r w:rsidR="00F06E07" w:rsidRPr="00576E95">
        <w:rPr>
          <w:sz w:val="22"/>
          <w:szCs w:val="22"/>
        </w:rPr>
        <w:t xml:space="preserve"> </w:t>
      </w:r>
      <w:r w:rsidR="00E01265" w:rsidRPr="00576E95">
        <w:rPr>
          <w:sz w:val="22"/>
          <w:szCs w:val="22"/>
        </w:rPr>
        <w:t>The</w:t>
      </w:r>
      <w:r w:rsidR="00171490" w:rsidRPr="00576E95">
        <w:rPr>
          <w:sz w:val="22"/>
          <w:szCs w:val="22"/>
        </w:rPr>
        <w:t xml:space="preserve"> study </w:t>
      </w:r>
      <w:r w:rsidR="00AF6801" w:rsidRPr="00576E95">
        <w:rPr>
          <w:sz w:val="22"/>
          <w:szCs w:val="22"/>
        </w:rPr>
        <w:t>did not show</w:t>
      </w:r>
      <w:r w:rsidR="00171490" w:rsidRPr="00576E95">
        <w:rPr>
          <w:sz w:val="22"/>
          <w:szCs w:val="22"/>
        </w:rPr>
        <w:t xml:space="preserve"> </w:t>
      </w:r>
      <w:r w:rsidR="00E01265" w:rsidRPr="00576E95">
        <w:rPr>
          <w:sz w:val="22"/>
          <w:szCs w:val="22"/>
        </w:rPr>
        <w:t xml:space="preserve">a </w:t>
      </w:r>
      <w:r w:rsidR="00171490" w:rsidRPr="00576E95">
        <w:rPr>
          <w:sz w:val="22"/>
          <w:szCs w:val="22"/>
        </w:rPr>
        <w:t xml:space="preserve">difference </w:t>
      </w:r>
      <w:r w:rsidR="001471D1" w:rsidRPr="00576E95">
        <w:rPr>
          <w:sz w:val="22"/>
          <w:szCs w:val="22"/>
        </w:rPr>
        <w:t>in the primary outcome of MRSA and VRE acquisitio</w:t>
      </w:r>
      <w:r w:rsidR="00AF6801" w:rsidRPr="00576E95">
        <w:rPr>
          <w:sz w:val="22"/>
          <w:szCs w:val="22"/>
        </w:rPr>
        <w:t xml:space="preserve">n combined, </w:t>
      </w:r>
      <w:r w:rsidR="00E01265" w:rsidRPr="00576E95">
        <w:rPr>
          <w:sz w:val="22"/>
          <w:szCs w:val="22"/>
        </w:rPr>
        <w:t xml:space="preserve">but a significant decrease </w:t>
      </w:r>
      <w:r w:rsidR="00AF6801" w:rsidRPr="00576E95">
        <w:rPr>
          <w:sz w:val="22"/>
          <w:szCs w:val="22"/>
        </w:rPr>
        <w:t>in MRSA acquisition</w:t>
      </w:r>
      <w:r w:rsidR="00E01265" w:rsidRPr="00576E95">
        <w:rPr>
          <w:sz w:val="22"/>
          <w:szCs w:val="22"/>
        </w:rPr>
        <w:t>, a secondary outcome of the study, was observed</w:t>
      </w:r>
      <w:r w:rsidR="00B85784" w:rsidRPr="00576E95">
        <w:rPr>
          <w:sz w:val="22"/>
          <w:szCs w:val="22"/>
        </w:rPr>
        <w:t>. A</w:t>
      </w:r>
      <w:r w:rsidR="001471D1" w:rsidRPr="00576E95">
        <w:rPr>
          <w:sz w:val="22"/>
          <w:szCs w:val="22"/>
        </w:rPr>
        <w:t xml:space="preserve"> </w:t>
      </w:r>
      <w:r w:rsidR="00901834" w:rsidRPr="00576E95">
        <w:rPr>
          <w:sz w:val="22"/>
          <w:szCs w:val="22"/>
        </w:rPr>
        <w:t xml:space="preserve">subsequent </w:t>
      </w:r>
      <w:r w:rsidR="00E05AB7" w:rsidRPr="00576E95">
        <w:rPr>
          <w:sz w:val="22"/>
          <w:szCs w:val="22"/>
        </w:rPr>
        <w:t xml:space="preserve">mathematical </w:t>
      </w:r>
      <w:r w:rsidR="009215F0" w:rsidRPr="00576E95">
        <w:rPr>
          <w:sz w:val="22"/>
          <w:szCs w:val="22"/>
        </w:rPr>
        <w:t xml:space="preserve">modeling </w:t>
      </w:r>
      <w:r w:rsidR="00C11936" w:rsidRPr="00576E95">
        <w:rPr>
          <w:sz w:val="22"/>
          <w:szCs w:val="22"/>
        </w:rPr>
        <w:t xml:space="preserve">study using data from </w:t>
      </w:r>
      <w:r w:rsidR="009215F0" w:rsidRPr="00576E95">
        <w:rPr>
          <w:sz w:val="22"/>
          <w:szCs w:val="22"/>
        </w:rPr>
        <w:t>the BUGG study estimated</w:t>
      </w:r>
      <w:r w:rsidR="00E05AB7" w:rsidRPr="00576E95">
        <w:rPr>
          <w:sz w:val="22"/>
          <w:szCs w:val="22"/>
        </w:rPr>
        <w:t xml:space="preserve"> </w:t>
      </w:r>
      <w:r w:rsidR="009215F0" w:rsidRPr="00576E95">
        <w:rPr>
          <w:sz w:val="22"/>
          <w:szCs w:val="22"/>
        </w:rPr>
        <w:t>that 44</w:t>
      </w:r>
      <w:r w:rsidR="003116DA" w:rsidRPr="00576E95">
        <w:rPr>
          <w:sz w:val="22"/>
          <w:szCs w:val="22"/>
        </w:rPr>
        <w:t xml:space="preserve"> percent</w:t>
      </w:r>
      <w:r w:rsidR="009215F0" w:rsidRPr="00576E95">
        <w:rPr>
          <w:sz w:val="22"/>
          <w:szCs w:val="22"/>
        </w:rPr>
        <w:t xml:space="preserve"> of the observed reduction in </w:t>
      </w:r>
      <w:r w:rsidR="00E93B7D" w:rsidRPr="00576E95">
        <w:rPr>
          <w:sz w:val="22"/>
          <w:szCs w:val="22"/>
        </w:rPr>
        <w:t xml:space="preserve">MRSA acquisition </w:t>
      </w:r>
      <w:r w:rsidR="009215F0" w:rsidRPr="00576E95">
        <w:rPr>
          <w:sz w:val="22"/>
          <w:szCs w:val="22"/>
        </w:rPr>
        <w:t>was due</w:t>
      </w:r>
      <w:r w:rsidR="008D7C3A" w:rsidRPr="00576E95">
        <w:rPr>
          <w:sz w:val="22"/>
          <w:szCs w:val="22"/>
        </w:rPr>
        <w:t xml:space="preserve"> to the </w:t>
      </w:r>
      <w:r w:rsidR="009215F0" w:rsidRPr="00576E95">
        <w:rPr>
          <w:sz w:val="22"/>
          <w:szCs w:val="22"/>
        </w:rPr>
        <w:t>use of</w:t>
      </w:r>
      <w:r w:rsidR="008D7C3A" w:rsidRPr="00576E95">
        <w:rPr>
          <w:sz w:val="22"/>
          <w:szCs w:val="22"/>
        </w:rPr>
        <w:t xml:space="preserve"> gowns and gloves.</w:t>
      </w:r>
      <w:r w:rsidR="00630ACC" w:rsidRPr="00576E95">
        <w:rPr>
          <w:sz w:val="22"/>
          <w:szCs w:val="22"/>
          <w:vertAlign w:val="superscript"/>
        </w:rPr>
        <w:t>12</w:t>
      </w:r>
      <w:r w:rsidR="0048415E" w:rsidRPr="00576E95">
        <w:rPr>
          <w:sz w:val="22"/>
          <w:szCs w:val="22"/>
          <w:vertAlign w:val="superscript"/>
        </w:rPr>
        <w:t xml:space="preserve"> </w:t>
      </w:r>
      <w:r w:rsidR="00F810DE" w:rsidRPr="00576E95">
        <w:rPr>
          <w:sz w:val="22"/>
          <w:szCs w:val="22"/>
        </w:rPr>
        <w:t xml:space="preserve"> </w:t>
      </w:r>
    </w:p>
    <w:p w14:paraId="1CE348BC" w14:textId="5629656D" w:rsidR="00F809FC" w:rsidRPr="00474358" w:rsidDel="00C772F7" w:rsidRDefault="00F809FC" w:rsidP="000B4D6F">
      <w:pPr>
        <w:pStyle w:val="ListParagraph"/>
        <w:spacing w:after="120"/>
        <w:ind w:left="504"/>
        <w:rPr>
          <w:sz w:val="22"/>
          <w:szCs w:val="22"/>
        </w:rPr>
      </w:pPr>
      <w:r w:rsidRPr="00576E95">
        <w:rPr>
          <w:sz w:val="22"/>
          <w:szCs w:val="22"/>
        </w:rPr>
        <w:t xml:space="preserve">Several hospitals have reported outcomes </w:t>
      </w:r>
      <w:r w:rsidR="003D5651" w:rsidRPr="00576E95">
        <w:rPr>
          <w:sz w:val="22"/>
          <w:szCs w:val="22"/>
        </w:rPr>
        <w:t>observed after</w:t>
      </w:r>
      <w:r w:rsidRPr="00576E95">
        <w:rPr>
          <w:sz w:val="22"/>
          <w:szCs w:val="22"/>
        </w:rPr>
        <w:t xml:space="preserve"> discontinuation of routine use of contact precautions for MRSA. In these observational studies, increases in hospital-acquired MRSA infections were not identified. Of note, prior studies have reported that patients often do not develop MRSA infection until after discharge</w:t>
      </w:r>
      <w:r w:rsidR="00665223" w:rsidRPr="00576E95">
        <w:rPr>
          <w:sz w:val="22"/>
          <w:szCs w:val="22"/>
        </w:rPr>
        <w:t>.</w:t>
      </w:r>
      <w:r w:rsidR="00AD40C8" w:rsidRPr="00576E95">
        <w:rPr>
          <w:sz w:val="22"/>
          <w:szCs w:val="22"/>
          <w:vertAlign w:val="superscript"/>
        </w:rPr>
        <w:t>13</w:t>
      </w:r>
      <w:r w:rsidR="003D5651" w:rsidRPr="00576E95">
        <w:rPr>
          <w:sz w:val="22"/>
          <w:szCs w:val="22"/>
        </w:rPr>
        <w:t xml:space="preserve"> </w:t>
      </w:r>
      <w:r w:rsidR="00665223" w:rsidRPr="00576E95">
        <w:rPr>
          <w:sz w:val="22"/>
          <w:szCs w:val="22"/>
        </w:rPr>
        <w:t>S</w:t>
      </w:r>
      <w:r w:rsidR="003D5651" w:rsidRPr="00576E95">
        <w:rPr>
          <w:sz w:val="22"/>
          <w:szCs w:val="22"/>
        </w:rPr>
        <w:t>tudies</w:t>
      </w:r>
      <w:r w:rsidRPr="00576E95">
        <w:rPr>
          <w:sz w:val="22"/>
          <w:szCs w:val="22"/>
        </w:rPr>
        <w:t xml:space="preserve"> reported to date have not included assessment of post-discharge MRSA infections</w:t>
      </w:r>
      <w:r w:rsidR="003D5651" w:rsidRPr="00576E95">
        <w:rPr>
          <w:sz w:val="22"/>
          <w:szCs w:val="22"/>
        </w:rPr>
        <w:t xml:space="preserve"> after discontinuation of contact precautions</w:t>
      </w:r>
      <w:r w:rsidRPr="00576E95">
        <w:rPr>
          <w:sz w:val="22"/>
          <w:szCs w:val="22"/>
        </w:rPr>
        <w:t>. Additionally, most studies have not assessed the impact of discontinuation of contact precautions on MRSA transmission</w:t>
      </w:r>
      <w:r w:rsidR="003D5651" w:rsidRPr="00576E95">
        <w:rPr>
          <w:sz w:val="22"/>
          <w:szCs w:val="22"/>
        </w:rPr>
        <w:t>.</w:t>
      </w:r>
      <w:r w:rsidRPr="00576E95">
        <w:rPr>
          <w:sz w:val="22"/>
          <w:szCs w:val="22"/>
        </w:rPr>
        <w:t xml:space="preserve"> </w:t>
      </w:r>
      <w:r w:rsidR="003D5651" w:rsidRPr="00576E95">
        <w:rPr>
          <w:sz w:val="22"/>
          <w:szCs w:val="22"/>
        </w:rPr>
        <w:t xml:space="preserve">However, </w:t>
      </w:r>
      <w:r w:rsidRPr="00576E95">
        <w:rPr>
          <w:sz w:val="22"/>
          <w:szCs w:val="22"/>
        </w:rPr>
        <w:t>two small</w:t>
      </w:r>
      <w:r w:rsidR="00ED6A00" w:rsidRPr="00576E95">
        <w:rPr>
          <w:sz w:val="22"/>
          <w:szCs w:val="22"/>
        </w:rPr>
        <w:t>, single</w:t>
      </w:r>
      <w:r w:rsidR="00EE31C4" w:rsidRPr="00576E95">
        <w:rPr>
          <w:sz w:val="22"/>
          <w:szCs w:val="22"/>
        </w:rPr>
        <w:t>-</w:t>
      </w:r>
      <w:r w:rsidR="00ED6A00" w:rsidRPr="00576E95">
        <w:rPr>
          <w:sz w:val="22"/>
          <w:szCs w:val="22"/>
        </w:rPr>
        <w:t>center</w:t>
      </w:r>
      <w:r w:rsidRPr="00576E95">
        <w:rPr>
          <w:sz w:val="22"/>
          <w:szCs w:val="22"/>
        </w:rPr>
        <w:t xml:space="preserve"> </w:t>
      </w:r>
      <w:r w:rsidR="00665223" w:rsidRPr="00576E95">
        <w:rPr>
          <w:sz w:val="22"/>
          <w:szCs w:val="22"/>
        </w:rPr>
        <w:t xml:space="preserve">observational </w:t>
      </w:r>
      <w:r w:rsidRPr="00576E95">
        <w:rPr>
          <w:sz w:val="22"/>
          <w:szCs w:val="22"/>
        </w:rPr>
        <w:t>studies did not detect an increase in MRSA transmission after discontinuing contact precautions.</w:t>
      </w:r>
      <w:r w:rsidR="00D62D48" w:rsidRPr="00576E95">
        <w:rPr>
          <w:sz w:val="22"/>
          <w:szCs w:val="22"/>
          <w:vertAlign w:val="superscript"/>
        </w:rPr>
        <w:t>14,15</w:t>
      </w:r>
      <w:r w:rsidRPr="00576E95">
        <w:rPr>
          <w:sz w:val="22"/>
          <w:szCs w:val="22"/>
        </w:rPr>
        <w:t xml:space="preserve"> </w:t>
      </w:r>
    </w:p>
    <w:p w14:paraId="3D9C16AC" w14:textId="77777777" w:rsidR="00D82152" w:rsidRPr="00576E95" w:rsidRDefault="00D82152" w:rsidP="000B4D6F">
      <w:pPr>
        <w:pStyle w:val="ListParagraph"/>
        <w:numPr>
          <w:ilvl w:val="0"/>
          <w:numId w:val="28"/>
        </w:numPr>
        <w:spacing w:after="120"/>
        <w:ind w:left="504"/>
        <w:rPr>
          <w:sz w:val="22"/>
          <w:szCs w:val="22"/>
        </w:rPr>
      </w:pPr>
      <w:r w:rsidRPr="00576E95">
        <w:rPr>
          <w:sz w:val="22"/>
          <w:szCs w:val="22"/>
        </w:rPr>
        <w:t>The potential for unintended consequences and adverse outcomes associated with the use of contact precautions has been evaluated in several studies.</w:t>
      </w:r>
    </w:p>
    <w:p w14:paraId="39946424" w14:textId="5C868AAA" w:rsidR="00286CA7" w:rsidRPr="00576E95" w:rsidRDefault="00CF2701" w:rsidP="000B4D6F">
      <w:pPr>
        <w:pStyle w:val="ListParagraph"/>
        <w:numPr>
          <w:ilvl w:val="0"/>
          <w:numId w:val="32"/>
        </w:numPr>
        <w:spacing w:after="120"/>
        <w:ind w:left="1080"/>
        <w:rPr>
          <w:sz w:val="22"/>
          <w:szCs w:val="22"/>
        </w:rPr>
      </w:pPr>
      <w:r w:rsidRPr="00576E95">
        <w:rPr>
          <w:sz w:val="22"/>
          <w:szCs w:val="22"/>
        </w:rPr>
        <w:t>A</w:t>
      </w:r>
      <w:r w:rsidR="000065B0" w:rsidRPr="00576E95">
        <w:rPr>
          <w:sz w:val="22"/>
          <w:szCs w:val="22"/>
        </w:rPr>
        <w:t xml:space="preserve"> </w:t>
      </w:r>
      <w:r w:rsidR="00286CA7" w:rsidRPr="00576E95">
        <w:rPr>
          <w:sz w:val="22"/>
          <w:szCs w:val="22"/>
        </w:rPr>
        <w:t>systematic review of observational studies published in</w:t>
      </w:r>
      <w:r w:rsidRPr="00576E95">
        <w:rPr>
          <w:sz w:val="22"/>
          <w:szCs w:val="22"/>
        </w:rPr>
        <w:t xml:space="preserve"> 2009 </w:t>
      </w:r>
      <w:r w:rsidR="00286CA7" w:rsidRPr="00576E95">
        <w:rPr>
          <w:sz w:val="22"/>
          <w:szCs w:val="22"/>
        </w:rPr>
        <w:t>found an association between</w:t>
      </w:r>
      <w:r w:rsidR="000065B0" w:rsidRPr="00576E95">
        <w:rPr>
          <w:sz w:val="22"/>
          <w:szCs w:val="22"/>
        </w:rPr>
        <w:t xml:space="preserve"> contact precautions </w:t>
      </w:r>
      <w:r w:rsidR="00286CA7" w:rsidRPr="00576E95">
        <w:rPr>
          <w:sz w:val="22"/>
          <w:szCs w:val="22"/>
        </w:rPr>
        <w:t>and reduced patient-healthcare worker contact, changes in care that contribute to delays and non-infectious adverse events (e.g., falls, pressure injuries), increased symptoms of depression and anxiety, and decreased patient satisfaction.</w:t>
      </w:r>
      <w:r w:rsidR="009464F1" w:rsidRPr="00576E95">
        <w:rPr>
          <w:sz w:val="22"/>
          <w:szCs w:val="22"/>
          <w:vertAlign w:val="superscript"/>
        </w:rPr>
        <w:t>16</w:t>
      </w:r>
      <w:r w:rsidR="00D82152" w:rsidRPr="00576E95">
        <w:rPr>
          <w:sz w:val="22"/>
          <w:szCs w:val="22"/>
          <w:vertAlign w:val="superscript"/>
        </w:rPr>
        <w:t xml:space="preserve">  </w:t>
      </w:r>
    </w:p>
    <w:p w14:paraId="0027F3D7" w14:textId="0D24EF47" w:rsidR="000B4D6F" w:rsidRPr="00576E95" w:rsidRDefault="00576E95" w:rsidP="00576E95">
      <w:pPr>
        <w:pStyle w:val="ListParagraph"/>
        <w:numPr>
          <w:ilvl w:val="0"/>
          <w:numId w:val="32"/>
        </w:numPr>
        <w:spacing w:after="120"/>
        <w:ind w:left="1080"/>
        <w:rPr>
          <w:sz w:val="22"/>
          <w:szCs w:val="22"/>
        </w:rPr>
      </w:pPr>
      <w:r w:rsidRPr="00576E95">
        <w:rPr>
          <w:sz w:val="22"/>
          <w:szCs w:val="22"/>
        </w:rPr>
        <w:t>Adverse outcomes have not been identified in some more recent, higher-quality studies. The cluster-randomized BUGG study reported that universal gown and glove use decreased the frequency of healthcare personnel entry into patient rooms but had no significant impact on the rate of adverse events.</w:t>
      </w:r>
      <w:r w:rsidRPr="007478EA">
        <w:rPr>
          <w:sz w:val="22"/>
          <w:szCs w:val="22"/>
          <w:vertAlign w:val="superscript"/>
        </w:rPr>
        <w:t>11</w:t>
      </w:r>
      <w:r w:rsidRPr="00576E95">
        <w:rPr>
          <w:sz w:val="22"/>
          <w:szCs w:val="22"/>
        </w:rPr>
        <w:t xml:space="preserve"> A study that evaluated patients’ mental state upon entering the study found patients no more likely to develop depression, anxiety, or negative moods while on contact precautions.</w:t>
      </w:r>
      <w:r w:rsidRPr="00576E95">
        <w:rPr>
          <w:sz w:val="22"/>
          <w:szCs w:val="22"/>
          <w:vertAlign w:val="superscript"/>
        </w:rPr>
        <w:t>11,17</w:t>
      </w:r>
    </w:p>
    <w:p w14:paraId="19C47D1B" w14:textId="447B17B7" w:rsidR="000C2225" w:rsidRPr="00576E95" w:rsidRDefault="005D7819" w:rsidP="00576E95">
      <w:pPr>
        <w:pStyle w:val="Heading1"/>
        <w:rPr>
          <w:sz w:val="22"/>
          <w:szCs w:val="22"/>
        </w:rPr>
      </w:pPr>
      <w:r w:rsidRPr="00576E95">
        <w:rPr>
          <w:sz w:val="22"/>
          <w:szCs w:val="22"/>
        </w:rPr>
        <w:t xml:space="preserve">Interpretation of </w:t>
      </w:r>
      <w:r w:rsidRPr="00576E95">
        <w:t>the</w:t>
      </w:r>
      <w:r w:rsidRPr="00576E95">
        <w:rPr>
          <w:sz w:val="22"/>
          <w:szCs w:val="22"/>
        </w:rPr>
        <w:t xml:space="preserve"> Literature</w:t>
      </w:r>
    </w:p>
    <w:p w14:paraId="1F86CE87" w14:textId="3368BDD2" w:rsidR="005A2737" w:rsidRPr="00576E95" w:rsidRDefault="00063868" w:rsidP="00576E95">
      <w:pPr>
        <w:rPr>
          <w:sz w:val="22"/>
          <w:szCs w:val="22"/>
        </w:rPr>
      </w:pPr>
      <w:r w:rsidRPr="00576E95">
        <w:rPr>
          <w:sz w:val="22"/>
          <w:szCs w:val="22"/>
        </w:rPr>
        <w:t xml:space="preserve">The conflicting and incomplete data contribute to a </w:t>
      </w:r>
      <w:r w:rsidR="00A0210E" w:rsidRPr="00576E95">
        <w:rPr>
          <w:sz w:val="22"/>
          <w:szCs w:val="22"/>
        </w:rPr>
        <w:t>range</w:t>
      </w:r>
      <w:r w:rsidRPr="00576E95">
        <w:rPr>
          <w:sz w:val="22"/>
          <w:szCs w:val="22"/>
        </w:rPr>
        <w:t xml:space="preserve"> of interpretations </w:t>
      </w:r>
      <w:r w:rsidR="005A2737" w:rsidRPr="00576E95">
        <w:rPr>
          <w:sz w:val="22"/>
          <w:szCs w:val="22"/>
        </w:rPr>
        <w:t>and opinions regarding</w:t>
      </w:r>
      <w:r w:rsidRPr="00576E95">
        <w:rPr>
          <w:sz w:val="22"/>
          <w:szCs w:val="22"/>
        </w:rPr>
        <w:t xml:space="preserve"> if and how contact precautions should be used for prevention of MRSA transmission in acute care hospitals. </w:t>
      </w:r>
      <w:r w:rsidR="005A2737" w:rsidRPr="00576E95">
        <w:rPr>
          <w:sz w:val="22"/>
          <w:szCs w:val="22"/>
        </w:rPr>
        <w:t>This has led to a variety of practices in U</w:t>
      </w:r>
      <w:r w:rsidR="00EE31C4" w:rsidRPr="00576E95">
        <w:rPr>
          <w:sz w:val="22"/>
          <w:szCs w:val="22"/>
        </w:rPr>
        <w:t>.</w:t>
      </w:r>
      <w:r w:rsidR="005A2737" w:rsidRPr="00576E95">
        <w:rPr>
          <w:sz w:val="22"/>
          <w:szCs w:val="22"/>
        </w:rPr>
        <w:t>S</w:t>
      </w:r>
      <w:r w:rsidR="00EE31C4" w:rsidRPr="00576E95">
        <w:rPr>
          <w:sz w:val="22"/>
          <w:szCs w:val="22"/>
        </w:rPr>
        <w:t>.</w:t>
      </w:r>
      <w:r w:rsidR="005A2737" w:rsidRPr="00576E95">
        <w:rPr>
          <w:sz w:val="22"/>
          <w:szCs w:val="22"/>
        </w:rPr>
        <w:t xml:space="preserve"> hospitals, from use of contact precautions for all patients with MRSA to complete discontinuation of the use of contact precautions for MRSA. A third proposed approach is a “risk-based” strategy for use of contact precautions, where gowns and gloves are used in situations and settings within a hospital where the risk of contamination of healthcare personnel is greatest, potentially optimizing the benefits and minimizing potential risks and resource utilization.</w:t>
      </w:r>
      <w:r w:rsidR="000849B8" w:rsidRPr="00576E95">
        <w:rPr>
          <w:sz w:val="22"/>
          <w:szCs w:val="22"/>
          <w:vertAlign w:val="superscript"/>
        </w:rPr>
        <w:t>1,18</w:t>
      </w:r>
      <w:r w:rsidR="005A2737" w:rsidRPr="00576E95">
        <w:rPr>
          <w:sz w:val="22"/>
          <w:szCs w:val="22"/>
        </w:rPr>
        <w:t xml:space="preserve"> </w:t>
      </w:r>
    </w:p>
    <w:p w14:paraId="1D5731FF" w14:textId="71C86B89" w:rsidR="008C569D" w:rsidRPr="00576E95" w:rsidRDefault="008C569D" w:rsidP="00576E95">
      <w:pPr>
        <w:rPr>
          <w:sz w:val="22"/>
          <w:szCs w:val="22"/>
        </w:rPr>
      </w:pPr>
      <w:r w:rsidRPr="00576E95">
        <w:rPr>
          <w:rStyle w:val="cf01"/>
          <w:rFonts w:asciiTheme="minorHAnsi" w:hAnsiTheme="minorHAnsi" w:cstheme="minorHAnsi"/>
          <w:sz w:val="22"/>
          <w:szCs w:val="22"/>
        </w:rPr>
        <w:t>While current practice recommendations include the use of contact precautions for all patients known to be infected or colonized with MRSA as an essential practice for all hospitals, the recommendations provide considerations for modification of the use of contact precautions in hospitals that have strong horizontal infection prevention practices (e.g., hand hygiene, decolonization) and neither ongoing MRSA outbreaks nor high or increasing rates of MRSA infection.</w:t>
      </w:r>
      <w:r w:rsidR="00EF3D0B" w:rsidRPr="00576E95">
        <w:rPr>
          <w:rStyle w:val="cf01"/>
          <w:rFonts w:asciiTheme="minorHAnsi" w:hAnsiTheme="minorHAnsi" w:cstheme="minorHAnsi"/>
          <w:sz w:val="22"/>
          <w:szCs w:val="22"/>
          <w:vertAlign w:val="superscript"/>
        </w:rPr>
        <w:t>1</w:t>
      </w:r>
      <w:r w:rsidRPr="00576E95">
        <w:rPr>
          <w:rStyle w:val="cf01"/>
          <w:rFonts w:asciiTheme="minorHAnsi" w:hAnsiTheme="minorHAnsi" w:cstheme="minorHAnsi"/>
          <w:sz w:val="22"/>
          <w:szCs w:val="22"/>
        </w:rPr>
        <w:t xml:space="preserve"> Prior to modifying the use of contact precautions for some or all MRSA-colonized or MRSA-infected patients, such hospitals are encouraged to conduct a thoughtful MRSA risk assessment to determine the potential benefits and risks associated with contact precautions within the specific context of the hospital and its patient populations.  </w:t>
      </w:r>
      <w:r w:rsidRPr="00576E95">
        <w:rPr>
          <w:rStyle w:val="cf01"/>
          <w:rFonts w:asciiTheme="minorHAnsi" w:hAnsiTheme="minorHAnsi" w:cstheme="minorHAnsi"/>
          <w:sz w:val="22"/>
          <w:szCs w:val="22"/>
        </w:rPr>
        <w:lastRenderedPageBreak/>
        <w:t>Hospitals that choose not to use contact precautions for some or all patients with MRSA are encouraged to monitor for changes in rates of MRSA infection and/or transmission.</w:t>
      </w:r>
    </w:p>
    <w:p w14:paraId="6AB024B6" w14:textId="4C292CFA" w:rsidR="0024694A" w:rsidRPr="00576E95" w:rsidRDefault="007C6090" w:rsidP="00576E95">
      <w:pPr>
        <w:pStyle w:val="Heading1"/>
      </w:pPr>
      <w:r w:rsidRPr="00576E95">
        <w:t>Summary</w:t>
      </w:r>
    </w:p>
    <w:p w14:paraId="7EAFCDF4" w14:textId="5CFC20C0" w:rsidR="00BC30A3" w:rsidRPr="00576E95" w:rsidRDefault="008C569D" w:rsidP="00576E95">
      <w:pPr>
        <w:rPr>
          <w:sz w:val="22"/>
          <w:szCs w:val="22"/>
        </w:rPr>
      </w:pPr>
      <w:r w:rsidRPr="00576E95">
        <w:rPr>
          <w:rStyle w:val="cf01"/>
          <w:rFonts w:asciiTheme="minorHAnsi" w:hAnsiTheme="minorHAnsi" w:cstheme="minorHAnsi"/>
          <w:sz w:val="22"/>
          <w:szCs w:val="22"/>
        </w:rPr>
        <w:t xml:space="preserve">As part of a larger MRSA control program, contact precautions are recommended for patients in acute care hospitals who are colonized or infected with MRSA. </w:t>
      </w:r>
      <w:r w:rsidR="00B24C85" w:rsidRPr="00576E95">
        <w:rPr>
          <w:rStyle w:val="cf01"/>
          <w:rFonts w:asciiTheme="minorHAnsi" w:hAnsiTheme="minorHAnsi" w:cstheme="minorHAnsi"/>
          <w:sz w:val="22"/>
          <w:szCs w:val="22"/>
        </w:rPr>
        <w:t xml:space="preserve">Discontinuation of use of contact precautions for some or all MRSA-colonized or MRSA-infected patients </w:t>
      </w:r>
      <w:r w:rsidR="006B224C" w:rsidRPr="00576E95">
        <w:rPr>
          <w:rStyle w:val="cf01"/>
          <w:rFonts w:asciiTheme="minorHAnsi" w:hAnsiTheme="minorHAnsi" w:cstheme="minorHAnsi"/>
          <w:sz w:val="22"/>
          <w:szCs w:val="22"/>
        </w:rPr>
        <w:t xml:space="preserve">may be considered in locations or patient populations where the risk and outcomes of MRSA transmission are determined to be low. MRSA infection and/or transmission rates </w:t>
      </w:r>
      <w:r w:rsidR="00B24C85" w:rsidRPr="00576E95">
        <w:rPr>
          <w:rStyle w:val="cf01"/>
          <w:rFonts w:asciiTheme="minorHAnsi" w:hAnsiTheme="minorHAnsi" w:cstheme="minorHAnsi"/>
          <w:sz w:val="22"/>
          <w:szCs w:val="22"/>
        </w:rPr>
        <w:t xml:space="preserve">should be </w:t>
      </w:r>
      <w:r w:rsidR="006B224C" w:rsidRPr="00576E95">
        <w:rPr>
          <w:rStyle w:val="cf01"/>
          <w:rFonts w:asciiTheme="minorHAnsi" w:hAnsiTheme="minorHAnsi" w:cstheme="minorHAnsi"/>
          <w:sz w:val="22"/>
          <w:szCs w:val="22"/>
        </w:rPr>
        <w:t xml:space="preserve">monitored closely if the use of contact precautions is discontinued. </w:t>
      </w:r>
      <w:r w:rsidR="003823AE" w:rsidRPr="00474358">
        <w:rPr>
          <w:rStyle w:val="cf01"/>
          <w:rFonts w:asciiTheme="minorHAnsi" w:hAnsiTheme="minorHAnsi" w:cstheme="minorHAnsi"/>
          <w:sz w:val="22"/>
          <w:szCs w:val="22"/>
        </w:rPr>
        <w:t xml:space="preserve">It </w:t>
      </w:r>
      <w:r w:rsidR="006B224C" w:rsidRPr="00576E95">
        <w:rPr>
          <w:rStyle w:val="cf01"/>
          <w:rFonts w:asciiTheme="minorHAnsi" w:hAnsiTheme="minorHAnsi" w:cstheme="minorHAnsi"/>
          <w:sz w:val="22"/>
          <w:szCs w:val="22"/>
        </w:rPr>
        <w:t xml:space="preserve">is </w:t>
      </w:r>
      <w:r w:rsidR="003823AE" w:rsidRPr="00576E95">
        <w:rPr>
          <w:rStyle w:val="cf01"/>
          <w:rFonts w:asciiTheme="minorHAnsi" w:hAnsiTheme="minorHAnsi" w:cstheme="minorHAnsi"/>
          <w:sz w:val="22"/>
          <w:szCs w:val="22"/>
        </w:rPr>
        <w:t>important to review the references below and continue to follow new published evidence and guidelines related to this topic.</w:t>
      </w:r>
    </w:p>
    <w:p w14:paraId="0B6E3A9E" w14:textId="3F060CA4" w:rsidR="00674428" w:rsidRPr="00576E95" w:rsidRDefault="00674428">
      <w:pPr>
        <w:rPr>
          <w:sz w:val="22"/>
          <w:szCs w:val="22"/>
        </w:rPr>
      </w:pPr>
      <w:r w:rsidRPr="00576E95">
        <w:rPr>
          <w:sz w:val="22"/>
          <w:szCs w:val="22"/>
        </w:rPr>
        <w:br w:type="page"/>
      </w:r>
    </w:p>
    <w:p w14:paraId="7079B822" w14:textId="77777777" w:rsidR="00851534" w:rsidRPr="00576E95" w:rsidRDefault="00851534">
      <w:pPr>
        <w:rPr>
          <w:sz w:val="22"/>
          <w:szCs w:val="22"/>
        </w:rPr>
        <w:sectPr w:rsidR="00851534" w:rsidRPr="00576E95" w:rsidSect="005279C7">
          <w:footerReference w:type="default" r:id="rId14"/>
          <w:headerReference w:type="first" r:id="rId15"/>
          <w:footerReference w:type="first" r:id="rId16"/>
          <w:endnotePr>
            <w:numFmt w:val="decimal"/>
          </w:endnotePr>
          <w:type w:val="continuous"/>
          <w:pgSz w:w="12240" w:h="15840"/>
          <w:pgMar w:top="720" w:right="720" w:bottom="720" w:left="720" w:header="0" w:footer="432" w:gutter="0"/>
          <w:cols w:space="720"/>
          <w:titlePg/>
          <w:docGrid w:linePitch="360"/>
        </w:sectPr>
      </w:pPr>
    </w:p>
    <w:p w14:paraId="244A5503" w14:textId="77777777" w:rsidR="002855DA" w:rsidRPr="00576E95" w:rsidRDefault="002855DA" w:rsidP="003F04C2">
      <w:pPr>
        <w:pStyle w:val="RefList"/>
        <w:ind w:left="360"/>
        <w:rPr>
          <w:sz w:val="22"/>
          <w:szCs w:val="22"/>
        </w:rPr>
      </w:pPr>
      <w:r w:rsidRPr="00576E95">
        <w:rPr>
          <w:sz w:val="22"/>
          <w:szCs w:val="22"/>
        </w:rPr>
        <w:lastRenderedPageBreak/>
        <w:t xml:space="preserve">Popovich KJ, Aureden K, Ham DC, et al. SHEA/IDSA/APIC Practice Recommendation: Strategies to prevent methicillin-resistant </w:t>
      </w:r>
      <w:r w:rsidRPr="00576E95">
        <w:rPr>
          <w:i/>
          <w:iCs/>
          <w:sz w:val="22"/>
          <w:szCs w:val="22"/>
        </w:rPr>
        <w:t>Staphylococcus aureus</w:t>
      </w:r>
      <w:r w:rsidRPr="00576E95">
        <w:rPr>
          <w:sz w:val="22"/>
          <w:szCs w:val="22"/>
        </w:rPr>
        <w:t xml:space="preserve"> transmission and infection in acute-care hospitals: 2022 Update. Infect Control Hosp Epidemiol. 2023 Jul;44(7):1039-1067. PMID: 37381690. </w:t>
      </w:r>
    </w:p>
    <w:p w14:paraId="52AC0BD6" w14:textId="77777777" w:rsidR="002855DA" w:rsidRPr="00576E95" w:rsidRDefault="002855DA" w:rsidP="003F04C2">
      <w:pPr>
        <w:pStyle w:val="RefList"/>
        <w:ind w:left="360"/>
        <w:rPr>
          <w:sz w:val="22"/>
          <w:szCs w:val="22"/>
        </w:rPr>
      </w:pPr>
      <w:r w:rsidRPr="00576E95">
        <w:rPr>
          <w:sz w:val="22"/>
          <w:szCs w:val="22"/>
        </w:rPr>
        <w:t xml:space="preserve">Jain R, Kralovic SM, Evans ME, et al. Veterans Affairs initiative to prevent methicillin-resistant </w:t>
      </w:r>
      <w:r w:rsidRPr="00576E95">
        <w:rPr>
          <w:i/>
          <w:iCs/>
          <w:sz w:val="22"/>
          <w:szCs w:val="22"/>
        </w:rPr>
        <w:t>Staphylococcus aureus</w:t>
      </w:r>
      <w:r w:rsidRPr="00576E95">
        <w:rPr>
          <w:sz w:val="22"/>
          <w:szCs w:val="22"/>
        </w:rPr>
        <w:t xml:space="preserve"> infections. N Engl J Med. 2011 Apr 14;364(15):1419-30. PMID: 21488764.</w:t>
      </w:r>
    </w:p>
    <w:p w14:paraId="53C0B202" w14:textId="4F550E5D" w:rsidR="00B04820" w:rsidRPr="00576E95" w:rsidRDefault="0043038D" w:rsidP="003F04C2">
      <w:pPr>
        <w:pStyle w:val="RefList"/>
        <w:ind w:left="360"/>
        <w:rPr>
          <w:sz w:val="22"/>
          <w:szCs w:val="22"/>
        </w:rPr>
      </w:pPr>
      <w:r w:rsidRPr="00576E95">
        <w:rPr>
          <w:sz w:val="22"/>
          <w:szCs w:val="22"/>
        </w:rPr>
        <w:t xml:space="preserve">Infection Control Guidance: Preventing Methicillin-resistant </w:t>
      </w:r>
      <w:r w:rsidRPr="00576E95">
        <w:rPr>
          <w:i/>
          <w:iCs/>
          <w:sz w:val="22"/>
          <w:szCs w:val="22"/>
        </w:rPr>
        <w:t>Staphylococcus aureus</w:t>
      </w:r>
      <w:r w:rsidRPr="00576E95">
        <w:rPr>
          <w:sz w:val="22"/>
          <w:szCs w:val="22"/>
        </w:rPr>
        <w:t xml:space="preserve"> (MRSA) in Healthcare Facilities. Centers for Disease Control and Prevention. Methicillin-resistant </w:t>
      </w:r>
      <w:r w:rsidRPr="00576E95">
        <w:rPr>
          <w:i/>
          <w:iCs/>
          <w:sz w:val="22"/>
          <w:szCs w:val="22"/>
        </w:rPr>
        <w:t>Staphylococcus aureus</w:t>
      </w:r>
      <w:r w:rsidRPr="00576E95">
        <w:rPr>
          <w:sz w:val="22"/>
          <w:szCs w:val="22"/>
        </w:rPr>
        <w:t xml:space="preserve"> (MRSA). </w:t>
      </w:r>
      <w:hyperlink r:id="rId17" w:history="1">
        <w:r w:rsidR="00B04820" w:rsidRPr="00576E95">
          <w:rPr>
            <w:rStyle w:val="Hyperlink"/>
            <w:sz w:val="22"/>
            <w:szCs w:val="22"/>
          </w:rPr>
          <w:t>https://www.cdc.gov/mrsa/hcp/infection-control/index.html.</w:t>
        </w:r>
      </w:hyperlink>
      <w:r w:rsidR="00A215A8" w:rsidRPr="00576E95">
        <w:rPr>
          <w:sz w:val="22"/>
          <w:szCs w:val="22"/>
        </w:rPr>
        <w:t xml:space="preserve"> Accessed July</w:t>
      </w:r>
      <w:r w:rsidR="00731FEB" w:rsidRPr="00576E95">
        <w:rPr>
          <w:sz w:val="22"/>
          <w:szCs w:val="22"/>
        </w:rPr>
        <w:t xml:space="preserve"> 31, 2024.</w:t>
      </w:r>
    </w:p>
    <w:p w14:paraId="208101AC" w14:textId="207E4D97" w:rsidR="0043038D" w:rsidRPr="00576E95" w:rsidRDefault="009934E7" w:rsidP="003F04C2">
      <w:pPr>
        <w:pStyle w:val="RefList"/>
        <w:ind w:left="360"/>
        <w:rPr>
          <w:sz w:val="22"/>
          <w:szCs w:val="22"/>
        </w:rPr>
      </w:pPr>
      <w:r w:rsidRPr="00576E95">
        <w:rPr>
          <w:sz w:val="22"/>
          <w:szCs w:val="22"/>
        </w:rPr>
        <w:t xml:space="preserve">Hardy KJ, </w:t>
      </w:r>
      <w:r w:rsidR="001B78BF" w:rsidRPr="00576E95">
        <w:rPr>
          <w:sz w:val="22"/>
          <w:szCs w:val="22"/>
        </w:rPr>
        <w:t xml:space="preserve">Oppenheim BA, Gossain S, et al. A study of the relationship between environmental contamination with methicillin-resistant </w:t>
      </w:r>
      <w:r w:rsidR="001B78BF" w:rsidRPr="00576E95">
        <w:rPr>
          <w:i/>
          <w:iCs/>
          <w:sz w:val="22"/>
          <w:szCs w:val="22"/>
        </w:rPr>
        <w:t>Staphylococcus aureus</w:t>
      </w:r>
      <w:r w:rsidR="00C238F4" w:rsidRPr="00576E95">
        <w:rPr>
          <w:sz w:val="22"/>
          <w:szCs w:val="22"/>
        </w:rPr>
        <w:t xml:space="preserve"> (MRSA) and patients’ acquisition of MRSA.</w:t>
      </w:r>
      <w:r w:rsidR="0043038D" w:rsidRPr="00576E95">
        <w:rPr>
          <w:sz w:val="22"/>
          <w:szCs w:val="22"/>
        </w:rPr>
        <w:t xml:space="preserve"> </w:t>
      </w:r>
      <w:r w:rsidR="0079325A" w:rsidRPr="00576E95">
        <w:rPr>
          <w:sz w:val="22"/>
          <w:szCs w:val="22"/>
        </w:rPr>
        <w:t>Infect Control Hosp Epidemiol. 2006 Feb;27</w:t>
      </w:r>
      <w:r w:rsidR="001B6C97" w:rsidRPr="00576E95">
        <w:rPr>
          <w:sz w:val="22"/>
          <w:szCs w:val="22"/>
        </w:rPr>
        <w:t>(2):127-32. PMID: 16465628.</w:t>
      </w:r>
    </w:p>
    <w:p w14:paraId="2A086616" w14:textId="5D62DD8D" w:rsidR="00F1268C" w:rsidRPr="00576E95" w:rsidRDefault="00D3677E" w:rsidP="003F04C2">
      <w:pPr>
        <w:pStyle w:val="RefList"/>
        <w:ind w:left="360"/>
        <w:rPr>
          <w:sz w:val="22"/>
          <w:szCs w:val="22"/>
        </w:rPr>
      </w:pPr>
      <w:r w:rsidRPr="00576E95">
        <w:rPr>
          <w:sz w:val="22"/>
          <w:szCs w:val="22"/>
        </w:rPr>
        <w:t>W</w:t>
      </w:r>
      <w:r w:rsidR="00711A40" w:rsidRPr="00576E95">
        <w:rPr>
          <w:sz w:val="22"/>
          <w:szCs w:val="22"/>
        </w:rPr>
        <w:t>ol</w:t>
      </w:r>
      <w:r w:rsidRPr="00576E95">
        <w:rPr>
          <w:sz w:val="22"/>
          <w:szCs w:val="22"/>
        </w:rPr>
        <w:t>fensberger</w:t>
      </w:r>
      <w:r w:rsidR="009D2E64" w:rsidRPr="00576E95">
        <w:rPr>
          <w:sz w:val="22"/>
          <w:szCs w:val="22"/>
        </w:rPr>
        <w:t xml:space="preserve"> A, Mang N, Gibson KE, et al. Understanding short-term transmission dynamics of methicillin-resistant </w:t>
      </w:r>
      <w:r w:rsidR="009D2E64" w:rsidRPr="00576E95">
        <w:rPr>
          <w:i/>
          <w:iCs/>
          <w:sz w:val="22"/>
          <w:szCs w:val="22"/>
        </w:rPr>
        <w:t>Staphylococcus aureus</w:t>
      </w:r>
      <w:r w:rsidR="009D2E64" w:rsidRPr="00576E95">
        <w:rPr>
          <w:sz w:val="22"/>
          <w:szCs w:val="22"/>
        </w:rPr>
        <w:t xml:space="preserve"> in the patient room. </w:t>
      </w:r>
      <w:r w:rsidR="00CD2CB4" w:rsidRPr="00576E95">
        <w:rPr>
          <w:sz w:val="22"/>
          <w:szCs w:val="22"/>
        </w:rPr>
        <w:t>Infect Control Hosp Epidemiol. 2022 Sep;</w:t>
      </w:r>
      <w:r w:rsidR="00711A40" w:rsidRPr="00576E95">
        <w:rPr>
          <w:sz w:val="22"/>
          <w:szCs w:val="22"/>
        </w:rPr>
        <w:t>43(9):1147-54. PMID: 34448445.</w:t>
      </w:r>
    </w:p>
    <w:p w14:paraId="0CB4486E" w14:textId="1FC353A5" w:rsidR="00711A40" w:rsidRPr="00576E95" w:rsidRDefault="00392CA3" w:rsidP="003F04C2">
      <w:pPr>
        <w:pStyle w:val="RefList"/>
        <w:ind w:left="360"/>
        <w:rPr>
          <w:sz w:val="22"/>
          <w:szCs w:val="22"/>
        </w:rPr>
      </w:pPr>
      <w:r w:rsidRPr="00576E95">
        <w:rPr>
          <w:sz w:val="22"/>
          <w:szCs w:val="22"/>
        </w:rPr>
        <w:t>Tanner WD, Leecaster MK, Shang Y, et al. Environmental contamination of contact precaution and non-contact precau</w:t>
      </w:r>
      <w:r w:rsidR="001039AD" w:rsidRPr="00576E95">
        <w:rPr>
          <w:sz w:val="22"/>
          <w:szCs w:val="22"/>
        </w:rPr>
        <w:t>tion patient rooms in six acute care facilities. Clin Infect Dis. 2021 Jan 29</w:t>
      </w:r>
      <w:r w:rsidR="00400843" w:rsidRPr="00576E95">
        <w:rPr>
          <w:sz w:val="22"/>
          <w:szCs w:val="22"/>
        </w:rPr>
        <w:t>;72(Suppl 1):S8-16. PMID: 335</w:t>
      </w:r>
      <w:r w:rsidR="00836ABF" w:rsidRPr="00576E95">
        <w:rPr>
          <w:sz w:val="22"/>
          <w:szCs w:val="22"/>
        </w:rPr>
        <w:t>12527.</w:t>
      </w:r>
    </w:p>
    <w:p w14:paraId="0202E55D" w14:textId="77CF1015" w:rsidR="008D6CE6" w:rsidRPr="00576E95" w:rsidRDefault="00BC054B" w:rsidP="003F04C2">
      <w:pPr>
        <w:pStyle w:val="RefList"/>
        <w:ind w:left="360"/>
        <w:rPr>
          <w:sz w:val="22"/>
          <w:szCs w:val="22"/>
        </w:rPr>
      </w:pPr>
      <w:r w:rsidRPr="00576E95">
        <w:rPr>
          <w:sz w:val="22"/>
          <w:szCs w:val="22"/>
        </w:rPr>
        <w:t>O’Hara LM, Calfee DP, Miller LG, et al. Optimizing contact precautions to curb the spread of antibiotic-resistant bacteria in hospitals</w:t>
      </w:r>
      <w:r w:rsidR="001C4CD2" w:rsidRPr="00576E95">
        <w:rPr>
          <w:sz w:val="22"/>
          <w:szCs w:val="22"/>
        </w:rPr>
        <w:t>: a multicenter cohort study to identify patient characteristics and healthcare personnel interactions associated with transmission of methicil</w:t>
      </w:r>
      <w:r w:rsidR="0040796D" w:rsidRPr="00576E95">
        <w:rPr>
          <w:sz w:val="22"/>
          <w:szCs w:val="22"/>
        </w:rPr>
        <w:t xml:space="preserve">lin-resistant </w:t>
      </w:r>
      <w:r w:rsidR="0040796D" w:rsidRPr="00576E95">
        <w:rPr>
          <w:i/>
          <w:iCs/>
          <w:sz w:val="22"/>
          <w:szCs w:val="22"/>
        </w:rPr>
        <w:t>Staphylococcus aureus</w:t>
      </w:r>
      <w:r w:rsidR="0040796D" w:rsidRPr="00576E95">
        <w:rPr>
          <w:sz w:val="22"/>
          <w:szCs w:val="22"/>
        </w:rPr>
        <w:t xml:space="preserve">. </w:t>
      </w:r>
      <w:r w:rsidR="00E561DE" w:rsidRPr="00576E95">
        <w:rPr>
          <w:sz w:val="22"/>
          <w:szCs w:val="22"/>
        </w:rPr>
        <w:t>Clin Infect Dis. 2019 Sep 13;69(Suppl 3):S171</w:t>
      </w:r>
      <w:r w:rsidR="005606A5" w:rsidRPr="00576E95">
        <w:rPr>
          <w:sz w:val="22"/>
          <w:szCs w:val="22"/>
        </w:rPr>
        <w:t>-7. PMID: 31517979.</w:t>
      </w:r>
    </w:p>
    <w:p w14:paraId="4F1E006A" w14:textId="10725CC6" w:rsidR="000426D5" w:rsidRPr="00576E95" w:rsidRDefault="008C1622" w:rsidP="003F04C2">
      <w:pPr>
        <w:pStyle w:val="RefList"/>
        <w:ind w:left="360"/>
        <w:rPr>
          <w:sz w:val="22"/>
          <w:szCs w:val="22"/>
        </w:rPr>
      </w:pPr>
      <w:r w:rsidRPr="00576E95">
        <w:rPr>
          <w:sz w:val="22"/>
          <w:szCs w:val="22"/>
        </w:rPr>
        <w:t>Adediran TY, Robinson GL, Johnson JK, et al. Factors ass</w:t>
      </w:r>
      <w:r w:rsidR="00080713" w:rsidRPr="00576E95">
        <w:rPr>
          <w:sz w:val="22"/>
          <w:szCs w:val="22"/>
        </w:rPr>
        <w:t>ociated with patients-to-healthcare personnel (HCP) and HCP-to</w:t>
      </w:r>
      <w:r w:rsidR="001A7EB1" w:rsidRPr="00576E95">
        <w:rPr>
          <w:sz w:val="22"/>
          <w:szCs w:val="22"/>
        </w:rPr>
        <w:t xml:space="preserve">-subsequent patient transmission of methicillin-resistant </w:t>
      </w:r>
      <w:r w:rsidR="001A7EB1" w:rsidRPr="00576E95">
        <w:rPr>
          <w:i/>
          <w:iCs/>
          <w:sz w:val="22"/>
          <w:szCs w:val="22"/>
        </w:rPr>
        <w:t>Staphylococcus aureus</w:t>
      </w:r>
      <w:r w:rsidR="001A7EB1" w:rsidRPr="00576E95">
        <w:rPr>
          <w:sz w:val="22"/>
          <w:szCs w:val="22"/>
        </w:rPr>
        <w:t xml:space="preserve">. Infect Control Hosp Epidemiol. </w:t>
      </w:r>
      <w:r w:rsidR="008C399B" w:rsidRPr="00576E95">
        <w:rPr>
          <w:sz w:val="22"/>
          <w:szCs w:val="22"/>
        </w:rPr>
        <w:t xml:space="preserve">2024 May;45(5):583-9. </w:t>
      </w:r>
      <w:r w:rsidR="00E54032" w:rsidRPr="00576E95">
        <w:rPr>
          <w:sz w:val="22"/>
          <w:szCs w:val="22"/>
        </w:rPr>
        <w:t xml:space="preserve">PMID: </w:t>
      </w:r>
      <w:r w:rsidR="00AC19E7" w:rsidRPr="00576E95">
        <w:rPr>
          <w:sz w:val="22"/>
          <w:szCs w:val="22"/>
        </w:rPr>
        <w:t>382</w:t>
      </w:r>
      <w:r w:rsidR="004D2789" w:rsidRPr="00576E95">
        <w:rPr>
          <w:sz w:val="22"/>
          <w:szCs w:val="22"/>
        </w:rPr>
        <w:t>34192.</w:t>
      </w:r>
    </w:p>
    <w:p w14:paraId="007D455F" w14:textId="15CCC4D3" w:rsidR="0009224F" w:rsidRPr="00576E95" w:rsidRDefault="00E951A6" w:rsidP="003F04C2">
      <w:pPr>
        <w:pStyle w:val="RefList"/>
        <w:ind w:left="360"/>
        <w:rPr>
          <w:sz w:val="22"/>
          <w:szCs w:val="22"/>
        </w:rPr>
      </w:pPr>
      <w:r w:rsidRPr="00576E95">
        <w:rPr>
          <w:sz w:val="22"/>
          <w:szCs w:val="22"/>
        </w:rPr>
        <w:t xml:space="preserve">Huskins WC, </w:t>
      </w:r>
      <w:r w:rsidR="004646BC" w:rsidRPr="00576E95">
        <w:rPr>
          <w:sz w:val="22"/>
          <w:szCs w:val="22"/>
        </w:rPr>
        <w:t xml:space="preserve">Huckabee CM, O’Grady NP, et al. </w:t>
      </w:r>
      <w:r w:rsidR="00E722FF" w:rsidRPr="00576E95">
        <w:rPr>
          <w:sz w:val="22"/>
          <w:szCs w:val="22"/>
        </w:rPr>
        <w:t xml:space="preserve">Intervention to reduce transmission of resistant bacteria in intensive care. N Engl J Med. </w:t>
      </w:r>
      <w:r w:rsidR="007000F5" w:rsidRPr="00576E95">
        <w:rPr>
          <w:sz w:val="22"/>
          <w:szCs w:val="22"/>
        </w:rPr>
        <w:t xml:space="preserve">2011 Apr 14;364(15):1407-18. PMID: </w:t>
      </w:r>
      <w:r w:rsidR="00807A5A" w:rsidRPr="00576E95">
        <w:rPr>
          <w:sz w:val="22"/>
          <w:szCs w:val="22"/>
        </w:rPr>
        <w:t>21488763.</w:t>
      </w:r>
    </w:p>
    <w:p w14:paraId="67547636" w14:textId="2E8B881E" w:rsidR="00157A28" w:rsidRPr="00576E95" w:rsidRDefault="00B724F5" w:rsidP="003F04C2">
      <w:pPr>
        <w:pStyle w:val="RefList"/>
        <w:ind w:left="360"/>
        <w:rPr>
          <w:sz w:val="22"/>
          <w:szCs w:val="22"/>
        </w:rPr>
      </w:pPr>
      <w:r w:rsidRPr="00576E95">
        <w:rPr>
          <w:sz w:val="22"/>
          <w:szCs w:val="22"/>
        </w:rPr>
        <w:t xml:space="preserve">Khader K, Thomas A, Stevens V, et al. Association between contact precautions and transmission of methicillin-resistant </w:t>
      </w:r>
      <w:r w:rsidRPr="00576E95">
        <w:rPr>
          <w:i/>
          <w:iCs/>
          <w:sz w:val="22"/>
          <w:szCs w:val="22"/>
        </w:rPr>
        <w:t>Staphylococcus aureus</w:t>
      </w:r>
      <w:r w:rsidRPr="00576E95">
        <w:rPr>
          <w:sz w:val="22"/>
          <w:szCs w:val="22"/>
        </w:rPr>
        <w:t xml:space="preserve"> in Veterans Affairs Hospitals. JAMA Netw Open. 2021 Mar 1;4(3):e210971. PMID: 33720369.</w:t>
      </w:r>
    </w:p>
    <w:p w14:paraId="5BF5D5A0" w14:textId="5F3F6D69" w:rsidR="00ED451C" w:rsidRPr="00576E95" w:rsidRDefault="00ED451C" w:rsidP="003F04C2">
      <w:pPr>
        <w:pStyle w:val="RefList"/>
        <w:ind w:left="360"/>
        <w:rPr>
          <w:sz w:val="22"/>
          <w:szCs w:val="22"/>
        </w:rPr>
      </w:pPr>
      <w:r w:rsidRPr="00576E95">
        <w:rPr>
          <w:sz w:val="22"/>
          <w:szCs w:val="22"/>
        </w:rPr>
        <w:t>Harris AD, Pineles L, Belton B, et al. Universal glove and gown use and acquisition of antibiotic-resistant bacteria in the ICU: a randomized trial. JAMA. 2013 Oct 16;310(15):1571-80. PMID: 24097234.</w:t>
      </w:r>
    </w:p>
    <w:p w14:paraId="47F45407" w14:textId="28BFA3CD" w:rsidR="005B7D2E" w:rsidRPr="00576E95" w:rsidRDefault="005B7D2E" w:rsidP="003F04C2">
      <w:pPr>
        <w:pStyle w:val="RefList"/>
        <w:ind w:left="360"/>
        <w:rPr>
          <w:sz w:val="22"/>
          <w:szCs w:val="22"/>
        </w:rPr>
      </w:pPr>
      <w:r w:rsidRPr="00576E95">
        <w:rPr>
          <w:sz w:val="22"/>
          <w:szCs w:val="22"/>
        </w:rPr>
        <w:t>Harris AD, Morgan DJ, Pineles L, et al. Deconstructing the relative benefits of a universal glove and gown intervention on MRSA acquisition. J Hosp Infect. 2017 May;96(1):49-53. PMID: 28410760.</w:t>
      </w:r>
    </w:p>
    <w:p w14:paraId="46F4E4DD" w14:textId="1877265D" w:rsidR="00AD40C8" w:rsidRPr="00576E95" w:rsidRDefault="00187381" w:rsidP="003F04C2">
      <w:pPr>
        <w:pStyle w:val="RefList"/>
        <w:ind w:left="360"/>
        <w:rPr>
          <w:sz w:val="22"/>
          <w:szCs w:val="22"/>
        </w:rPr>
      </w:pPr>
      <w:r w:rsidRPr="00576E95">
        <w:rPr>
          <w:sz w:val="22"/>
          <w:szCs w:val="22"/>
        </w:rPr>
        <w:t>Huang SS, Hinrich</w:t>
      </w:r>
      <w:r w:rsidR="006B7662" w:rsidRPr="00576E95">
        <w:rPr>
          <w:sz w:val="22"/>
          <w:szCs w:val="22"/>
        </w:rPr>
        <w:t xml:space="preserve">sen VL, Datta R, et al. Methicillin-resistant Staphylococcus aureus infection </w:t>
      </w:r>
      <w:r w:rsidR="00DD18D5" w:rsidRPr="00576E95">
        <w:rPr>
          <w:sz w:val="22"/>
          <w:szCs w:val="22"/>
        </w:rPr>
        <w:t>and hospitalization in high-risk patients in the year following detection. PL</w:t>
      </w:r>
      <w:r w:rsidR="00EC5898" w:rsidRPr="00576E95">
        <w:rPr>
          <w:sz w:val="22"/>
          <w:szCs w:val="22"/>
        </w:rPr>
        <w:t>oS One. 2011;6(9):e24340. PMID: 21949</w:t>
      </w:r>
      <w:r w:rsidR="00AD40C8" w:rsidRPr="00576E95">
        <w:rPr>
          <w:sz w:val="22"/>
          <w:szCs w:val="22"/>
        </w:rPr>
        <w:t>707.</w:t>
      </w:r>
    </w:p>
    <w:p w14:paraId="618B0D1B" w14:textId="7EFD16BF" w:rsidR="006F1F9E" w:rsidRPr="00576E95" w:rsidRDefault="006F1F9E" w:rsidP="003F04C2">
      <w:pPr>
        <w:pStyle w:val="RefList"/>
        <w:ind w:left="360"/>
        <w:rPr>
          <w:sz w:val="22"/>
          <w:szCs w:val="22"/>
        </w:rPr>
      </w:pPr>
      <w:r w:rsidRPr="00576E95">
        <w:rPr>
          <w:sz w:val="22"/>
          <w:szCs w:val="22"/>
        </w:rPr>
        <w:t>McKinnell JA, Eells SJ, Clark E, et al. Discontinuation of contact precautions with the introdu</w:t>
      </w:r>
      <w:r w:rsidR="00BA2344" w:rsidRPr="00576E95">
        <w:rPr>
          <w:sz w:val="22"/>
          <w:szCs w:val="22"/>
        </w:rPr>
        <w:t xml:space="preserve">ction of universal daily chlorhexidine bathing. Epidemiol Infect. </w:t>
      </w:r>
      <w:r w:rsidR="00EA4D1A" w:rsidRPr="00576E95">
        <w:rPr>
          <w:sz w:val="22"/>
          <w:szCs w:val="22"/>
        </w:rPr>
        <w:t xml:space="preserve">2017 Sep;145(12):2575-81. PMID: </w:t>
      </w:r>
      <w:r w:rsidR="00133186" w:rsidRPr="00576E95">
        <w:rPr>
          <w:sz w:val="22"/>
          <w:szCs w:val="22"/>
        </w:rPr>
        <w:t>28597809.</w:t>
      </w:r>
    </w:p>
    <w:p w14:paraId="210BB2DC" w14:textId="77777777" w:rsidR="00A774DE" w:rsidRDefault="00821D9B" w:rsidP="0083607F">
      <w:pPr>
        <w:pStyle w:val="RefList"/>
        <w:ind w:left="360"/>
        <w:rPr>
          <w:sz w:val="22"/>
          <w:szCs w:val="22"/>
        </w:rPr>
      </w:pPr>
      <w:r w:rsidRPr="00576E95">
        <w:rPr>
          <w:sz w:val="22"/>
          <w:szCs w:val="22"/>
        </w:rPr>
        <w:t xml:space="preserve">Renaudin L, Llorens M, Goetz C, et al. Impact of discontinuing contact precautions for MRSA and ESBLE in an intensive care unit: a prospective noninferiority before and after study. Infect Control Hosp Epidemiol. </w:t>
      </w:r>
      <w:r w:rsidR="007037E7" w:rsidRPr="00576E95">
        <w:rPr>
          <w:sz w:val="22"/>
          <w:szCs w:val="22"/>
        </w:rPr>
        <w:t xml:space="preserve">2017 Nov;38(11):1342-50. PMID: </w:t>
      </w:r>
      <w:r w:rsidR="00F758C2" w:rsidRPr="00576E95">
        <w:rPr>
          <w:sz w:val="22"/>
          <w:szCs w:val="22"/>
        </w:rPr>
        <w:t>28927475.</w:t>
      </w:r>
    </w:p>
    <w:p w14:paraId="0719CAE9" w14:textId="5A674496" w:rsidR="00576E95" w:rsidRDefault="00576E95" w:rsidP="0083607F">
      <w:pPr>
        <w:pStyle w:val="RefList"/>
        <w:ind w:left="360"/>
        <w:rPr>
          <w:sz w:val="22"/>
          <w:szCs w:val="22"/>
        </w:rPr>
      </w:pPr>
      <w:r w:rsidRPr="00576E95">
        <w:rPr>
          <w:sz w:val="22"/>
          <w:szCs w:val="22"/>
        </w:rPr>
        <w:t>Morgan DJ, Diekema DJ, Sepkowitz K, et al. Adverse outcomes associated with Contact Precautions: a review of the literature. Am J Infect Control. 2009 Mar;37(2):85-93. PMID: 19249637.</w:t>
      </w:r>
    </w:p>
    <w:p w14:paraId="0988299F" w14:textId="62AEEDFC" w:rsidR="009464F1" w:rsidRPr="00576E95" w:rsidRDefault="003F10E5" w:rsidP="00851534">
      <w:pPr>
        <w:pStyle w:val="RefList"/>
        <w:ind w:left="360"/>
        <w:rPr>
          <w:sz w:val="22"/>
          <w:szCs w:val="22"/>
        </w:rPr>
      </w:pPr>
      <w:r w:rsidRPr="00576E95">
        <w:rPr>
          <w:sz w:val="22"/>
          <w:szCs w:val="22"/>
        </w:rPr>
        <w:t xml:space="preserve">Croft LD, Harris AD, Pineles L, et al. The effect of universal glove and gown use on adverse events in intensive care unit patients. </w:t>
      </w:r>
      <w:r w:rsidR="007377FE" w:rsidRPr="00576E95">
        <w:rPr>
          <w:sz w:val="22"/>
          <w:szCs w:val="22"/>
        </w:rPr>
        <w:t xml:space="preserve">Clin Infect Dis. 2015 Aug 15;61(4):545-53. </w:t>
      </w:r>
      <w:r w:rsidR="006765AE" w:rsidRPr="00576E95">
        <w:rPr>
          <w:sz w:val="22"/>
          <w:szCs w:val="22"/>
        </w:rPr>
        <w:t>PMID: 25900169.</w:t>
      </w:r>
    </w:p>
    <w:p w14:paraId="6CFB4083" w14:textId="21B64200" w:rsidR="004B39C7" w:rsidRPr="00576E95" w:rsidRDefault="000849B8" w:rsidP="00851534">
      <w:pPr>
        <w:pStyle w:val="RefList"/>
        <w:ind w:left="360"/>
        <w:rPr>
          <w:sz w:val="22"/>
          <w:szCs w:val="22"/>
        </w:rPr>
      </w:pPr>
      <w:r w:rsidRPr="00576E95">
        <w:rPr>
          <w:sz w:val="22"/>
          <w:szCs w:val="22"/>
        </w:rPr>
        <w:t xml:space="preserve">O’Hara LM, Harris AD, Calfee DP, et al. Healthcare personnel opinions regarding the feasibility of a risk-tailored approach to contact precautions for methicillin-resistant </w:t>
      </w:r>
      <w:r w:rsidRPr="00576E95">
        <w:rPr>
          <w:i/>
          <w:iCs/>
          <w:sz w:val="22"/>
          <w:szCs w:val="22"/>
        </w:rPr>
        <w:t>Staphylococcus aureus</w:t>
      </w:r>
      <w:r w:rsidRPr="00576E95">
        <w:rPr>
          <w:sz w:val="22"/>
          <w:szCs w:val="22"/>
        </w:rPr>
        <w:t xml:space="preserve"> in the acute care setting. Infect Control Hosp Epidemiol. 2024 Apr 22:1-3. PMID: 38646712.</w:t>
      </w:r>
    </w:p>
    <w:sectPr w:rsidR="004B39C7" w:rsidRPr="00576E95" w:rsidSect="000B4D6F">
      <w:headerReference w:type="default" r:id="rId18"/>
      <w:headerReference w:type="first" r:id="rId19"/>
      <w:endnotePr>
        <w:numFmt w:val="decimal"/>
      </w:endnotePr>
      <w:type w:val="continuous"/>
      <w:pgSz w:w="12240" w:h="15840"/>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1D63" w14:textId="77777777" w:rsidR="00830F6B" w:rsidRDefault="00830F6B" w:rsidP="00B81F18">
      <w:r>
        <w:separator/>
      </w:r>
    </w:p>
    <w:p w14:paraId="4DF14C6F" w14:textId="77777777" w:rsidR="00830F6B" w:rsidRDefault="00830F6B" w:rsidP="00B81F18"/>
  </w:endnote>
  <w:endnote w:type="continuationSeparator" w:id="0">
    <w:p w14:paraId="62EC9BF8" w14:textId="77777777" w:rsidR="00830F6B" w:rsidRDefault="00830F6B" w:rsidP="00B81F18">
      <w:r>
        <w:continuationSeparator/>
      </w:r>
    </w:p>
    <w:p w14:paraId="2A285CC0" w14:textId="77777777" w:rsidR="00830F6B" w:rsidRDefault="00830F6B" w:rsidP="00B81F18"/>
  </w:endnote>
  <w:endnote w:type="continuationNotice" w:id="1">
    <w:p w14:paraId="2E114D34" w14:textId="77777777" w:rsidR="00830F6B" w:rsidRDefault="00830F6B" w:rsidP="00B81F18"/>
    <w:p w14:paraId="68CB9CD4" w14:textId="77777777" w:rsidR="00830F6B" w:rsidRDefault="00830F6B" w:rsidP="00B81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FB2B" w14:textId="4D86D480" w:rsidR="008D58E4" w:rsidRPr="004835BF" w:rsidRDefault="0014692B" w:rsidP="004835BF">
    <w:pPr>
      <w:pStyle w:val="FooterText"/>
      <w:tabs>
        <w:tab w:val="right" w:pos="10800"/>
      </w:tabs>
      <w:spacing w:before="240"/>
      <w:jc w:val="right"/>
      <w:rPr>
        <w:b/>
        <w:bCs w:val="0"/>
      </w:rPr>
    </w:pPr>
    <w:r w:rsidRPr="0014692B">
      <w:rPr>
        <w:b/>
        <w:bCs w:val="0"/>
        <w:noProof/>
      </w:rPr>
      <mc:AlternateContent>
        <mc:Choice Requires="wps">
          <w:drawing>
            <wp:anchor distT="45720" distB="45720" distL="114300" distR="114300" simplePos="0" relativeHeight="251660293" behindDoc="0" locked="0" layoutInCell="1" allowOverlap="1" wp14:anchorId="48931674" wp14:editId="3EA296CA">
              <wp:simplePos x="0" y="0"/>
              <wp:positionH relativeFrom="column">
                <wp:posOffset>4953000</wp:posOffset>
              </wp:positionH>
              <wp:positionV relativeFrom="paragraph">
                <wp:posOffset>359410</wp:posOffset>
              </wp:positionV>
              <wp:extent cx="1828800" cy="2603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0350"/>
                      </a:xfrm>
                      <a:prstGeom prst="rect">
                        <a:avLst/>
                      </a:prstGeom>
                      <a:noFill/>
                      <a:ln w="9525">
                        <a:noFill/>
                        <a:miter lim="800000"/>
                        <a:headEnd/>
                        <a:tailEnd/>
                      </a:ln>
                    </wps:spPr>
                    <wps:txbx>
                      <w:txbxContent>
                        <w:p w14:paraId="6DFDB8B2" w14:textId="1736D485" w:rsidR="0014692B" w:rsidRPr="0014692B" w:rsidRDefault="0014692B" w:rsidP="0014692B">
                          <w:pPr>
                            <w:jc w:val="right"/>
                            <w:rPr>
                              <w:sz w:val="16"/>
                              <w:szCs w:val="16"/>
                            </w:rPr>
                          </w:pPr>
                          <w:r>
                            <w:rPr>
                              <w:sz w:val="16"/>
                              <w:szCs w:val="16"/>
                            </w:rPr>
                            <w:t>AHRQ Pub. No. 25-0007|October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1674" id="_x0000_t202" coordsize="21600,21600" o:spt="202" path="m,l,21600r21600,l21600,xe">
              <v:stroke joinstyle="miter"/>
              <v:path gradientshapeok="t" o:connecttype="rect"/>
            </v:shapetype>
            <v:shape id="Text Box 2" o:spid="_x0000_s1026" type="#_x0000_t202" style="position:absolute;left:0;text-align:left;margin-left:390pt;margin-top:28.3pt;width:2in;height:20.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" filled="f" stroked="f">
              <v:textbox>
                <w:txbxContent>
                  <w:p w14:paraId="6DFDB8B2" w14:textId="1736D485" w:rsidR="0014692B" w:rsidRPr="0014692B" w:rsidRDefault="0014692B" w:rsidP="0014692B">
                    <w:pPr>
                      <w:jc w:val="right"/>
                      <w:rPr>
                        <w:sz w:val="16"/>
                        <w:szCs w:val="16"/>
                      </w:rPr>
                    </w:pPr>
                    <w:r>
                      <w:rPr>
                        <w:sz w:val="16"/>
                        <w:szCs w:val="16"/>
                      </w:rPr>
                      <w:t>AHRQ Pub. No. 25-0007|October 2024</w:t>
                    </w:r>
                  </w:p>
                </w:txbxContent>
              </v:textbox>
              <w10:wrap type="square"/>
            </v:shape>
          </w:pict>
        </mc:Fallback>
      </mc:AlternateContent>
    </w:r>
    <w:r w:rsidR="004835BF" w:rsidRPr="00F91E7D">
      <w:rPr>
        <w:b/>
        <w:bCs w:val="0"/>
      </w:rPr>
      <w:t>AHRQ Safety Program for MRSA Prevention</w:t>
    </w:r>
    <w:r w:rsidR="004835BF">
      <w:rPr>
        <w:b/>
        <w:bCs w:val="0"/>
      </w:rPr>
      <w:t xml:space="preserve"> |</w:t>
    </w:r>
    <w:r w:rsidR="004835BF" w:rsidRPr="00F91E7D">
      <w:rPr>
        <w:b/>
        <w:bCs w:val="0"/>
      </w:rPr>
      <w:t xml:space="preserve"> </w:t>
    </w:r>
    <w:r w:rsidR="004835BF" w:rsidRPr="00F91E7D">
      <w:t xml:space="preserve">ICU </w:t>
    </w:r>
    <w:r w:rsidR="004835BF">
      <w:t xml:space="preserve">&amp; </w:t>
    </w:r>
    <w:r w:rsidR="004835BF" w:rsidRPr="00F91E7D">
      <w:t>Non-ICU</w:t>
    </w:r>
    <w:r w:rsidR="004835BF">
      <w:t xml:space="preserve"> </w:t>
    </w:r>
    <w:r w:rsidR="004835BF">
      <w:tab/>
    </w:r>
    <w:r w:rsidR="00DF3B5C">
      <w:t xml:space="preserve">Summary </w:t>
    </w:r>
    <w:r w:rsidR="00EE31C4">
      <w:t>o</w:t>
    </w:r>
    <w:r w:rsidR="00DF3B5C">
      <w:t>f Evidence for Contact Precautions</w:t>
    </w:r>
    <w:r w:rsidR="004835BF" w:rsidRPr="00F91E7D">
      <w:rPr>
        <w:b/>
        <w:bCs w:val="0"/>
      </w:rPr>
      <w:t xml:space="preserve"> | </w:t>
    </w:r>
    <w:r w:rsidR="004835BF" w:rsidRPr="00F91E7D">
      <w:rPr>
        <w:b/>
        <w:bCs w:val="0"/>
      </w:rPr>
      <w:fldChar w:fldCharType="begin"/>
    </w:r>
    <w:r w:rsidR="004835BF" w:rsidRPr="00F91E7D">
      <w:rPr>
        <w:b/>
        <w:bCs w:val="0"/>
      </w:rPr>
      <w:instrText xml:space="preserve"> PAGE   \* MERGEFORMAT </w:instrText>
    </w:r>
    <w:r w:rsidR="004835BF" w:rsidRPr="00F91E7D">
      <w:rPr>
        <w:b/>
        <w:bCs w:val="0"/>
      </w:rPr>
      <w:fldChar w:fldCharType="separate"/>
    </w:r>
    <w:r w:rsidR="004835BF">
      <w:rPr>
        <w:b/>
        <w:bCs w:val="0"/>
      </w:rPr>
      <w:t>1</w:t>
    </w:r>
    <w:r w:rsidR="004835BF" w:rsidRPr="00F91E7D">
      <w:rPr>
        <w:b/>
        <w:bC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FE75" w14:textId="408578B5" w:rsidR="00D252FA" w:rsidRPr="008D58E4" w:rsidRDefault="00C230AB" w:rsidP="008D58E4">
    <w:pPr>
      <w:pStyle w:val="FooterText"/>
      <w:tabs>
        <w:tab w:val="right" w:pos="10800"/>
      </w:tabs>
      <w:spacing w:before="240"/>
      <w:jc w:val="right"/>
      <w:rPr>
        <w:b/>
        <w:bCs w:val="0"/>
      </w:rPr>
    </w:pPr>
    <w:r w:rsidRPr="00F91E7D">
      <w:rPr>
        <w:b/>
        <w:bCs w:val="0"/>
      </w:rPr>
      <w:t>AHRQ Safety Program for MRSA Prevention</w:t>
    </w:r>
    <w:r>
      <w:rPr>
        <w:b/>
        <w:bCs w:val="0"/>
      </w:rPr>
      <w:t xml:space="preserve"> |</w:t>
    </w:r>
    <w:r w:rsidRPr="00F91E7D">
      <w:rPr>
        <w:b/>
        <w:bCs w:val="0"/>
      </w:rPr>
      <w:t xml:space="preserve"> </w:t>
    </w:r>
    <w:r w:rsidRPr="00F91E7D">
      <w:t xml:space="preserve">ICU </w:t>
    </w:r>
    <w:r>
      <w:t xml:space="preserve">&amp; </w:t>
    </w:r>
    <w:r w:rsidRPr="00F91E7D">
      <w:t>Non-ICU</w:t>
    </w:r>
    <w:r w:rsidR="008D58E4">
      <w:t xml:space="preserve"> </w:t>
    </w:r>
    <w:r w:rsidR="008D58E4">
      <w:tab/>
    </w:r>
    <w:r w:rsidR="009A7BFC">
      <w:t>Summary of Evidence for Contact Precautions</w:t>
    </w:r>
    <w:r w:rsidR="008D58E4" w:rsidRPr="00F91E7D">
      <w:rPr>
        <w:b/>
        <w:bCs w:val="0"/>
      </w:rPr>
      <w:t xml:space="preserve"> | </w:t>
    </w:r>
    <w:r w:rsidR="008D58E4" w:rsidRPr="00F91E7D">
      <w:rPr>
        <w:b/>
        <w:bCs w:val="0"/>
      </w:rPr>
      <w:fldChar w:fldCharType="begin"/>
    </w:r>
    <w:r w:rsidR="008D58E4" w:rsidRPr="00F91E7D">
      <w:rPr>
        <w:b/>
        <w:bCs w:val="0"/>
      </w:rPr>
      <w:instrText xml:space="preserve"> PAGE   \* MERGEFORMAT </w:instrText>
    </w:r>
    <w:r w:rsidR="008D58E4" w:rsidRPr="00F91E7D">
      <w:rPr>
        <w:b/>
        <w:bCs w:val="0"/>
      </w:rPr>
      <w:fldChar w:fldCharType="separate"/>
    </w:r>
    <w:r w:rsidR="008D58E4">
      <w:rPr>
        <w:b/>
        <w:bCs w:val="0"/>
      </w:rPr>
      <w:t>2</w:t>
    </w:r>
    <w:r w:rsidR="008D58E4" w:rsidRPr="00F91E7D">
      <w:rPr>
        <w:b/>
        <w:b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2D02" w14:textId="77777777" w:rsidR="00830F6B" w:rsidRDefault="00830F6B" w:rsidP="00B81F18">
      <w:r>
        <w:separator/>
      </w:r>
    </w:p>
    <w:p w14:paraId="133C71B5" w14:textId="77777777" w:rsidR="00830F6B" w:rsidRDefault="00830F6B" w:rsidP="00B81F18"/>
  </w:footnote>
  <w:footnote w:type="continuationSeparator" w:id="0">
    <w:p w14:paraId="6BCF3CF2" w14:textId="77777777" w:rsidR="00830F6B" w:rsidRDefault="00830F6B" w:rsidP="00B81F18">
      <w:r>
        <w:continuationSeparator/>
      </w:r>
    </w:p>
    <w:p w14:paraId="08620BED" w14:textId="77777777" w:rsidR="00830F6B" w:rsidRDefault="00830F6B" w:rsidP="00B81F18"/>
  </w:footnote>
  <w:footnote w:type="continuationNotice" w:id="1">
    <w:p w14:paraId="4DB7106C" w14:textId="77777777" w:rsidR="00830F6B" w:rsidRDefault="00830F6B" w:rsidP="00B81F18"/>
    <w:p w14:paraId="02FDDABA" w14:textId="77777777" w:rsidR="00830F6B" w:rsidRDefault="00830F6B" w:rsidP="00B81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6F03" w14:textId="309325F0" w:rsidR="00213294" w:rsidRPr="00805E35" w:rsidRDefault="00FE6749" w:rsidP="00805E35">
    <w:pPr>
      <w:pStyle w:val="Title"/>
      <w:spacing w:before="240" w:line="216" w:lineRule="auto"/>
      <w:jc w:val="center"/>
      <w:rPr>
        <w:sz w:val="52"/>
        <w:szCs w:val="52"/>
      </w:rPr>
    </w:pPr>
    <w:r w:rsidRPr="00805E35">
      <w:rPr>
        <w:noProof/>
        <w:sz w:val="52"/>
        <w:szCs w:val="52"/>
      </w:rPr>
      <w:drawing>
        <wp:anchor distT="0" distB="0" distL="114300" distR="114300" simplePos="0" relativeHeight="251658240" behindDoc="0" locked="0" layoutInCell="1" allowOverlap="1" wp14:anchorId="0784E3E0" wp14:editId="1727A22D">
          <wp:simplePos x="0" y="0"/>
          <wp:positionH relativeFrom="page">
            <wp:posOffset>6308271</wp:posOffset>
          </wp:positionH>
          <wp:positionV relativeFrom="page">
            <wp:posOffset>250371</wp:posOffset>
          </wp:positionV>
          <wp:extent cx="1078865" cy="447675"/>
          <wp:effectExtent l="0" t="0" r="6985" b="0"/>
          <wp:wrapNone/>
          <wp:docPr id="966817272" name="Picture 966817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78846" name="Picture 178197884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8865" cy="447675"/>
                  </a:xfrm>
                  <a:prstGeom prst="rect">
                    <a:avLst/>
                  </a:prstGeom>
                </pic:spPr>
              </pic:pic>
            </a:graphicData>
          </a:graphic>
          <wp14:sizeRelH relativeFrom="margin">
            <wp14:pctWidth>0</wp14:pctWidth>
          </wp14:sizeRelH>
          <wp14:sizeRelV relativeFrom="margin">
            <wp14:pctHeight>0</wp14:pctHeight>
          </wp14:sizeRelV>
        </wp:anchor>
      </w:drawing>
    </w:r>
    <w:r w:rsidR="000B1165" w:rsidRPr="00805E35">
      <w:rPr>
        <w:noProof/>
        <w:sz w:val="52"/>
        <w:szCs w:val="52"/>
      </w:rPr>
      <w:drawing>
        <wp:anchor distT="0" distB="0" distL="114300" distR="114300" simplePos="0" relativeHeight="251658242" behindDoc="0" locked="0" layoutInCell="1" allowOverlap="1" wp14:anchorId="78CC2596" wp14:editId="7342C677">
          <wp:simplePos x="0" y="0"/>
          <wp:positionH relativeFrom="page">
            <wp:posOffset>274320</wp:posOffset>
          </wp:positionH>
          <wp:positionV relativeFrom="page">
            <wp:posOffset>182880</wp:posOffset>
          </wp:positionV>
          <wp:extent cx="914400" cy="914400"/>
          <wp:effectExtent l="0" t="0" r="0" b="0"/>
          <wp:wrapNone/>
          <wp:docPr id="16635884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72257"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E83A3C" w:rsidRPr="00805E35">
      <w:rPr>
        <w:sz w:val="52"/>
        <w:szCs w:val="52"/>
      </w:rPr>
      <w:t>Summary of Evidence for Contact</w:t>
    </w:r>
    <w:r w:rsidR="00805E35" w:rsidRPr="00805E35">
      <w:rPr>
        <w:sz w:val="52"/>
        <w:szCs w:val="52"/>
      </w:rPr>
      <w:br/>
    </w:r>
    <w:r w:rsidR="00E83A3C" w:rsidRPr="00805E35">
      <w:rPr>
        <w:sz w:val="52"/>
        <w:szCs w:val="52"/>
      </w:rPr>
      <w:t xml:space="preserve">Precautions </w:t>
    </w:r>
    <w:r w:rsidR="00EE31C4" w:rsidRPr="00805E35">
      <w:rPr>
        <w:sz w:val="52"/>
        <w:szCs w:val="52"/>
      </w:rPr>
      <w:t>T</w:t>
    </w:r>
    <w:r w:rsidR="00E83A3C" w:rsidRPr="00805E35">
      <w:rPr>
        <w:sz w:val="52"/>
        <w:szCs w:val="52"/>
      </w:rPr>
      <w:t>o Prevent MRSA</w:t>
    </w:r>
  </w:p>
  <w:p w14:paraId="11C015C9" w14:textId="56B704FF" w:rsidR="00E66198" w:rsidRPr="0018752C" w:rsidRDefault="006154EE" w:rsidP="00805E35">
    <w:pPr>
      <w:pStyle w:val="Subtitle"/>
    </w:pPr>
    <w:r>
      <w:rPr>
        <w:noProof/>
      </w:rPr>
      <w:drawing>
        <wp:anchor distT="0" distB="0" distL="114300" distR="114300" simplePos="0" relativeHeight="251658241" behindDoc="1" locked="1" layoutInCell="1" allowOverlap="1" wp14:anchorId="1BA880BE" wp14:editId="74D82133">
          <wp:simplePos x="0" y="0"/>
          <wp:positionH relativeFrom="page">
            <wp:align>left</wp:align>
          </wp:positionH>
          <wp:positionV relativeFrom="page">
            <wp:align>top</wp:align>
          </wp:positionV>
          <wp:extent cx="7772400" cy="914400"/>
          <wp:effectExtent l="0" t="0" r="0" b="0"/>
          <wp:wrapNone/>
          <wp:docPr id="51506968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36458" name="Picture 2">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l="-1" r="15524"/>
                  <a:stretch/>
                </pic:blipFill>
                <pic:spPr bwMode="auto">
                  <a:xfrm>
                    <a:off x="0" y="0"/>
                    <a:ext cx="7772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154F">
      <w:t>ICU &amp; Non-ICU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A3A0" w14:textId="4FC03848" w:rsidR="00E372C3" w:rsidRDefault="00E372C3" w:rsidP="00851534">
    <w:pPr>
      <w:pStyle w:val="Heading1"/>
    </w:pPr>
    <w:r>
      <w:t>References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4140" w14:textId="18232D33" w:rsidR="00E372C3" w:rsidRPr="00805E35" w:rsidRDefault="00E372C3" w:rsidP="00805E35">
    <w:pPr>
      <w:pStyle w:val="Title"/>
      <w:spacing w:before="240" w:line="216" w:lineRule="auto"/>
      <w:jc w:val="center"/>
      <w:rPr>
        <w:sz w:val="52"/>
        <w:szCs w:val="52"/>
      </w:rPr>
    </w:pPr>
    <w:r w:rsidRPr="00805E35">
      <w:rPr>
        <w:noProof/>
        <w:sz w:val="52"/>
        <w:szCs w:val="52"/>
      </w:rPr>
      <w:drawing>
        <wp:anchor distT="0" distB="0" distL="114300" distR="114300" simplePos="0" relativeHeight="251658243" behindDoc="0" locked="0" layoutInCell="1" allowOverlap="1" wp14:anchorId="4ABA4693" wp14:editId="6732620C">
          <wp:simplePos x="0" y="0"/>
          <wp:positionH relativeFrom="page">
            <wp:posOffset>6308271</wp:posOffset>
          </wp:positionH>
          <wp:positionV relativeFrom="page">
            <wp:posOffset>250371</wp:posOffset>
          </wp:positionV>
          <wp:extent cx="1078865" cy="447675"/>
          <wp:effectExtent l="0" t="0" r="6985" b="0"/>
          <wp:wrapNone/>
          <wp:docPr id="457030698" name="Picture 4570306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78846" name="Picture 178197884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8865" cy="447675"/>
                  </a:xfrm>
                  <a:prstGeom prst="rect">
                    <a:avLst/>
                  </a:prstGeom>
                </pic:spPr>
              </pic:pic>
            </a:graphicData>
          </a:graphic>
          <wp14:sizeRelH relativeFrom="margin">
            <wp14:pctWidth>0</wp14:pctWidth>
          </wp14:sizeRelH>
          <wp14:sizeRelV relativeFrom="margin">
            <wp14:pctHeight>0</wp14:pctHeight>
          </wp14:sizeRelV>
        </wp:anchor>
      </w:drawing>
    </w:r>
    <w:r w:rsidRPr="00805E35">
      <w:rPr>
        <w:noProof/>
        <w:sz w:val="52"/>
        <w:szCs w:val="52"/>
      </w:rPr>
      <w:drawing>
        <wp:anchor distT="0" distB="0" distL="114300" distR="114300" simplePos="0" relativeHeight="251658245" behindDoc="0" locked="0" layoutInCell="1" allowOverlap="1" wp14:anchorId="12E84EBD" wp14:editId="75215D1B">
          <wp:simplePos x="0" y="0"/>
          <wp:positionH relativeFrom="page">
            <wp:posOffset>274320</wp:posOffset>
          </wp:positionH>
          <wp:positionV relativeFrom="page">
            <wp:posOffset>182880</wp:posOffset>
          </wp:positionV>
          <wp:extent cx="914400" cy="914400"/>
          <wp:effectExtent l="0" t="0" r="0" b="0"/>
          <wp:wrapNone/>
          <wp:docPr id="16603323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72257"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805E35">
      <w:rPr>
        <w:sz w:val="52"/>
        <w:szCs w:val="52"/>
      </w:rPr>
      <w:t>Summary of Evidence for Contact</w:t>
    </w:r>
    <w:r w:rsidRPr="00805E35">
      <w:rPr>
        <w:sz w:val="52"/>
        <w:szCs w:val="52"/>
      </w:rPr>
      <w:br/>
      <w:t>Precautions To Prevent MRSA</w:t>
    </w:r>
  </w:p>
  <w:p w14:paraId="500E2BFC" w14:textId="77777777" w:rsidR="00E372C3" w:rsidRPr="0018752C" w:rsidRDefault="00E372C3" w:rsidP="00805E35">
    <w:pPr>
      <w:pStyle w:val="Subtitle"/>
    </w:pPr>
    <w:r>
      <w:rPr>
        <w:noProof/>
      </w:rPr>
      <w:drawing>
        <wp:anchor distT="0" distB="0" distL="114300" distR="114300" simplePos="0" relativeHeight="251658244" behindDoc="1" locked="1" layoutInCell="1" allowOverlap="1" wp14:anchorId="1BFDDAB5" wp14:editId="74BC1C01">
          <wp:simplePos x="0" y="0"/>
          <wp:positionH relativeFrom="page">
            <wp:align>left</wp:align>
          </wp:positionH>
          <wp:positionV relativeFrom="page">
            <wp:align>top</wp:align>
          </wp:positionV>
          <wp:extent cx="7772400" cy="914400"/>
          <wp:effectExtent l="0" t="0" r="0" b="0"/>
          <wp:wrapNone/>
          <wp:docPr id="160366026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36458" name="Picture 2">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l="-1" r="15524"/>
                  <a:stretch/>
                </pic:blipFill>
                <pic:spPr bwMode="auto">
                  <a:xfrm>
                    <a:off x="0" y="0"/>
                    <a:ext cx="7772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ICU &amp; Non-ICU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9D"/>
    <w:multiLevelType w:val="hybridMultilevel"/>
    <w:tmpl w:val="9B44F40A"/>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CF6657"/>
    <w:multiLevelType w:val="hybridMultilevel"/>
    <w:tmpl w:val="DBFE56D4"/>
    <w:lvl w:ilvl="0" w:tplc="625A755C">
      <w:start w:val="19"/>
      <w:numFmt w:val="bullet"/>
      <w:lvlText w:val="-"/>
      <w:lvlJc w:val="left"/>
      <w:pPr>
        <w:ind w:left="420" w:hanging="360"/>
      </w:pPr>
      <w:rPr>
        <w:rFonts w:ascii="Calibri Light" w:eastAsiaTheme="minorHAnsi" w:hAnsi="Calibri Light" w:cs="Calibri Ligh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2C00EB6"/>
    <w:multiLevelType w:val="hybridMultilevel"/>
    <w:tmpl w:val="1766FFAC"/>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F21432"/>
    <w:multiLevelType w:val="hybridMultilevel"/>
    <w:tmpl w:val="E5E4D880"/>
    <w:lvl w:ilvl="0" w:tplc="FFFFFFFF">
      <w:start w:val="1"/>
      <w:numFmt w:val="bullet"/>
      <w:lvlText w:val="m"/>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7C06B9"/>
    <w:multiLevelType w:val="hybridMultilevel"/>
    <w:tmpl w:val="1A62833E"/>
    <w:lvl w:ilvl="0" w:tplc="FFFFFFFF">
      <w:start w:val="1"/>
      <w:numFmt w:val="bullet"/>
      <w:lvlText w:val="m"/>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5B17B1"/>
    <w:multiLevelType w:val="hybridMultilevel"/>
    <w:tmpl w:val="D4E850B0"/>
    <w:lvl w:ilvl="0" w:tplc="FFFFFFFF">
      <w:start w:val="1"/>
      <w:numFmt w:val="bullet"/>
      <w:lvlText w:val="m"/>
      <w:lvlJc w:val="left"/>
      <w:pPr>
        <w:ind w:left="720" w:hanging="360"/>
      </w:pPr>
      <w:rPr>
        <w:rFonts w:ascii="Wingdings" w:hAnsi="Wingdings" w:hint="default"/>
      </w:rPr>
    </w:lvl>
    <w:lvl w:ilvl="1" w:tplc="CE02C6A6">
      <w:start w:val="1"/>
      <w:numFmt w:val="bullet"/>
      <w:lvlText w:val=""/>
      <w:lvlJc w:val="left"/>
      <w:pPr>
        <w:ind w:left="1440" w:hanging="360"/>
      </w:pPr>
      <w:rPr>
        <w:rFonts w:ascii="Wingdings" w:hAnsi="Wingdings" w:hint="default"/>
      </w:rPr>
    </w:lvl>
    <w:lvl w:ilvl="2" w:tplc="768A1ABA">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A7076A"/>
    <w:multiLevelType w:val="hybridMultilevel"/>
    <w:tmpl w:val="AA24D190"/>
    <w:lvl w:ilvl="0" w:tplc="6EAC2700">
      <w:start w:val="1"/>
      <w:numFmt w:val="bullet"/>
      <w:lvlText w:val="④"/>
      <w:lvlJc w:val="left"/>
      <w:pPr>
        <w:ind w:left="720" w:hanging="360"/>
      </w:pPr>
      <w:rPr>
        <w:rFonts w:ascii="Calibri" w:hAnsi="Calibri"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14D30"/>
    <w:multiLevelType w:val="hybridMultilevel"/>
    <w:tmpl w:val="F2321BC6"/>
    <w:lvl w:ilvl="0" w:tplc="AE406D2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B6BD1"/>
    <w:multiLevelType w:val="hybridMultilevel"/>
    <w:tmpl w:val="F2A8A3F6"/>
    <w:lvl w:ilvl="0" w:tplc="B922EE16">
      <w:start w:val="1"/>
      <w:numFmt w:val="decimal"/>
      <w:pStyle w:val="RefList"/>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00A1C"/>
    <w:multiLevelType w:val="hybridMultilevel"/>
    <w:tmpl w:val="14D6A736"/>
    <w:lvl w:ilvl="0" w:tplc="C9B24A6A">
      <w:start w:val="1"/>
      <w:numFmt w:val="bullet"/>
      <w:lvlText w:val="①"/>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1C3470"/>
    <w:multiLevelType w:val="hybridMultilevel"/>
    <w:tmpl w:val="B26A1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949AF"/>
    <w:multiLevelType w:val="hybridMultilevel"/>
    <w:tmpl w:val="F458797E"/>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114A6F"/>
    <w:multiLevelType w:val="hybridMultilevel"/>
    <w:tmpl w:val="87D4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942D5"/>
    <w:multiLevelType w:val="hybridMultilevel"/>
    <w:tmpl w:val="1AB87538"/>
    <w:lvl w:ilvl="0" w:tplc="811EFF3E">
      <w:start w:val="1"/>
      <w:numFmt w:val="bullet"/>
      <w:lvlText w:val="m"/>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72ABC"/>
    <w:multiLevelType w:val="hybridMultilevel"/>
    <w:tmpl w:val="404AB788"/>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4D1716"/>
    <w:multiLevelType w:val="hybridMultilevel"/>
    <w:tmpl w:val="D02E0EC0"/>
    <w:lvl w:ilvl="0" w:tplc="FFFFFFFF">
      <w:start w:val="1"/>
      <w:numFmt w:val="bullet"/>
      <w:lvlText w:val="m"/>
      <w:lvlJc w:val="left"/>
      <w:pPr>
        <w:ind w:left="720" w:hanging="360"/>
      </w:pPr>
      <w:rPr>
        <w:rFonts w:ascii="Wingdings" w:hAnsi="Wingdings" w:hint="default"/>
      </w:rPr>
    </w:lvl>
    <w:lvl w:ilvl="1" w:tplc="C0EA6792">
      <w:start w:val="84"/>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9A7151"/>
    <w:multiLevelType w:val="hybridMultilevel"/>
    <w:tmpl w:val="E6723D16"/>
    <w:lvl w:ilvl="0" w:tplc="A728168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74DD8"/>
    <w:multiLevelType w:val="hybridMultilevel"/>
    <w:tmpl w:val="261A34A4"/>
    <w:lvl w:ilvl="0" w:tplc="811EFF3E">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84425"/>
    <w:multiLevelType w:val="hybridMultilevel"/>
    <w:tmpl w:val="F50C7BB4"/>
    <w:lvl w:ilvl="0" w:tplc="811EFF3E">
      <w:start w:val="1"/>
      <w:numFmt w:val="bullet"/>
      <w:lvlText w:val="m"/>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A1C13"/>
    <w:multiLevelType w:val="hybridMultilevel"/>
    <w:tmpl w:val="9AB49936"/>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6919B5"/>
    <w:multiLevelType w:val="hybridMultilevel"/>
    <w:tmpl w:val="BEE6F210"/>
    <w:lvl w:ilvl="0" w:tplc="FFFFFFFF">
      <w:start w:val="1"/>
      <w:numFmt w:val="bullet"/>
      <w:lvlText w:val="m"/>
      <w:lvlJc w:val="left"/>
      <w:pPr>
        <w:ind w:left="720" w:hanging="360"/>
      </w:pPr>
      <w:rPr>
        <w:rFonts w:ascii="Wingdings" w:hAnsi="Wingdings" w:hint="default"/>
      </w:rPr>
    </w:lvl>
    <w:lvl w:ilvl="1" w:tplc="C0EA6792">
      <w:start w:val="84"/>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3C1420"/>
    <w:multiLevelType w:val="hybridMultilevel"/>
    <w:tmpl w:val="966E83E8"/>
    <w:lvl w:ilvl="0" w:tplc="5304185A">
      <w:start w:val="1"/>
      <w:numFmt w:val="bullet"/>
      <w:lvlText w:val="②"/>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F6736E"/>
    <w:multiLevelType w:val="hybridMultilevel"/>
    <w:tmpl w:val="A65211AE"/>
    <w:lvl w:ilvl="0" w:tplc="18BC2D42">
      <w:start w:val="1"/>
      <w:numFmt w:val="bullet"/>
      <w:lvlText w:val=""/>
      <w:lvlJc w:val="left"/>
      <w:pPr>
        <w:ind w:left="720" w:hanging="360"/>
      </w:pPr>
      <w:rPr>
        <w:rFonts w:ascii="Symbol" w:hAnsi="Symbol" w:hint="default"/>
        <w:color w:val="007DA3"/>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F20AC0"/>
    <w:multiLevelType w:val="hybridMultilevel"/>
    <w:tmpl w:val="15F008A8"/>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5A7BDD"/>
    <w:multiLevelType w:val="hybridMultilevel"/>
    <w:tmpl w:val="469C391C"/>
    <w:lvl w:ilvl="0" w:tplc="11F2EAF8">
      <w:start w:val="1"/>
      <w:numFmt w:val="bullet"/>
      <w:lvlText w:val="③"/>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471A85"/>
    <w:multiLevelType w:val="hybridMultilevel"/>
    <w:tmpl w:val="2AB8241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C9108E"/>
    <w:multiLevelType w:val="hybridMultilevel"/>
    <w:tmpl w:val="A274CF1A"/>
    <w:lvl w:ilvl="0" w:tplc="9ABCAAA8">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8109D0"/>
    <w:multiLevelType w:val="hybridMultilevel"/>
    <w:tmpl w:val="96CC7AB2"/>
    <w:lvl w:ilvl="0" w:tplc="7276879C">
      <w:start w:val="1"/>
      <w:numFmt w:val="bullet"/>
      <w:pStyle w:val="ListParagraph"/>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87A17F4">
      <w:numFmt w:val="bullet"/>
      <w:lvlText w:val="-"/>
      <w:lvlJc w:val="left"/>
      <w:pPr>
        <w:ind w:left="2520" w:hanging="360"/>
      </w:pPr>
      <w:rPr>
        <w:rFonts w:ascii="Calibri" w:eastAsiaTheme="minorEastAsia" w:hAnsi="Calibri" w:hint="default"/>
        <w:b/>
        <w:i w:val="0"/>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8956786"/>
    <w:multiLevelType w:val="hybridMultilevel"/>
    <w:tmpl w:val="A388226A"/>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AE453E"/>
    <w:multiLevelType w:val="hybridMultilevel"/>
    <w:tmpl w:val="6BCAA1C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CF3450A"/>
    <w:multiLevelType w:val="hybridMultilevel"/>
    <w:tmpl w:val="539619D4"/>
    <w:lvl w:ilvl="0" w:tplc="374014A0">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A70C1"/>
    <w:multiLevelType w:val="hybridMultilevel"/>
    <w:tmpl w:val="EB92EF08"/>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9842158">
    <w:abstractNumId w:val="1"/>
  </w:num>
  <w:num w:numId="2" w16cid:durableId="964386636">
    <w:abstractNumId w:val="18"/>
  </w:num>
  <w:num w:numId="3" w16cid:durableId="1612324772">
    <w:abstractNumId w:val="13"/>
  </w:num>
  <w:num w:numId="4" w16cid:durableId="1610118098">
    <w:abstractNumId w:val="5"/>
  </w:num>
  <w:num w:numId="5" w16cid:durableId="965282052">
    <w:abstractNumId w:val="6"/>
  </w:num>
  <w:num w:numId="6" w16cid:durableId="1487550355">
    <w:abstractNumId w:val="14"/>
  </w:num>
  <w:num w:numId="7" w16cid:durableId="1607881260">
    <w:abstractNumId w:val="19"/>
  </w:num>
  <w:num w:numId="8" w16cid:durableId="64232993">
    <w:abstractNumId w:val="2"/>
  </w:num>
  <w:num w:numId="9" w16cid:durableId="514686567">
    <w:abstractNumId w:val="28"/>
  </w:num>
  <w:num w:numId="10" w16cid:durableId="390036818">
    <w:abstractNumId w:val="17"/>
  </w:num>
  <w:num w:numId="11" w16cid:durableId="520700836">
    <w:abstractNumId w:val="30"/>
  </w:num>
  <w:num w:numId="12" w16cid:durableId="1069108452">
    <w:abstractNumId w:val="9"/>
  </w:num>
  <w:num w:numId="13" w16cid:durableId="1677993966">
    <w:abstractNumId w:val="11"/>
  </w:num>
  <w:num w:numId="14" w16cid:durableId="650794716">
    <w:abstractNumId w:val="3"/>
  </w:num>
  <w:num w:numId="15" w16cid:durableId="2102558313">
    <w:abstractNumId w:val="4"/>
  </w:num>
  <w:num w:numId="16" w16cid:durableId="444083864">
    <w:abstractNumId w:val="21"/>
  </w:num>
  <w:num w:numId="17" w16cid:durableId="1123765670">
    <w:abstractNumId w:val="31"/>
  </w:num>
  <w:num w:numId="18" w16cid:durableId="412708243">
    <w:abstractNumId w:val="15"/>
  </w:num>
  <w:num w:numId="19" w16cid:durableId="1315262267">
    <w:abstractNumId w:val="20"/>
  </w:num>
  <w:num w:numId="20" w16cid:durableId="1467162012">
    <w:abstractNumId w:val="24"/>
  </w:num>
  <w:num w:numId="21" w16cid:durableId="1145045973">
    <w:abstractNumId w:val="0"/>
  </w:num>
  <w:num w:numId="22" w16cid:durableId="1826704735">
    <w:abstractNumId w:val="23"/>
  </w:num>
  <w:num w:numId="23" w16cid:durableId="1972199893">
    <w:abstractNumId w:val="26"/>
  </w:num>
  <w:num w:numId="24" w16cid:durableId="1373773576">
    <w:abstractNumId w:val="12"/>
  </w:num>
  <w:num w:numId="25" w16cid:durableId="1840274055">
    <w:abstractNumId w:val="8"/>
  </w:num>
  <w:num w:numId="26" w16cid:durableId="399136255">
    <w:abstractNumId w:val="22"/>
  </w:num>
  <w:num w:numId="27" w16cid:durableId="488641076">
    <w:abstractNumId w:val="27"/>
  </w:num>
  <w:num w:numId="28" w16cid:durableId="1434007559">
    <w:abstractNumId w:val="10"/>
  </w:num>
  <w:num w:numId="29" w16cid:durableId="355740673">
    <w:abstractNumId w:val="16"/>
  </w:num>
  <w:num w:numId="30" w16cid:durableId="477307084">
    <w:abstractNumId w:val="27"/>
  </w:num>
  <w:num w:numId="31" w16cid:durableId="904292755">
    <w:abstractNumId w:val="7"/>
  </w:num>
  <w:num w:numId="32" w16cid:durableId="478574767">
    <w:abstractNumId w:val="25"/>
  </w:num>
  <w:num w:numId="33" w16cid:durableId="665984863">
    <w:abstractNumId w:val="29"/>
  </w:num>
  <w:num w:numId="34" w16cid:durableId="151064771">
    <w:abstractNumId w:val="27"/>
  </w:num>
  <w:num w:numId="35" w16cid:durableId="1546943801">
    <w:abstractNumId w:val="27"/>
  </w:num>
  <w:num w:numId="36" w16cid:durableId="7190110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14"/>
    <w:rsid w:val="000011D1"/>
    <w:rsid w:val="000014BD"/>
    <w:rsid w:val="00003F47"/>
    <w:rsid w:val="00005293"/>
    <w:rsid w:val="000065B0"/>
    <w:rsid w:val="00011C7D"/>
    <w:rsid w:val="000121D8"/>
    <w:rsid w:val="00015744"/>
    <w:rsid w:val="00015BAC"/>
    <w:rsid w:val="00020E13"/>
    <w:rsid w:val="0002390C"/>
    <w:rsid w:val="000324B8"/>
    <w:rsid w:val="000325E8"/>
    <w:rsid w:val="00032C46"/>
    <w:rsid w:val="00032EA5"/>
    <w:rsid w:val="00035340"/>
    <w:rsid w:val="00035D04"/>
    <w:rsid w:val="000426D5"/>
    <w:rsid w:val="0004589D"/>
    <w:rsid w:val="00046D5D"/>
    <w:rsid w:val="00046F5C"/>
    <w:rsid w:val="00047F1D"/>
    <w:rsid w:val="000503DA"/>
    <w:rsid w:val="00052CDD"/>
    <w:rsid w:val="00056411"/>
    <w:rsid w:val="000575EC"/>
    <w:rsid w:val="00061895"/>
    <w:rsid w:val="00063743"/>
    <w:rsid w:val="00063868"/>
    <w:rsid w:val="00065338"/>
    <w:rsid w:val="00071979"/>
    <w:rsid w:val="00073108"/>
    <w:rsid w:val="00074C2E"/>
    <w:rsid w:val="000756DE"/>
    <w:rsid w:val="00076115"/>
    <w:rsid w:val="00076B59"/>
    <w:rsid w:val="00080713"/>
    <w:rsid w:val="000849B8"/>
    <w:rsid w:val="00085186"/>
    <w:rsid w:val="000856D6"/>
    <w:rsid w:val="0009224F"/>
    <w:rsid w:val="000937C2"/>
    <w:rsid w:val="000A13A0"/>
    <w:rsid w:val="000A799B"/>
    <w:rsid w:val="000B060E"/>
    <w:rsid w:val="000B086E"/>
    <w:rsid w:val="000B1165"/>
    <w:rsid w:val="000B2076"/>
    <w:rsid w:val="000B4D6F"/>
    <w:rsid w:val="000B565C"/>
    <w:rsid w:val="000B7285"/>
    <w:rsid w:val="000C189C"/>
    <w:rsid w:val="000C2225"/>
    <w:rsid w:val="000C3832"/>
    <w:rsid w:val="000C4154"/>
    <w:rsid w:val="000C5A3D"/>
    <w:rsid w:val="000C60A4"/>
    <w:rsid w:val="000C6EC1"/>
    <w:rsid w:val="000C79D3"/>
    <w:rsid w:val="000D43A0"/>
    <w:rsid w:val="000D609D"/>
    <w:rsid w:val="000D79E5"/>
    <w:rsid w:val="000E0D8E"/>
    <w:rsid w:val="000E4D54"/>
    <w:rsid w:val="000F7DF1"/>
    <w:rsid w:val="00101A7D"/>
    <w:rsid w:val="001039AD"/>
    <w:rsid w:val="001127F1"/>
    <w:rsid w:val="00114A92"/>
    <w:rsid w:val="00115EC6"/>
    <w:rsid w:val="00117611"/>
    <w:rsid w:val="00117754"/>
    <w:rsid w:val="001201A4"/>
    <w:rsid w:val="00121206"/>
    <w:rsid w:val="001250A8"/>
    <w:rsid w:val="001269AC"/>
    <w:rsid w:val="00132A09"/>
    <w:rsid w:val="00132E23"/>
    <w:rsid w:val="00133186"/>
    <w:rsid w:val="001335AA"/>
    <w:rsid w:val="00140F4D"/>
    <w:rsid w:val="00143F41"/>
    <w:rsid w:val="00144427"/>
    <w:rsid w:val="0014692B"/>
    <w:rsid w:val="001471D1"/>
    <w:rsid w:val="00154CE4"/>
    <w:rsid w:val="00156D1D"/>
    <w:rsid w:val="00157A28"/>
    <w:rsid w:val="00163ED0"/>
    <w:rsid w:val="00170DCA"/>
    <w:rsid w:val="00171490"/>
    <w:rsid w:val="00181AAE"/>
    <w:rsid w:val="00182814"/>
    <w:rsid w:val="00183382"/>
    <w:rsid w:val="001841F4"/>
    <w:rsid w:val="00187381"/>
    <w:rsid w:val="0018752C"/>
    <w:rsid w:val="00187E89"/>
    <w:rsid w:val="001944C4"/>
    <w:rsid w:val="00195E0F"/>
    <w:rsid w:val="00196F20"/>
    <w:rsid w:val="001A64EA"/>
    <w:rsid w:val="001A77D5"/>
    <w:rsid w:val="001A7EB1"/>
    <w:rsid w:val="001B1787"/>
    <w:rsid w:val="001B375E"/>
    <w:rsid w:val="001B4C33"/>
    <w:rsid w:val="001B5C73"/>
    <w:rsid w:val="001B6C97"/>
    <w:rsid w:val="001B78BF"/>
    <w:rsid w:val="001B7B22"/>
    <w:rsid w:val="001C04ED"/>
    <w:rsid w:val="001C4737"/>
    <w:rsid w:val="001C4CD2"/>
    <w:rsid w:val="001C5084"/>
    <w:rsid w:val="001C585B"/>
    <w:rsid w:val="001D0A44"/>
    <w:rsid w:val="001D2C71"/>
    <w:rsid w:val="001D3E68"/>
    <w:rsid w:val="001E0217"/>
    <w:rsid w:val="001E23CA"/>
    <w:rsid w:val="001E46DD"/>
    <w:rsid w:val="001E5EB8"/>
    <w:rsid w:val="001E6EE1"/>
    <w:rsid w:val="001F0612"/>
    <w:rsid w:val="001F19E4"/>
    <w:rsid w:val="001F1C19"/>
    <w:rsid w:val="001F2578"/>
    <w:rsid w:val="001F53F0"/>
    <w:rsid w:val="001F5ECC"/>
    <w:rsid w:val="0020196B"/>
    <w:rsid w:val="00204422"/>
    <w:rsid w:val="002057D6"/>
    <w:rsid w:val="00205D8C"/>
    <w:rsid w:val="002069B7"/>
    <w:rsid w:val="0020771B"/>
    <w:rsid w:val="00207BB8"/>
    <w:rsid w:val="00207F29"/>
    <w:rsid w:val="00213294"/>
    <w:rsid w:val="002134ED"/>
    <w:rsid w:val="0021596F"/>
    <w:rsid w:val="00221664"/>
    <w:rsid w:val="0022302B"/>
    <w:rsid w:val="00225DA3"/>
    <w:rsid w:val="0023062D"/>
    <w:rsid w:val="00231D2C"/>
    <w:rsid w:val="0023450F"/>
    <w:rsid w:val="00245019"/>
    <w:rsid w:val="0024694A"/>
    <w:rsid w:val="00246ACC"/>
    <w:rsid w:val="00246E73"/>
    <w:rsid w:val="00253756"/>
    <w:rsid w:val="0026125E"/>
    <w:rsid w:val="00261728"/>
    <w:rsid w:val="00266BEC"/>
    <w:rsid w:val="00276BC2"/>
    <w:rsid w:val="00277FA7"/>
    <w:rsid w:val="0028510A"/>
    <w:rsid w:val="002855DA"/>
    <w:rsid w:val="00286CA7"/>
    <w:rsid w:val="00291A85"/>
    <w:rsid w:val="002946E7"/>
    <w:rsid w:val="00295EEF"/>
    <w:rsid w:val="00296F3A"/>
    <w:rsid w:val="002A05A5"/>
    <w:rsid w:val="002A1A1F"/>
    <w:rsid w:val="002A28BF"/>
    <w:rsid w:val="002A615C"/>
    <w:rsid w:val="002B1E8E"/>
    <w:rsid w:val="002B3DBD"/>
    <w:rsid w:val="002B553E"/>
    <w:rsid w:val="002B5E1C"/>
    <w:rsid w:val="002B68F9"/>
    <w:rsid w:val="002C27FF"/>
    <w:rsid w:val="002C3BCD"/>
    <w:rsid w:val="002D0633"/>
    <w:rsid w:val="002D0EAA"/>
    <w:rsid w:val="002D7861"/>
    <w:rsid w:val="002E0DA4"/>
    <w:rsid w:val="002E264D"/>
    <w:rsid w:val="002E3D11"/>
    <w:rsid w:val="002E411E"/>
    <w:rsid w:val="002E651A"/>
    <w:rsid w:val="002E720F"/>
    <w:rsid w:val="002F0F47"/>
    <w:rsid w:val="002F3670"/>
    <w:rsid w:val="002F46EC"/>
    <w:rsid w:val="002F5010"/>
    <w:rsid w:val="00302FC0"/>
    <w:rsid w:val="0030551E"/>
    <w:rsid w:val="00306CB6"/>
    <w:rsid w:val="003116DA"/>
    <w:rsid w:val="00314900"/>
    <w:rsid w:val="003151D8"/>
    <w:rsid w:val="003318DD"/>
    <w:rsid w:val="00331C54"/>
    <w:rsid w:val="00337BDB"/>
    <w:rsid w:val="00343719"/>
    <w:rsid w:val="003461E7"/>
    <w:rsid w:val="003467A0"/>
    <w:rsid w:val="00353F13"/>
    <w:rsid w:val="00356EFF"/>
    <w:rsid w:val="003704FD"/>
    <w:rsid w:val="00370FA9"/>
    <w:rsid w:val="0038151B"/>
    <w:rsid w:val="003823AE"/>
    <w:rsid w:val="0039034A"/>
    <w:rsid w:val="00391E67"/>
    <w:rsid w:val="00392CA3"/>
    <w:rsid w:val="00394CA5"/>
    <w:rsid w:val="003952FF"/>
    <w:rsid w:val="00395896"/>
    <w:rsid w:val="003A32BF"/>
    <w:rsid w:val="003A4B1D"/>
    <w:rsid w:val="003A4E2A"/>
    <w:rsid w:val="003A53F4"/>
    <w:rsid w:val="003B3D5E"/>
    <w:rsid w:val="003B3E8E"/>
    <w:rsid w:val="003B4C89"/>
    <w:rsid w:val="003B7187"/>
    <w:rsid w:val="003C0A62"/>
    <w:rsid w:val="003C27B2"/>
    <w:rsid w:val="003C2AD0"/>
    <w:rsid w:val="003C5CAC"/>
    <w:rsid w:val="003D017C"/>
    <w:rsid w:val="003D07AE"/>
    <w:rsid w:val="003D365A"/>
    <w:rsid w:val="003D3E31"/>
    <w:rsid w:val="003D3F68"/>
    <w:rsid w:val="003D4B02"/>
    <w:rsid w:val="003D5183"/>
    <w:rsid w:val="003D5651"/>
    <w:rsid w:val="003D642C"/>
    <w:rsid w:val="003E17B9"/>
    <w:rsid w:val="003E185A"/>
    <w:rsid w:val="003F04C2"/>
    <w:rsid w:val="003F0793"/>
    <w:rsid w:val="003F10E5"/>
    <w:rsid w:val="003F2511"/>
    <w:rsid w:val="00400843"/>
    <w:rsid w:val="00402F58"/>
    <w:rsid w:val="00405F3D"/>
    <w:rsid w:val="0040796D"/>
    <w:rsid w:val="004143DB"/>
    <w:rsid w:val="004157DD"/>
    <w:rsid w:val="004163E2"/>
    <w:rsid w:val="00423DC1"/>
    <w:rsid w:val="00425311"/>
    <w:rsid w:val="004275EA"/>
    <w:rsid w:val="0043038D"/>
    <w:rsid w:val="004305C6"/>
    <w:rsid w:val="00434908"/>
    <w:rsid w:val="00434C61"/>
    <w:rsid w:val="0043575D"/>
    <w:rsid w:val="00436E39"/>
    <w:rsid w:val="00440601"/>
    <w:rsid w:val="00440EFD"/>
    <w:rsid w:val="00442888"/>
    <w:rsid w:val="00443230"/>
    <w:rsid w:val="00444344"/>
    <w:rsid w:val="004506C2"/>
    <w:rsid w:val="0045070C"/>
    <w:rsid w:val="00450777"/>
    <w:rsid w:val="00456DC5"/>
    <w:rsid w:val="004600C8"/>
    <w:rsid w:val="00460307"/>
    <w:rsid w:val="004646BC"/>
    <w:rsid w:val="00467419"/>
    <w:rsid w:val="004675F5"/>
    <w:rsid w:val="00474358"/>
    <w:rsid w:val="00480CE3"/>
    <w:rsid w:val="004835BF"/>
    <w:rsid w:val="00483614"/>
    <w:rsid w:val="0048415E"/>
    <w:rsid w:val="00487EF9"/>
    <w:rsid w:val="00491887"/>
    <w:rsid w:val="00492F08"/>
    <w:rsid w:val="00493703"/>
    <w:rsid w:val="00493DAA"/>
    <w:rsid w:val="00495AF3"/>
    <w:rsid w:val="004971F0"/>
    <w:rsid w:val="004A08C7"/>
    <w:rsid w:val="004A37AF"/>
    <w:rsid w:val="004A6527"/>
    <w:rsid w:val="004B249C"/>
    <w:rsid w:val="004B39C7"/>
    <w:rsid w:val="004C2030"/>
    <w:rsid w:val="004C5ADD"/>
    <w:rsid w:val="004D0DF5"/>
    <w:rsid w:val="004D182F"/>
    <w:rsid w:val="004D2789"/>
    <w:rsid w:val="004D5673"/>
    <w:rsid w:val="004E0494"/>
    <w:rsid w:val="004E1E98"/>
    <w:rsid w:val="004E38A7"/>
    <w:rsid w:val="004E7999"/>
    <w:rsid w:val="004F3A15"/>
    <w:rsid w:val="004F65AC"/>
    <w:rsid w:val="00500847"/>
    <w:rsid w:val="00512CCE"/>
    <w:rsid w:val="0051368B"/>
    <w:rsid w:val="00513F32"/>
    <w:rsid w:val="005140A1"/>
    <w:rsid w:val="00520632"/>
    <w:rsid w:val="0052132F"/>
    <w:rsid w:val="005213CB"/>
    <w:rsid w:val="00522BE2"/>
    <w:rsid w:val="00524254"/>
    <w:rsid w:val="00524F9D"/>
    <w:rsid w:val="0052593E"/>
    <w:rsid w:val="00526427"/>
    <w:rsid w:val="005279C7"/>
    <w:rsid w:val="005339F8"/>
    <w:rsid w:val="005405E1"/>
    <w:rsid w:val="00545124"/>
    <w:rsid w:val="005512E8"/>
    <w:rsid w:val="005521F9"/>
    <w:rsid w:val="005526EF"/>
    <w:rsid w:val="00556BA4"/>
    <w:rsid w:val="00557379"/>
    <w:rsid w:val="005606A5"/>
    <w:rsid w:val="00564A73"/>
    <w:rsid w:val="005661AD"/>
    <w:rsid w:val="00576A6A"/>
    <w:rsid w:val="00576E95"/>
    <w:rsid w:val="00577478"/>
    <w:rsid w:val="00580291"/>
    <w:rsid w:val="00583513"/>
    <w:rsid w:val="00583819"/>
    <w:rsid w:val="00583A7E"/>
    <w:rsid w:val="0058497F"/>
    <w:rsid w:val="00587B2C"/>
    <w:rsid w:val="005908EA"/>
    <w:rsid w:val="00591DF6"/>
    <w:rsid w:val="005937A4"/>
    <w:rsid w:val="00595250"/>
    <w:rsid w:val="005958A7"/>
    <w:rsid w:val="005959C9"/>
    <w:rsid w:val="005A114B"/>
    <w:rsid w:val="005A1638"/>
    <w:rsid w:val="005A2737"/>
    <w:rsid w:val="005A4634"/>
    <w:rsid w:val="005B2B26"/>
    <w:rsid w:val="005B6505"/>
    <w:rsid w:val="005B7D2E"/>
    <w:rsid w:val="005C1247"/>
    <w:rsid w:val="005C5FA6"/>
    <w:rsid w:val="005C6D51"/>
    <w:rsid w:val="005D1E02"/>
    <w:rsid w:val="005D2936"/>
    <w:rsid w:val="005D44DD"/>
    <w:rsid w:val="005D7819"/>
    <w:rsid w:val="005E1BA6"/>
    <w:rsid w:val="005E6DC4"/>
    <w:rsid w:val="005F0FEA"/>
    <w:rsid w:val="005F194B"/>
    <w:rsid w:val="005F2EEF"/>
    <w:rsid w:val="005F550E"/>
    <w:rsid w:val="006019EC"/>
    <w:rsid w:val="006044E4"/>
    <w:rsid w:val="0060636E"/>
    <w:rsid w:val="00607FBB"/>
    <w:rsid w:val="00610F86"/>
    <w:rsid w:val="006148BF"/>
    <w:rsid w:val="006154EE"/>
    <w:rsid w:val="00617794"/>
    <w:rsid w:val="0062188A"/>
    <w:rsid w:val="0062231E"/>
    <w:rsid w:val="006236AA"/>
    <w:rsid w:val="006260F9"/>
    <w:rsid w:val="00630ACC"/>
    <w:rsid w:val="006315EA"/>
    <w:rsid w:val="00631E12"/>
    <w:rsid w:val="00633673"/>
    <w:rsid w:val="006355CC"/>
    <w:rsid w:val="00640E0E"/>
    <w:rsid w:val="006443F6"/>
    <w:rsid w:val="0064471C"/>
    <w:rsid w:val="00646179"/>
    <w:rsid w:val="00646537"/>
    <w:rsid w:val="006475DA"/>
    <w:rsid w:val="00650424"/>
    <w:rsid w:val="006561FC"/>
    <w:rsid w:val="00657436"/>
    <w:rsid w:val="00662484"/>
    <w:rsid w:val="006631B9"/>
    <w:rsid w:val="006648B4"/>
    <w:rsid w:val="006649AE"/>
    <w:rsid w:val="00665223"/>
    <w:rsid w:val="00665AF1"/>
    <w:rsid w:val="0066690B"/>
    <w:rsid w:val="0066745D"/>
    <w:rsid w:val="00667D10"/>
    <w:rsid w:val="00667DE1"/>
    <w:rsid w:val="00670CBA"/>
    <w:rsid w:val="00671C6D"/>
    <w:rsid w:val="006726E8"/>
    <w:rsid w:val="00674170"/>
    <w:rsid w:val="00674428"/>
    <w:rsid w:val="0067587E"/>
    <w:rsid w:val="006765AE"/>
    <w:rsid w:val="00680136"/>
    <w:rsid w:val="00680A48"/>
    <w:rsid w:val="006813FB"/>
    <w:rsid w:val="006817D5"/>
    <w:rsid w:val="00682AAA"/>
    <w:rsid w:val="00683AD2"/>
    <w:rsid w:val="006875D6"/>
    <w:rsid w:val="00690982"/>
    <w:rsid w:val="006921A2"/>
    <w:rsid w:val="00697B05"/>
    <w:rsid w:val="00697C9B"/>
    <w:rsid w:val="006A048A"/>
    <w:rsid w:val="006A36C0"/>
    <w:rsid w:val="006A4B4A"/>
    <w:rsid w:val="006A585D"/>
    <w:rsid w:val="006A6983"/>
    <w:rsid w:val="006B0FCB"/>
    <w:rsid w:val="006B224C"/>
    <w:rsid w:val="006B27D7"/>
    <w:rsid w:val="006B2B8E"/>
    <w:rsid w:val="006B2E03"/>
    <w:rsid w:val="006B5D8A"/>
    <w:rsid w:val="006B7662"/>
    <w:rsid w:val="006C0126"/>
    <w:rsid w:val="006C2461"/>
    <w:rsid w:val="006C4F64"/>
    <w:rsid w:val="006C662F"/>
    <w:rsid w:val="006D082C"/>
    <w:rsid w:val="006D13AE"/>
    <w:rsid w:val="006D2404"/>
    <w:rsid w:val="006D6E02"/>
    <w:rsid w:val="006D6F00"/>
    <w:rsid w:val="006D7863"/>
    <w:rsid w:val="006D7C43"/>
    <w:rsid w:val="006F1F9E"/>
    <w:rsid w:val="007000F5"/>
    <w:rsid w:val="007007FD"/>
    <w:rsid w:val="007037E7"/>
    <w:rsid w:val="00711A40"/>
    <w:rsid w:val="00711AC8"/>
    <w:rsid w:val="00711C36"/>
    <w:rsid w:val="007144B3"/>
    <w:rsid w:val="007147F2"/>
    <w:rsid w:val="00714E3F"/>
    <w:rsid w:val="0071500F"/>
    <w:rsid w:val="00717654"/>
    <w:rsid w:val="007231E4"/>
    <w:rsid w:val="007309E1"/>
    <w:rsid w:val="00731479"/>
    <w:rsid w:val="00731FEB"/>
    <w:rsid w:val="007325E8"/>
    <w:rsid w:val="007332A2"/>
    <w:rsid w:val="0073750E"/>
    <w:rsid w:val="007377FE"/>
    <w:rsid w:val="007415B3"/>
    <w:rsid w:val="007452EF"/>
    <w:rsid w:val="007478EA"/>
    <w:rsid w:val="00750B92"/>
    <w:rsid w:val="00751E68"/>
    <w:rsid w:val="00751F8D"/>
    <w:rsid w:val="00754E15"/>
    <w:rsid w:val="007558D8"/>
    <w:rsid w:val="00755FDC"/>
    <w:rsid w:val="007565DB"/>
    <w:rsid w:val="00761D65"/>
    <w:rsid w:val="007627F5"/>
    <w:rsid w:val="007630A4"/>
    <w:rsid w:val="00766326"/>
    <w:rsid w:val="00766980"/>
    <w:rsid w:val="007670CD"/>
    <w:rsid w:val="00767AEE"/>
    <w:rsid w:val="00770D30"/>
    <w:rsid w:val="0077282B"/>
    <w:rsid w:val="00777035"/>
    <w:rsid w:val="00784B55"/>
    <w:rsid w:val="0079205D"/>
    <w:rsid w:val="007923E9"/>
    <w:rsid w:val="0079325A"/>
    <w:rsid w:val="00797437"/>
    <w:rsid w:val="007A5605"/>
    <w:rsid w:val="007A5F9A"/>
    <w:rsid w:val="007A71C1"/>
    <w:rsid w:val="007B029F"/>
    <w:rsid w:val="007B0D69"/>
    <w:rsid w:val="007B253A"/>
    <w:rsid w:val="007B4BAE"/>
    <w:rsid w:val="007B55AE"/>
    <w:rsid w:val="007C32EA"/>
    <w:rsid w:val="007C4C7D"/>
    <w:rsid w:val="007C6090"/>
    <w:rsid w:val="007D20B3"/>
    <w:rsid w:val="007D2BB6"/>
    <w:rsid w:val="007D3309"/>
    <w:rsid w:val="007D397D"/>
    <w:rsid w:val="007D43D4"/>
    <w:rsid w:val="007D478E"/>
    <w:rsid w:val="007D5A86"/>
    <w:rsid w:val="007E045C"/>
    <w:rsid w:val="007E5E96"/>
    <w:rsid w:val="007F2020"/>
    <w:rsid w:val="007F6722"/>
    <w:rsid w:val="00800F57"/>
    <w:rsid w:val="00804C83"/>
    <w:rsid w:val="00805E35"/>
    <w:rsid w:val="008064B5"/>
    <w:rsid w:val="00807A5A"/>
    <w:rsid w:val="00811524"/>
    <w:rsid w:val="00813280"/>
    <w:rsid w:val="00813A65"/>
    <w:rsid w:val="0081708E"/>
    <w:rsid w:val="00817256"/>
    <w:rsid w:val="00820583"/>
    <w:rsid w:val="00821D9B"/>
    <w:rsid w:val="00823088"/>
    <w:rsid w:val="00823421"/>
    <w:rsid w:val="0082467C"/>
    <w:rsid w:val="008247FA"/>
    <w:rsid w:val="00830F49"/>
    <w:rsid w:val="00830F6B"/>
    <w:rsid w:val="00831588"/>
    <w:rsid w:val="00832DEE"/>
    <w:rsid w:val="0083607F"/>
    <w:rsid w:val="00836ABF"/>
    <w:rsid w:val="00841C2B"/>
    <w:rsid w:val="0084502E"/>
    <w:rsid w:val="00851534"/>
    <w:rsid w:val="008528E1"/>
    <w:rsid w:val="00854407"/>
    <w:rsid w:val="00854F5C"/>
    <w:rsid w:val="008607BB"/>
    <w:rsid w:val="00862B8C"/>
    <w:rsid w:val="008631C7"/>
    <w:rsid w:val="0087040E"/>
    <w:rsid w:val="00870D7F"/>
    <w:rsid w:val="0087214A"/>
    <w:rsid w:val="008727DA"/>
    <w:rsid w:val="008743EB"/>
    <w:rsid w:val="00874BA7"/>
    <w:rsid w:val="00881F8D"/>
    <w:rsid w:val="00882D43"/>
    <w:rsid w:val="00892697"/>
    <w:rsid w:val="00892825"/>
    <w:rsid w:val="00894A75"/>
    <w:rsid w:val="008A3640"/>
    <w:rsid w:val="008A5D04"/>
    <w:rsid w:val="008B0CB8"/>
    <w:rsid w:val="008B29A0"/>
    <w:rsid w:val="008B53DC"/>
    <w:rsid w:val="008C1622"/>
    <w:rsid w:val="008C3333"/>
    <w:rsid w:val="008C3539"/>
    <w:rsid w:val="008C399B"/>
    <w:rsid w:val="008C569D"/>
    <w:rsid w:val="008C6771"/>
    <w:rsid w:val="008D42BD"/>
    <w:rsid w:val="008D58E4"/>
    <w:rsid w:val="008D63B2"/>
    <w:rsid w:val="008D6CE6"/>
    <w:rsid w:val="008D7C3A"/>
    <w:rsid w:val="008E1C88"/>
    <w:rsid w:val="008E3802"/>
    <w:rsid w:val="008F0D7C"/>
    <w:rsid w:val="008F177C"/>
    <w:rsid w:val="008F2B9B"/>
    <w:rsid w:val="008F2CF6"/>
    <w:rsid w:val="008F5315"/>
    <w:rsid w:val="008F78ED"/>
    <w:rsid w:val="008F7A3C"/>
    <w:rsid w:val="008F7C59"/>
    <w:rsid w:val="00901834"/>
    <w:rsid w:val="009039C3"/>
    <w:rsid w:val="0090483E"/>
    <w:rsid w:val="009076B6"/>
    <w:rsid w:val="00910CF8"/>
    <w:rsid w:val="00910E38"/>
    <w:rsid w:val="00910F34"/>
    <w:rsid w:val="0091276A"/>
    <w:rsid w:val="00912A8A"/>
    <w:rsid w:val="0091335F"/>
    <w:rsid w:val="00913395"/>
    <w:rsid w:val="00916420"/>
    <w:rsid w:val="009215F0"/>
    <w:rsid w:val="00924789"/>
    <w:rsid w:val="00925803"/>
    <w:rsid w:val="0093582C"/>
    <w:rsid w:val="0093669F"/>
    <w:rsid w:val="00937853"/>
    <w:rsid w:val="00941DE7"/>
    <w:rsid w:val="009464F1"/>
    <w:rsid w:val="00946870"/>
    <w:rsid w:val="00946F1E"/>
    <w:rsid w:val="009517D9"/>
    <w:rsid w:val="0095437D"/>
    <w:rsid w:val="009569EF"/>
    <w:rsid w:val="00956E3C"/>
    <w:rsid w:val="0096012F"/>
    <w:rsid w:val="00961B50"/>
    <w:rsid w:val="00966E40"/>
    <w:rsid w:val="009673C4"/>
    <w:rsid w:val="00971F4E"/>
    <w:rsid w:val="0097213D"/>
    <w:rsid w:val="0097281F"/>
    <w:rsid w:val="00975E3B"/>
    <w:rsid w:val="00976B21"/>
    <w:rsid w:val="00991E6D"/>
    <w:rsid w:val="009934E7"/>
    <w:rsid w:val="00996319"/>
    <w:rsid w:val="009A1926"/>
    <w:rsid w:val="009A23AB"/>
    <w:rsid w:val="009A2E9A"/>
    <w:rsid w:val="009A7BFC"/>
    <w:rsid w:val="009B4BB3"/>
    <w:rsid w:val="009B4E73"/>
    <w:rsid w:val="009C03E9"/>
    <w:rsid w:val="009C2D06"/>
    <w:rsid w:val="009D2E64"/>
    <w:rsid w:val="009D7766"/>
    <w:rsid w:val="009E088B"/>
    <w:rsid w:val="009E2523"/>
    <w:rsid w:val="009E33C4"/>
    <w:rsid w:val="009E3D8F"/>
    <w:rsid w:val="009E45A9"/>
    <w:rsid w:val="009F09F6"/>
    <w:rsid w:val="009F19C2"/>
    <w:rsid w:val="009F575A"/>
    <w:rsid w:val="00A00091"/>
    <w:rsid w:val="00A0210E"/>
    <w:rsid w:val="00A0361B"/>
    <w:rsid w:val="00A0597C"/>
    <w:rsid w:val="00A06D36"/>
    <w:rsid w:val="00A168DF"/>
    <w:rsid w:val="00A215A8"/>
    <w:rsid w:val="00A22E39"/>
    <w:rsid w:val="00A27292"/>
    <w:rsid w:val="00A32CC4"/>
    <w:rsid w:val="00A32CE3"/>
    <w:rsid w:val="00A3729E"/>
    <w:rsid w:val="00A44BD4"/>
    <w:rsid w:val="00A51D2B"/>
    <w:rsid w:val="00A5327B"/>
    <w:rsid w:val="00A53FAC"/>
    <w:rsid w:val="00A5417D"/>
    <w:rsid w:val="00A6400D"/>
    <w:rsid w:val="00A646EB"/>
    <w:rsid w:val="00A73DCA"/>
    <w:rsid w:val="00A74DEB"/>
    <w:rsid w:val="00A774DE"/>
    <w:rsid w:val="00A77B5C"/>
    <w:rsid w:val="00A81332"/>
    <w:rsid w:val="00A81B8F"/>
    <w:rsid w:val="00A833AB"/>
    <w:rsid w:val="00A83E36"/>
    <w:rsid w:val="00A863A3"/>
    <w:rsid w:val="00A86720"/>
    <w:rsid w:val="00A875F6"/>
    <w:rsid w:val="00AA095A"/>
    <w:rsid w:val="00AA152B"/>
    <w:rsid w:val="00AA240A"/>
    <w:rsid w:val="00AA7AF7"/>
    <w:rsid w:val="00AA7E4B"/>
    <w:rsid w:val="00AB11C1"/>
    <w:rsid w:val="00AB13E0"/>
    <w:rsid w:val="00AB3DBF"/>
    <w:rsid w:val="00AB5295"/>
    <w:rsid w:val="00AC0627"/>
    <w:rsid w:val="00AC19E7"/>
    <w:rsid w:val="00AD1B2B"/>
    <w:rsid w:val="00AD381B"/>
    <w:rsid w:val="00AD40C8"/>
    <w:rsid w:val="00AD46FC"/>
    <w:rsid w:val="00AD595A"/>
    <w:rsid w:val="00AD79B6"/>
    <w:rsid w:val="00AE0D27"/>
    <w:rsid w:val="00AE118F"/>
    <w:rsid w:val="00AE1FEA"/>
    <w:rsid w:val="00AF059C"/>
    <w:rsid w:val="00AF5FDD"/>
    <w:rsid w:val="00AF6801"/>
    <w:rsid w:val="00B03839"/>
    <w:rsid w:val="00B03DB9"/>
    <w:rsid w:val="00B0451E"/>
    <w:rsid w:val="00B04820"/>
    <w:rsid w:val="00B0677A"/>
    <w:rsid w:val="00B10CEF"/>
    <w:rsid w:val="00B14DE1"/>
    <w:rsid w:val="00B24C85"/>
    <w:rsid w:val="00B25C78"/>
    <w:rsid w:val="00B30357"/>
    <w:rsid w:val="00B31154"/>
    <w:rsid w:val="00B32572"/>
    <w:rsid w:val="00B32825"/>
    <w:rsid w:val="00B349F5"/>
    <w:rsid w:val="00B34AF6"/>
    <w:rsid w:val="00B35ABB"/>
    <w:rsid w:val="00B40503"/>
    <w:rsid w:val="00B41845"/>
    <w:rsid w:val="00B42931"/>
    <w:rsid w:val="00B4347F"/>
    <w:rsid w:val="00B52BEA"/>
    <w:rsid w:val="00B57CA3"/>
    <w:rsid w:val="00B60677"/>
    <w:rsid w:val="00B62ACE"/>
    <w:rsid w:val="00B64852"/>
    <w:rsid w:val="00B664E9"/>
    <w:rsid w:val="00B724F5"/>
    <w:rsid w:val="00B72D28"/>
    <w:rsid w:val="00B75922"/>
    <w:rsid w:val="00B77D74"/>
    <w:rsid w:val="00B811AB"/>
    <w:rsid w:val="00B813D9"/>
    <w:rsid w:val="00B81F18"/>
    <w:rsid w:val="00B85784"/>
    <w:rsid w:val="00B866DA"/>
    <w:rsid w:val="00B86D9E"/>
    <w:rsid w:val="00B87713"/>
    <w:rsid w:val="00B95EA6"/>
    <w:rsid w:val="00BA2344"/>
    <w:rsid w:val="00BA298A"/>
    <w:rsid w:val="00BA5C18"/>
    <w:rsid w:val="00BA7566"/>
    <w:rsid w:val="00BB07C1"/>
    <w:rsid w:val="00BB2D45"/>
    <w:rsid w:val="00BB43CC"/>
    <w:rsid w:val="00BB4D03"/>
    <w:rsid w:val="00BC054B"/>
    <w:rsid w:val="00BC10CD"/>
    <w:rsid w:val="00BC30A3"/>
    <w:rsid w:val="00BC7FB3"/>
    <w:rsid w:val="00BE162C"/>
    <w:rsid w:val="00BE3DEF"/>
    <w:rsid w:val="00BE5CEF"/>
    <w:rsid w:val="00BE5CF5"/>
    <w:rsid w:val="00BE6048"/>
    <w:rsid w:val="00BF3A03"/>
    <w:rsid w:val="00C0638C"/>
    <w:rsid w:val="00C11936"/>
    <w:rsid w:val="00C17618"/>
    <w:rsid w:val="00C17821"/>
    <w:rsid w:val="00C20539"/>
    <w:rsid w:val="00C22DE6"/>
    <w:rsid w:val="00C230AB"/>
    <w:rsid w:val="00C238F4"/>
    <w:rsid w:val="00C3075C"/>
    <w:rsid w:val="00C3287E"/>
    <w:rsid w:val="00C33A5D"/>
    <w:rsid w:val="00C40422"/>
    <w:rsid w:val="00C41AA3"/>
    <w:rsid w:val="00C455A0"/>
    <w:rsid w:val="00C5009E"/>
    <w:rsid w:val="00C5030A"/>
    <w:rsid w:val="00C52AC8"/>
    <w:rsid w:val="00C52C03"/>
    <w:rsid w:val="00C57E17"/>
    <w:rsid w:val="00C60E10"/>
    <w:rsid w:val="00C6139F"/>
    <w:rsid w:val="00C63BB1"/>
    <w:rsid w:val="00C6708F"/>
    <w:rsid w:val="00C674BC"/>
    <w:rsid w:val="00C67C55"/>
    <w:rsid w:val="00C71D12"/>
    <w:rsid w:val="00C73035"/>
    <w:rsid w:val="00C75FE3"/>
    <w:rsid w:val="00C772F7"/>
    <w:rsid w:val="00C81562"/>
    <w:rsid w:val="00C84FD5"/>
    <w:rsid w:val="00C93700"/>
    <w:rsid w:val="00C93ACA"/>
    <w:rsid w:val="00C93DE7"/>
    <w:rsid w:val="00CA0691"/>
    <w:rsid w:val="00CA2226"/>
    <w:rsid w:val="00CA385C"/>
    <w:rsid w:val="00CA75B4"/>
    <w:rsid w:val="00CB4268"/>
    <w:rsid w:val="00CB7CEF"/>
    <w:rsid w:val="00CC3D1D"/>
    <w:rsid w:val="00CC77B5"/>
    <w:rsid w:val="00CC7D23"/>
    <w:rsid w:val="00CD2CB4"/>
    <w:rsid w:val="00CD4AF9"/>
    <w:rsid w:val="00CD7148"/>
    <w:rsid w:val="00CE2AD1"/>
    <w:rsid w:val="00CE2FD1"/>
    <w:rsid w:val="00CE52C3"/>
    <w:rsid w:val="00CE6399"/>
    <w:rsid w:val="00CE6E8D"/>
    <w:rsid w:val="00CF0ABB"/>
    <w:rsid w:val="00CF2701"/>
    <w:rsid w:val="00CF2F41"/>
    <w:rsid w:val="00CF592A"/>
    <w:rsid w:val="00CF7F49"/>
    <w:rsid w:val="00D06C61"/>
    <w:rsid w:val="00D141B8"/>
    <w:rsid w:val="00D142DA"/>
    <w:rsid w:val="00D2153E"/>
    <w:rsid w:val="00D23455"/>
    <w:rsid w:val="00D252FA"/>
    <w:rsid w:val="00D313C5"/>
    <w:rsid w:val="00D32B63"/>
    <w:rsid w:val="00D3677E"/>
    <w:rsid w:val="00D40AD2"/>
    <w:rsid w:val="00D41FFA"/>
    <w:rsid w:val="00D450E1"/>
    <w:rsid w:val="00D47767"/>
    <w:rsid w:val="00D51DF9"/>
    <w:rsid w:val="00D534DA"/>
    <w:rsid w:val="00D558A8"/>
    <w:rsid w:val="00D60CD0"/>
    <w:rsid w:val="00D60E16"/>
    <w:rsid w:val="00D62D48"/>
    <w:rsid w:val="00D64378"/>
    <w:rsid w:val="00D74DB4"/>
    <w:rsid w:val="00D776BF"/>
    <w:rsid w:val="00D81114"/>
    <w:rsid w:val="00D82152"/>
    <w:rsid w:val="00D82549"/>
    <w:rsid w:val="00D85218"/>
    <w:rsid w:val="00D91D5A"/>
    <w:rsid w:val="00D934DA"/>
    <w:rsid w:val="00D93E62"/>
    <w:rsid w:val="00DA24E6"/>
    <w:rsid w:val="00DA71E2"/>
    <w:rsid w:val="00DB0619"/>
    <w:rsid w:val="00DB12A8"/>
    <w:rsid w:val="00DB36C6"/>
    <w:rsid w:val="00DB774A"/>
    <w:rsid w:val="00DC014C"/>
    <w:rsid w:val="00DC140B"/>
    <w:rsid w:val="00DC449D"/>
    <w:rsid w:val="00DC49D2"/>
    <w:rsid w:val="00DC531E"/>
    <w:rsid w:val="00DC7033"/>
    <w:rsid w:val="00DD0FEE"/>
    <w:rsid w:val="00DD18D5"/>
    <w:rsid w:val="00DD3FAE"/>
    <w:rsid w:val="00DD4EBA"/>
    <w:rsid w:val="00DD500C"/>
    <w:rsid w:val="00DD5740"/>
    <w:rsid w:val="00DD5BA5"/>
    <w:rsid w:val="00DE01AC"/>
    <w:rsid w:val="00DE6058"/>
    <w:rsid w:val="00DE65AB"/>
    <w:rsid w:val="00DF353B"/>
    <w:rsid w:val="00DF3B5C"/>
    <w:rsid w:val="00DF5360"/>
    <w:rsid w:val="00E001AB"/>
    <w:rsid w:val="00E01265"/>
    <w:rsid w:val="00E01416"/>
    <w:rsid w:val="00E02968"/>
    <w:rsid w:val="00E04678"/>
    <w:rsid w:val="00E05AB7"/>
    <w:rsid w:val="00E06E2A"/>
    <w:rsid w:val="00E1018E"/>
    <w:rsid w:val="00E10CE1"/>
    <w:rsid w:val="00E13AC8"/>
    <w:rsid w:val="00E144CB"/>
    <w:rsid w:val="00E14D6E"/>
    <w:rsid w:val="00E25ECC"/>
    <w:rsid w:val="00E372C3"/>
    <w:rsid w:val="00E5296E"/>
    <w:rsid w:val="00E54032"/>
    <w:rsid w:val="00E54AB8"/>
    <w:rsid w:val="00E561DE"/>
    <w:rsid w:val="00E60083"/>
    <w:rsid w:val="00E65233"/>
    <w:rsid w:val="00E65626"/>
    <w:rsid w:val="00E657E2"/>
    <w:rsid w:val="00E66198"/>
    <w:rsid w:val="00E71F43"/>
    <w:rsid w:val="00E722FF"/>
    <w:rsid w:val="00E73BD3"/>
    <w:rsid w:val="00E7594A"/>
    <w:rsid w:val="00E75F84"/>
    <w:rsid w:val="00E774F6"/>
    <w:rsid w:val="00E77546"/>
    <w:rsid w:val="00E81B83"/>
    <w:rsid w:val="00E83A3C"/>
    <w:rsid w:val="00E865E0"/>
    <w:rsid w:val="00E9052B"/>
    <w:rsid w:val="00E919BA"/>
    <w:rsid w:val="00E938E3"/>
    <w:rsid w:val="00E93B7D"/>
    <w:rsid w:val="00E951A6"/>
    <w:rsid w:val="00E95D41"/>
    <w:rsid w:val="00E97048"/>
    <w:rsid w:val="00E97C16"/>
    <w:rsid w:val="00EA12F5"/>
    <w:rsid w:val="00EA154F"/>
    <w:rsid w:val="00EA195A"/>
    <w:rsid w:val="00EA4D1A"/>
    <w:rsid w:val="00EB243B"/>
    <w:rsid w:val="00EB4830"/>
    <w:rsid w:val="00EB713A"/>
    <w:rsid w:val="00EB7D80"/>
    <w:rsid w:val="00EC5898"/>
    <w:rsid w:val="00ED2A30"/>
    <w:rsid w:val="00ED451C"/>
    <w:rsid w:val="00ED5BCA"/>
    <w:rsid w:val="00ED6A00"/>
    <w:rsid w:val="00ED7775"/>
    <w:rsid w:val="00EE31C4"/>
    <w:rsid w:val="00EE4667"/>
    <w:rsid w:val="00EE572D"/>
    <w:rsid w:val="00EE71D3"/>
    <w:rsid w:val="00EF26A4"/>
    <w:rsid w:val="00EF27A6"/>
    <w:rsid w:val="00EF3D0B"/>
    <w:rsid w:val="00EF58EE"/>
    <w:rsid w:val="00F01E11"/>
    <w:rsid w:val="00F06791"/>
    <w:rsid w:val="00F06E07"/>
    <w:rsid w:val="00F1268C"/>
    <w:rsid w:val="00F1330D"/>
    <w:rsid w:val="00F147DC"/>
    <w:rsid w:val="00F14B01"/>
    <w:rsid w:val="00F17EEF"/>
    <w:rsid w:val="00F2446C"/>
    <w:rsid w:val="00F274C4"/>
    <w:rsid w:val="00F32291"/>
    <w:rsid w:val="00F34F84"/>
    <w:rsid w:val="00F37751"/>
    <w:rsid w:val="00F41811"/>
    <w:rsid w:val="00F46BBF"/>
    <w:rsid w:val="00F51A73"/>
    <w:rsid w:val="00F52187"/>
    <w:rsid w:val="00F56619"/>
    <w:rsid w:val="00F57057"/>
    <w:rsid w:val="00F57183"/>
    <w:rsid w:val="00F6018A"/>
    <w:rsid w:val="00F603DC"/>
    <w:rsid w:val="00F647A1"/>
    <w:rsid w:val="00F72892"/>
    <w:rsid w:val="00F73A19"/>
    <w:rsid w:val="00F758C2"/>
    <w:rsid w:val="00F809FC"/>
    <w:rsid w:val="00F80A93"/>
    <w:rsid w:val="00F810DE"/>
    <w:rsid w:val="00F82EF7"/>
    <w:rsid w:val="00F8791F"/>
    <w:rsid w:val="00F94A1B"/>
    <w:rsid w:val="00F95790"/>
    <w:rsid w:val="00F96840"/>
    <w:rsid w:val="00F9769A"/>
    <w:rsid w:val="00F97FBC"/>
    <w:rsid w:val="00FA157B"/>
    <w:rsid w:val="00FA1804"/>
    <w:rsid w:val="00FA31A6"/>
    <w:rsid w:val="00FA4759"/>
    <w:rsid w:val="00FA5094"/>
    <w:rsid w:val="00FA6250"/>
    <w:rsid w:val="00FA6539"/>
    <w:rsid w:val="00FA7FB6"/>
    <w:rsid w:val="00FC27EE"/>
    <w:rsid w:val="00FC6EAF"/>
    <w:rsid w:val="00FC79D0"/>
    <w:rsid w:val="00FD48FA"/>
    <w:rsid w:val="00FE163D"/>
    <w:rsid w:val="00FE3086"/>
    <w:rsid w:val="00FE6749"/>
    <w:rsid w:val="00FF1B7B"/>
    <w:rsid w:val="00FF251D"/>
    <w:rsid w:val="00FF5A7B"/>
    <w:rsid w:val="00FF7B55"/>
    <w:rsid w:val="496CD689"/>
    <w:rsid w:val="4DBBD4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5:docId w15:val="{8F6E7B67-FC24-4A58-ADA2-CE93D31D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95"/>
    <w:pPr>
      <w:spacing w:after="120"/>
    </w:pPr>
    <w:rPr>
      <w:rFonts w:cstheme="minorHAnsi"/>
    </w:rPr>
  </w:style>
  <w:style w:type="paragraph" w:styleId="Heading1">
    <w:name w:val="heading 1"/>
    <w:basedOn w:val="Normal"/>
    <w:next w:val="Normal"/>
    <w:link w:val="Heading1Char"/>
    <w:uiPriority w:val="9"/>
    <w:qFormat/>
    <w:rsid w:val="000B4D6F"/>
    <w:pPr>
      <w:pBdr>
        <w:bottom w:val="single" w:sz="18" w:space="1" w:color="007DA3"/>
      </w:pBdr>
      <w:spacing w:before="240"/>
      <w:outlineLvl w:val="0"/>
    </w:pPr>
    <w:rPr>
      <w:b/>
      <w:bCs/>
      <w:szCs w:val="28"/>
    </w:rPr>
  </w:style>
  <w:style w:type="paragraph" w:styleId="Heading2">
    <w:name w:val="heading 2"/>
    <w:basedOn w:val="Normal"/>
    <w:next w:val="Normal"/>
    <w:link w:val="Heading2Char"/>
    <w:uiPriority w:val="9"/>
    <w:unhideWhenUsed/>
    <w:qFormat/>
    <w:rsid w:val="0018752C"/>
    <w:pPr>
      <w:keepNext/>
      <w:keepLines/>
      <w:spacing w:before="120"/>
      <w:outlineLvl w:val="1"/>
    </w:pPr>
    <w:rPr>
      <w:b/>
      <w:bCs/>
      <w:color w:val="007DA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paragraph" w:styleId="ListParagraph">
    <w:name w:val="List Paragraph"/>
    <w:basedOn w:val="Normal"/>
    <w:uiPriority w:val="34"/>
    <w:qFormat/>
    <w:rsid w:val="00440EFD"/>
    <w:pPr>
      <w:numPr>
        <w:numId w:val="27"/>
      </w:numPr>
      <w:spacing w:after="60"/>
    </w:pPr>
  </w:style>
  <w:style w:type="table" w:styleId="TableGrid">
    <w:name w:val="Table Grid"/>
    <w:basedOn w:val="TableNormal"/>
    <w:uiPriority w:val="39"/>
    <w:rsid w:val="0006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5E96"/>
    <w:rPr>
      <w:sz w:val="20"/>
      <w:szCs w:val="20"/>
    </w:rPr>
  </w:style>
  <w:style w:type="character" w:customStyle="1" w:styleId="FootnoteTextChar">
    <w:name w:val="Footnote Text Char"/>
    <w:basedOn w:val="DefaultParagraphFont"/>
    <w:link w:val="FootnoteText"/>
    <w:uiPriority w:val="99"/>
    <w:semiHidden/>
    <w:rsid w:val="007E5E96"/>
    <w:rPr>
      <w:sz w:val="20"/>
      <w:szCs w:val="20"/>
    </w:rPr>
  </w:style>
  <w:style w:type="character" w:styleId="FootnoteReference">
    <w:name w:val="footnote reference"/>
    <w:basedOn w:val="DefaultParagraphFont"/>
    <w:uiPriority w:val="99"/>
    <w:semiHidden/>
    <w:unhideWhenUsed/>
    <w:rsid w:val="007E5E96"/>
    <w:rPr>
      <w:vertAlign w:val="superscript"/>
    </w:rPr>
  </w:style>
  <w:style w:type="paragraph" w:styleId="EndnoteText">
    <w:name w:val="endnote text"/>
    <w:basedOn w:val="Normal"/>
    <w:link w:val="EndnoteTextChar"/>
    <w:uiPriority w:val="99"/>
    <w:unhideWhenUsed/>
    <w:rsid w:val="007E5E96"/>
    <w:rPr>
      <w:sz w:val="20"/>
      <w:szCs w:val="20"/>
    </w:rPr>
  </w:style>
  <w:style w:type="character" w:customStyle="1" w:styleId="EndnoteTextChar">
    <w:name w:val="Endnote Text Char"/>
    <w:basedOn w:val="DefaultParagraphFont"/>
    <w:link w:val="EndnoteText"/>
    <w:uiPriority w:val="99"/>
    <w:rsid w:val="007E5E96"/>
    <w:rPr>
      <w:sz w:val="20"/>
      <w:szCs w:val="20"/>
    </w:rPr>
  </w:style>
  <w:style w:type="character" w:styleId="EndnoteReference">
    <w:name w:val="endnote reference"/>
    <w:basedOn w:val="DefaultParagraphFont"/>
    <w:uiPriority w:val="99"/>
    <w:semiHidden/>
    <w:unhideWhenUsed/>
    <w:rsid w:val="007E5E96"/>
    <w:rPr>
      <w:vertAlign w:val="superscript"/>
    </w:rPr>
  </w:style>
  <w:style w:type="paragraph" w:customStyle="1" w:styleId="FooterText">
    <w:name w:val="Footer Text"/>
    <w:link w:val="FooterTextChar"/>
    <w:qFormat/>
    <w:rsid w:val="00C230AB"/>
    <w:rPr>
      <w:rFonts w:ascii="Calibri" w:eastAsia="Calibri" w:hAnsi="Calibri" w:cs="Times New Roman"/>
      <w:bCs/>
      <w:sz w:val="20"/>
      <w:szCs w:val="20"/>
      <w:lang w:bidi="en-US"/>
    </w:rPr>
  </w:style>
  <w:style w:type="character" w:customStyle="1" w:styleId="FooterTextChar">
    <w:name w:val="Footer Text Char"/>
    <w:basedOn w:val="DefaultParagraphFont"/>
    <w:link w:val="FooterText"/>
    <w:rsid w:val="00C230A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0B4D6F"/>
    <w:rPr>
      <w:rFonts w:cstheme="minorHAnsi"/>
      <w:b/>
      <w:bCs/>
      <w:szCs w:val="28"/>
    </w:rPr>
  </w:style>
  <w:style w:type="character" w:customStyle="1" w:styleId="Heading2Char">
    <w:name w:val="Heading 2 Char"/>
    <w:basedOn w:val="DefaultParagraphFont"/>
    <w:link w:val="Heading2"/>
    <w:uiPriority w:val="9"/>
    <w:rsid w:val="0018752C"/>
    <w:rPr>
      <w:rFonts w:cstheme="minorHAnsi"/>
      <w:b/>
      <w:bCs/>
      <w:color w:val="007DA3"/>
    </w:rPr>
  </w:style>
  <w:style w:type="paragraph" w:styleId="Title">
    <w:name w:val="Title"/>
    <w:basedOn w:val="Header"/>
    <w:next w:val="Normal"/>
    <w:link w:val="TitleChar"/>
    <w:uiPriority w:val="10"/>
    <w:qFormat/>
    <w:rsid w:val="00805E35"/>
    <w:pPr>
      <w:tabs>
        <w:tab w:val="clear" w:pos="4680"/>
        <w:tab w:val="clear" w:pos="9360"/>
        <w:tab w:val="center" w:pos="5400"/>
        <w:tab w:val="left" w:pos="8100"/>
        <w:tab w:val="right" w:pos="10800"/>
      </w:tabs>
      <w:spacing w:before="120"/>
      <w:ind w:left="1440" w:right="1440"/>
    </w:pPr>
    <w:rPr>
      <w:b/>
      <w:bCs/>
      <w:sz w:val="56"/>
      <w:szCs w:val="56"/>
    </w:rPr>
  </w:style>
  <w:style w:type="character" w:customStyle="1" w:styleId="TitleChar">
    <w:name w:val="Title Char"/>
    <w:basedOn w:val="DefaultParagraphFont"/>
    <w:link w:val="Title"/>
    <w:uiPriority w:val="10"/>
    <w:rsid w:val="00805E35"/>
    <w:rPr>
      <w:rFonts w:cstheme="minorHAnsi"/>
      <w:b/>
      <w:bCs/>
      <w:sz w:val="56"/>
      <w:szCs w:val="56"/>
    </w:rPr>
  </w:style>
  <w:style w:type="paragraph" w:styleId="Subtitle">
    <w:name w:val="Subtitle"/>
    <w:basedOn w:val="Header"/>
    <w:next w:val="Normal"/>
    <w:link w:val="SubtitleChar"/>
    <w:uiPriority w:val="11"/>
    <w:qFormat/>
    <w:rsid w:val="00576E95"/>
    <w:pPr>
      <w:tabs>
        <w:tab w:val="clear" w:pos="4680"/>
        <w:tab w:val="clear" w:pos="9360"/>
        <w:tab w:val="center" w:pos="5400"/>
        <w:tab w:val="right" w:pos="10800"/>
      </w:tabs>
      <w:spacing w:before="240" w:after="360"/>
      <w:jc w:val="center"/>
    </w:pPr>
    <w:rPr>
      <w:b/>
      <w:bCs/>
      <w:sz w:val="28"/>
      <w:szCs w:val="28"/>
    </w:rPr>
  </w:style>
  <w:style w:type="character" w:customStyle="1" w:styleId="SubtitleChar">
    <w:name w:val="Subtitle Char"/>
    <w:basedOn w:val="DefaultParagraphFont"/>
    <w:link w:val="Subtitle"/>
    <w:uiPriority w:val="11"/>
    <w:rsid w:val="00576E95"/>
    <w:rPr>
      <w:rFonts w:cstheme="minorHAnsi"/>
      <w:b/>
      <w:bCs/>
      <w:sz w:val="28"/>
      <w:szCs w:val="28"/>
    </w:rPr>
  </w:style>
  <w:style w:type="paragraph" w:customStyle="1" w:styleId="RefList">
    <w:name w:val="Ref List"/>
    <w:basedOn w:val="EndnoteText"/>
    <w:link w:val="RefListChar"/>
    <w:qFormat/>
    <w:rsid w:val="00402F58"/>
    <w:pPr>
      <w:numPr>
        <w:numId w:val="25"/>
      </w:numPr>
    </w:pPr>
    <w:rPr>
      <w:sz w:val="24"/>
      <w:szCs w:val="24"/>
    </w:rPr>
  </w:style>
  <w:style w:type="character" w:customStyle="1" w:styleId="RefListChar">
    <w:name w:val="Ref List Char"/>
    <w:basedOn w:val="EndnoteTextChar"/>
    <w:link w:val="RefList"/>
    <w:rsid w:val="00402F58"/>
    <w:rPr>
      <w:rFonts w:cstheme="minorHAnsi"/>
      <w:sz w:val="20"/>
      <w:szCs w:val="20"/>
    </w:rPr>
  </w:style>
  <w:style w:type="character" w:styleId="CommentReference">
    <w:name w:val="annotation reference"/>
    <w:basedOn w:val="DefaultParagraphFont"/>
    <w:uiPriority w:val="99"/>
    <w:semiHidden/>
    <w:unhideWhenUsed/>
    <w:rsid w:val="008727DA"/>
    <w:rPr>
      <w:sz w:val="16"/>
      <w:szCs w:val="16"/>
    </w:rPr>
  </w:style>
  <w:style w:type="paragraph" w:styleId="CommentText">
    <w:name w:val="annotation text"/>
    <w:basedOn w:val="Normal"/>
    <w:link w:val="CommentTextChar"/>
    <w:uiPriority w:val="99"/>
    <w:unhideWhenUsed/>
    <w:rsid w:val="008727DA"/>
    <w:rPr>
      <w:sz w:val="20"/>
      <w:szCs w:val="20"/>
    </w:rPr>
  </w:style>
  <w:style w:type="character" w:customStyle="1" w:styleId="CommentTextChar">
    <w:name w:val="Comment Text Char"/>
    <w:basedOn w:val="DefaultParagraphFont"/>
    <w:link w:val="CommentText"/>
    <w:uiPriority w:val="99"/>
    <w:rsid w:val="008727DA"/>
    <w:rPr>
      <w:rFonts w:cstheme="minorHAnsi"/>
      <w:sz w:val="20"/>
      <w:szCs w:val="20"/>
    </w:rPr>
  </w:style>
  <w:style w:type="character" w:styleId="Hyperlink">
    <w:name w:val="Hyperlink"/>
    <w:basedOn w:val="DefaultParagraphFont"/>
    <w:uiPriority w:val="99"/>
    <w:unhideWhenUsed/>
    <w:rsid w:val="008727DA"/>
    <w:rPr>
      <w:color w:val="0563C1" w:themeColor="hyperlink"/>
      <w:u w:val="single"/>
    </w:rPr>
  </w:style>
  <w:style w:type="character" w:styleId="UnresolvedMention">
    <w:name w:val="Unresolved Mention"/>
    <w:basedOn w:val="DefaultParagraphFont"/>
    <w:uiPriority w:val="99"/>
    <w:semiHidden/>
    <w:unhideWhenUsed/>
    <w:rsid w:val="006801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075C"/>
    <w:rPr>
      <w:b/>
      <w:bCs/>
    </w:rPr>
  </w:style>
  <w:style w:type="character" w:customStyle="1" w:styleId="CommentSubjectChar">
    <w:name w:val="Comment Subject Char"/>
    <w:basedOn w:val="CommentTextChar"/>
    <w:link w:val="CommentSubject"/>
    <w:uiPriority w:val="99"/>
    <w:semiHidden/>
    <w:rsid w:val="00C3075C"/>
    <w:rPr>
      <w:rFonts w:cstheme="minorHAnsi"/>
      <w:b/>
      <w:bCs/>
      <w:sz w:val="20"/>
      <w:szCs w:val="20"/>
    </w:rPr>
  </w:style>
  <w:style w:type="paragraph" w:styleId="Revision">
    <w:name w:val="Revision"/>
    <w:hidden/>
    <w:uiPriority w:val="99"/>
    <w:semiHidden/>
    <w:rsid w:val="00817256"/>
    <w:rPr>
      <w:rFonts w:cstheme="minorHAnsi"/>
    </w:rPr>
  </w:style>
  <w:style w:type="character" w:customStyle="1" w:styleId="cf01">
    <w:name w:val="cf01"/>
    <w:basedOn w:val="DefaultParagraphFont"/>
    <w:rsid w:val="003823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4590">
      <w:bodyDiv w:val="1"/>
      <w:marLeft w:val="0"/>
      <w:marRight w:val="0"/>
      <w:marTop w:val="0"/>
      <w:marBottom w:val="0"/>
      <w:divBdr>
        <w:top w:val="none" w:sz="0" w:space="0" w:color="auto"/>
        <w:left w:val="none" w:sz="0" w:space="0" w:color="auto"/>
        <w:bottom w:val="none" w:sz="0" w:space="0" w:color="auto"/>
        <w:right w:val="none" w:sz="0" w:space="0" w:color="auto"/>
      </w:divBdr>
      <w:divsChild>
        <w:div w:id="2145463390">
          <w:marLeft w:val="360"/>
          <w:marRight w:val="0"/>
          <w:marTop w:val="0"/>
          <w:marBottom w:val="0"/>
          <w:divBdr>
            <w:top w:val="none" w:sz="0" w:space="0" w:color="auto"/>
            <w:left w:val="none" w:sz="0" w:space="0" w:color="auto"/>
            <w:bottom w:val="none" w:sz="0" w:space="0" w:color="auto"/>
            <w:right w:val="none" w:sz="0" w:space="0" w:color="auto"/>
          </w:divBdr>
        </w:div>
      </w:divsChild>
    </w:div>
    <w:div w:id="701325111">
      <w:bodyDiv w:val="1"/>
      <w:marLeft w:val="0"/>
      <w:marRight w:val="0"/>
      <w:marTop w:val="0"/>
      <w:marBottom w:val="0"/>
      <w:divBdr>
        <w:top w:val="none" w:sz="0" w:space="0" w:color="auto"/>
        <w:left w:val="none" w:sz="0" w:space="0" w:color="auto"/>
        <w:bottom w:val="none" w:sz="0" w:space="0" w:color="auto"/>
        <w:right w:val="none" w:sz="0" w:space="0" w:color="auto"/>
      </w:divBdr>
      <w:divsChild>
        <w:div w:id="1807503146">
          <w:marLeft w:val="28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tools/mrsa-prevention/toolkit/contact-precaution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hrq.gov/hai/tools/mrsa-prevention/toolkit/key-strategies.html" TargetMode="External"/><Relationship Id="rId17" Type="http://schemas.openxmlformats.org/officeDocument/2006/relationships/hyperlink" Target="https://www.cdc.gov/mrsa/hcp/infection-control/index.html.%20Accessed%20July%2031.%202024"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20" ma:contentTypeDescription="Create a new document." ma:contentTypeScope="" ma:versionID="f9bc1d42ba8155787123ceb957459d8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3ec37f08cc1e008a62fd65c6ec224e6c"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hidden="true" ma:internalName="ResidentBathingPreferencesandSkinassessments"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74233f0f-6bd0-4026-a550-8b5d019f9378}" ma:internalName="TaxCatchAll" ma:readOnly="false"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14f105-b512-4c58-b648-3bdda2cf581d" xsi:nil="true"/>
    <lcf76f155ced4ddcb4097134ff3c332f xmlns="931aec66-2863-455c-9bb0-8c99df0ac3fd">
      <Terms xmlns="http://schemas.microsoft.com/office/infopath/2007/PartnerControls"/>
    </lcf76f155ced4ddcb4097134ff3c332f>
    <SharedWithUsers xmlns="5d14f105-b512-4c58-b648-3bdda2cf581d">
      <UserInfo>
        <DisplayName>Caylin Andrews</DisplayName>
        <AccountId>120</AccountId>
        <AccountType/>
      </UserInfo>
      <UserInfo>
        <DisplayName>Samuel Kim</DisplayName>
        <AccountId>12</AccountId>
        <AccountType/>
      </UserInfo>
      <UserInfo>
        <DisplayName>Sean Berenholtz</DisplayName>
        <AccountId>58</AccountId>
        <AccountType/>
      </UserInfo>
      <UserInfo>
        <DisplayName>Sara Karaba</DisplayName>
        <AccountId>70</AccountId>
        <AccountType/>
      </UserInfo>
      <UserInfo>
        <DisplayName>Kathleen Speck</DisplayName>
        <AccountId>11</AccountId>
        <AccountType/>
      </UserInfo>
    </SharedWithUsers>
    <ResidentBathingPreferencesandSkinassessments xmlns="931aec66-2863-455c-9bb0-8c99df0ac3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3A7618-2563-4D4A-BF65-097A69EE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4.xml><?xml version="1.0" encoding="utf-8"?>
<ds:datastoreItem xmlns:ds="http://schemas.openxmlformats.org/officeDocument/2006/customXml" ds:itemID="{0F60F6C5-9DAA-4F78-8A23-78B1B9F0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Links>
    <vt:vector size="24" baseType="variant">
      <vt:variant>
        <vt:i4>2359423</vt:i4>
      </vt:variant>
      <vt:variant>
        <vt:i4>9</vt:i4>
      </vt:variant>
      <vt:variant>
        <vt:i4>0</vt:i4>
      </vt:variant>
      <vt:variant>
        <vt:i4>5</vt:i4>
      </vt:variant>
      <vt:variant>
        <vt:lpwstr>https://www.cambridge.org/core/journals/infection-control-and-hospital-epidemiology/article/abs/healthcare-personnel-opinions-regarding-the-feasibility-of-a-risktailored-approach-to-contact-precautions-for-methicillinresistant-staphylococcus-aureus-in-the-acute-care-setting/C0BE130F1208EAD751B10259A0AA70A4</vt:lpwstr>
      </vt:variant>
      <vt:variant>
        <vt:lpwstr/>
      </vt:variant>
      <vt:variant>
        <vt:i4>852012</vt:i4>
      </vt:variant>
      <vt:variant>
        <vt:i4>6</vt:i4>
      </vt:variant>
      <vt:variant>
        <vt:i4>0</vt:i4>
      </vt:variant>
      <vt:variant>
        <vt:i4>5</vt:i4>
      </vt:variant>
      <vt:variant>
        <vt:lpwstr>https://academic.oup.com/cid/article/79/2/576/7485794?utm_source=authortollfreelink&amp;utm_campaign=cid&amp;utm_medium=email&amp;guestAccessKey=d5fbed59-4d11-42ce-8627-0e98d0036a09</vt:lpwstr>
      </vt:variant>
      <vt:variant>
        <vt:lpwstr/>
      </vt:variant>
      <vt:variant>
        <vt:i4>2359403</vt:i4>
      </vt:variant>
      <vt:variant>
        <vt:i4>3</vt:i4>
      </vt:variant>
      <vt:variant>
        <vt:i4>0</vt:i4>
      </vt:variant>
      <vt:variant>
        <vt:i4>5</vt:i4>
      </vt:variant>
      <vt:variant>
        <vt:lpwstr>https://academic.oup.com/cid/article/78/5/1289/7280131?login=false</vt:lpwstr>
      </vt:variant>
      <vt:variant>
        <vt:lpwstr/>
      </vt:variant>
      <vt:variant>
        <vt:i4>3866737</vt:i4>
      </vt:variant>
      <vt:variant>
        <vt:i4>0</vt:i4>
      </vt:variant>
      <vt:variant>
        <vt:i4>0</vt:i4>
      </vt:variant>
      <vt:variant>
        <vt:i4>5</vt:i4>
      </vt:variant>
      <vt:variant>
        <vt:lpwstr>https://www.ncbi.nlm.nih.gov/pmc/articles/PMC10052432/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171</cp:revision>
  <cp:lastPrinted>2024-09-19T20:02:00Z</cp:lastPrinted>
  <dcterms:created xsi:type="dcterms:W3CDTF">2024-09-18T12:49:00Z</dcterms:created>
  <dcterms:modified xsi:type="dcterms:W3CDTF">2024-10-17T02:47:00Z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MediaServiceImageTags">
    <vt:lpwstr/>
  </property>
</Properties>
</file>