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44B3" w14:textId="0CBD9318" w:rsidR="00E938E3" w:rsidRPr="00665AF1" w:rsidRDefault="00A05EB9" w:rsidP="000559EA">
      <w:pPr>
        <w:pStyle w:val="Heading1"/>
        <w:spacing w:before="60"/>
      </w:pPr>
      <w:r>
        <w:t>V</w:t>
      </w:r>
      <w:r w:rsidR="00A96493">
        <w:t>entilator</w:t>
      </w:r>
      <w:r w:rsidR="001C3595">
        <w:t>-Associated Pneumonia (V</w:t>
      </w:r>
      <w:r>
        <w:t>AP</w:t>
      </w:r>
      <w:r w:rsidR="001C3595">
        <w:t>)</w:t>
      </w:r>
      <w:r>
        <w:t xml:space="preserve"> Prevention Essential Practices</w:t>
      </w:r>
      <w:r w:rsidR="00BB4CC8">
        <w:rPr>
          <w:vertAlign w:val="superscript"/>
        </w:rPr>
        <w:t>1</w:t>
      </w:r>
      <w:r>
        <w:t xml:space="preserve"> </w:t>
      </w:r>
    </w:p>
    <w:p w14:paraId="18C9CB72" w14:textId="3AA8BCAC" w:rsidR="00F42096" w:rsidRPr="00E1018E" w:rsidRDefault="001C3595" w:rsidP="00F42096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6E872" wp14:editId="3B47DE3F">
            <wp:simplePos x="0" y="0"/>
            <wp:positionH relativeFrom="margin">
              <wp:posOffset>4400550</wp:posOffset>
            </wp:positionH>
            <wp:positionV relativeFrom="paragraph">
              <wp:posOffset>86995</wp:posOffset>
            </wp:positionV>
            <wp:extent cx="2352675" cy="1567180"/>
            <wp:effectExtent l="38100" t="38100" r="104775" b="90170"/>
            <wp:wrapSquare wrapText="bothSides"/>
            <wp:docPr id="913067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676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671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096">
        <w:t>Avoid intubation if possible.</w:t>
      </w:r>
      <w:r w:rsidR="00BB4CC8">
        <w:rPr>
          <w:vertAlign w:val="superscript"/>
        </w:rPr>
        <w:t>2-3</w:t>
      </w:r>
      <w:r w:rsidR="00F42096" w:rsidRPr="00AE643A">
        <w:rPr>
          <w:noProof/>
        </w:rPr>
        <w:t xml:space="preserve"> </w:t>
      </w:r>
    </w:p>
    <w:p w14:paraId="108E9A2D" w14:textId="4AC08AB7" w:rsidR="00F42096" w:rsidRDefault="00F42096" w:rsidP="00A60585">
      <w:pPr>
        <w:pStyle w:val="ListParagraph"/>
      </w:pPr>
      <w:r>
        <w:t>Consider alternative strategies, such as, high flow O2 or noninvasive positive pressure ventilation.</w:t>
      </w:r>
    </w:p>
    <w:p w14:paraId="49BD67F2" w14:textId="2A1DC98D" w:rsidR="00F42096" w:rsidRPr="00440EFD" w:rsidRDefault="00F42096" w:rsidP="00A60585">
      <w:pPr>
        <w:pStyle w:val="ListParagraph"/>
      </w:pPr>
      <w:r>
        <w:t>Con</w:t>
      </w:r>
      <w:r w:rsidR="00BE5A07">
        <w:t>sider each patient’s clinical scenario to determine the most appropriate strategy</w:t>
      </w:r>
      <w:r>
        <w:t>.</w:t>
      </w:r>
    </w:p>
    <w:p w14:paraId="02498037" w14:textId="01F556D7" w:rsidR="00F42096" w:rsidRPr="00233140" w:rsidRDefault="00F42096" w:rsidP="00F42096">
      <w:pPr>
        <w:pStyle w:val="Heading2"/>
        <w:rPr>
          <w:vertAlign w:val="superscript"/>
        </w:rPr>
      </w:pPr>
      <w:r>
        <w:t>Minimize sedation.</w:t>
      </w:r>
      <w:r w:rsidR="00233140">
        <w:rPr>
          <w:vertAlign w:val="superscript"/>
        </w:rPr>
        <w:t>2-5</w:t>
      </w:r>
    </w:p>
    <w:p w14:paraId="58C87487" w14:textId="77777777" w:rsidR="00F42096" w:rsidRDefault="00F42096" w:rsidP="00A60585">
      <w:pPr>
        <w:pStyle w:val="ListParagraph"/>
      </w:pPr>
      <w:r>
        <w:t>Determine a clear plan and targets for sedation. Consider multimodal and alternative strategies.</w:t>
      </w:r>
    </w:p>
    <w:p w14:paraId="1D2B41E1" w14:textId="77777777" w:rsidR="00F42096" w:rsidRPr="00440EFD" w:rsidRDefault="00F42096" w:rsidP="00A60585">
      <w:pPr>
        <w:pStyle w:val="ListParagraph"/>
      </w:pPr>
      <w:r>
        <w:t>Conduct daily sedation awakening trials, unless contraindicated.</w:t>
      </w:r>
    </w:p>
    <w:p w14:paraId="1F8B0F42" w14:textId="15F4B98E" w:rsidR="00F42096" w:rsidRPr="00233140" w:rsidRDefault="00F42096" w:rsidP="00F42096">
      <w:pPr>
        <w:pStyle w:val="Heading2"/>
        <w:rPr>
          <w:vertAlign w:val="superscript"/>
        </w:rPr>
      </w:pPr>
      <w:r>
        <w:t>Conduct daily spontaneous breathing trials.</w:t>
      </w:r>
      <w:r w:rsidR="00233140">
        <w:rPr>
          <w:vertAlign w:val="superscript"/>
        </w:rPr>
        <w:t>2, 4-5</w:t>
      </w:r>
    </w:p>
    <w:p w14:paraId="34D52B7F" w14:textId="77777777" w:rsidR="00F42096" w:rsidRDefault="00F42096" w:rsidP="00A60585">
      <w:pPr>
        <w:pStyle w:val="ListParagraph"/>
      </w:pPr>
      <w:r>
        <w:t>Perform for all ventilated patients without contraindications.</w:t>
      </w:r>
    </w:p>
    <w:p w14:paraId="70F27CC7" w14:textId="77777777" w:rsidR="00F42096" w:rsidRPr="00440EFD" w:rsidRDefault="00F42096" w:rsidP="00A60585">
      <w:pPr>
        <w:pStyle w:val="ListParagraph"/>
      </w:pPr>
      <w:r>
        <w:t>Coordinate concurrently with sedation awakening trials.</w:t>
      </w:r>
    </w:p>
    <w:p w14:paraId="21A9CFBD" w14:textId="7F8C2597" w:rsidR="00F42096" w:rsidRPr="00233140" w:rsidRDefault="00F42096" w:rsidP="00F42096">
      <w:pPr>
        <w:pStyle w:val="Heading2"/>
        <w:rPr>
          <w:vertAlign w:val="superscript"/>
        </w:rPr>
      </w:pPr>
      <w:r>
        <w:t>Mobilize patients as soon as possible.</w:t>
      </w:r>
      <w:r w:rsidR="00233140">
        <w:rPr>
          <w:vertAlign w:val="superscript"/>
        </w:rPr>
        <w:t>4-5</w:t>
      </w:r>
    </w:p>
    <w:p w14:paraId="0A933970" w14:textId="77777777" w:rsidR="00F42096" w:rsidRDefault="00F42096" w:rsidP="00A60585">
      <w:pPr>
        <w:pStyle w:val="ListParagraph"/>
      </w:pPr>
      <w:r>
        <w:t>Early mobilization contributes to reduction in duration of mechanical ventilation and shorter ICU stay.</w:t>
      </w:r>
    </w:p>
    <w:p w14:paraId="4D0F44DE" w14:textId="77777777" w:rsidR="00F42096" w:rsidRPr="00440EFD" w:rsidRDefault="00F42096" w:rsidP="00A60585">
      <w:pPr>
        <w:pStyle w:val="ListParagraph"/>
      </w:pPr>
      <w:r>
        <w:t>Identify barriers to early mobility and discuss solutions with staff.</w:t>
      </w:r>
    </w:p>
    <w:p w14:paraId="5DD1E7EA" w14:textId="27B56803" w:rsidR="00F42096" w:rsidRPr="00B94950" w:rsidRDefault="00F42096" w:rsidP="00F42096">
      <w:pPr>
        <w:pStyle w:val="Heading2"/>
        <w:rPr>
          <w:vertAlign w:val="superscript"/>
        </w:rPr>
      </w:pPr>
      <w:r>
        <w:t>Elevate head of bed above 30 degrees.</w:t>
      </w:r>
      <w:r w:rsidR="00B94950">
        <w:rPr>
          <w:vertAlign w:val="superscript"/>
        </w:rPr>
        <w:t>2-4</w:t>
      </w:r>
    </w:p>
    <w:p w14:paraId="58BAF218" w14:textId="1F2B7975" w:rsidR="00F42096" w:rsidRPr="00440EFD" w:rsidRDefault="00F42096" w:rsidP="00A60585">
      <w:pPr>
        <w:pStyle w:val="ListParagraph"/>
      </w:pPr>
      <w:r>
        <w:t xml:space="preserve">Current evidence recommends avoiding </w:t>
      </w:r>
      <w:r w:rsidR="00A63C38">
        <w:t xml:space="preserve">the </w:t>
      </w:r>
      <w:r>
        <w:t>supine horizontal position.</w:t>
      </w:r>
    </w:p>
    <w:p w14:paraId="16E666C0" w14:textId="1E274431" w:rsidR="00F42096" w:rsidRPr="00DF19FE" w:rsidRDefault="00F42096" w:rsidP="00F42096">
      <w:pPr>
        <w:pStyle w:val="Heading2"/>
        <w:rPr>
          <w:vertAlign w:val="superscript"/>
        </w:rPr>
      </w:pPr>
      <w:r>
        <w:t>Complete daily oral care.</w:t>
      </w:r>
    </w:p>
    <w:p w14:paraId="20009A09" w14:textId="77777777" w:rsidR="00F42096" w:rsidRDefault="00F42096" w:rsidP="00A60585">
      <w:pPr>
        <w:pStyle w:val="ListParagraph"/>
      </w:pPr>
      <w:r>
        <w:t>Daily toothbrushing is an essential practice.</w:t>
      </w:r>
    </w:p>
    <w:p w14:paraId="52220D48" w14:textId="77777777" w:rsidR="00F42096" w:rsidRPr="00440EFD" w:rsidRDefault="00F42096" w:rsidP="00A60585">
      <w:pPr>
        <w:pStyle w:val="ListParagraph"/>
      </w:pPr>
      <w:r w:rsidRPr="00B63BC2">
        <w:rPr>
          <w:b/>
          <w:bCs/>
        </w:rPr>
        <w:t>Do NOT use chlorhexidine</w:t>
      </w:r>
      <w:r>
        <w:rPr>
          <w:b/>
          <w:bCs/>
        </w:rPr>
        <w:t xml:space="preserve"> for oral care</w:t>
      </w:r>
      <w:r>
        <w:t>. Evidence suggests potential for increased mortality rates.</w:t>
      </w:r>
    </w:p>
    <w:p w14:paraId="7F645DF7" w14:textId="672B0B26" w:rsidR="00F42096" w:rsidRPr="00E95850" w:rsidRDefault="00F42096" w:rsidP="00F42096">
      <w:pPr>
        <w:pStyle w:val="Heading2"/>
        <w:rPr>
          <w:vertAlign w:val="superscript"/>
        </w:rPr>
      </w:pPr>
      <w:r>
        <w:t>Provide early enteral feeding.</w:t>
      </w:r>
      <w:r w:rsidR="00E95850">
        <w:rPr>
          <w:vertAlign w:val="superscript"/>
        </w:rPr>
        <w:t>2-3</w:t>
      </w:r>
    </w:p>
    <w:p w14:paraId="4875D2A1" w14:textId="77777777" w:rsidR="00F42096" w:rsidRPr="00440EFD" w:rsidRDefault="00F42096" w:rsidP="00A60585">
      <w:pPr>
        <w:pStyle w:val="ListParagraph"/>
      </w:pPr>
      <w:r>
        <w:t>Early enteral nutrition is preferred over parenteral nutrition.</w:t>
      </w:r>
    </w:p>
    <w:p w14:paraId="6B1E34BD" w14:textId="1AC445B4" w:rsidR="00F42096" w:rsidRPr="00E95850" w:rsidRDefault="00F42096" w:rsidP="00F42096">
      <w:pPr>
        <w:pStyle w:val="Heading2"/>
        <w:rPr>
          <w:vertAlign w:val="superscript"/>
        </w:rPr>
      </w:pPr>
      <w:r>
        <w:t>Maintain ventilator circuits properly.</w:t>
      </w:r>
      <w:r w:rsidR="00E95850">
        <w:rPr>
          <w:vertAlign w:val="superscript"/>
        </w:rPr>
        <w:t>3</w:t>
      </w:r>
    </w:p>
    <w:p w14:paraId="00DA3717" w14:textId="77777777" w:rsidR="00F42096" w:rsidRDefault="00F42096" w:rsidP="00A60585">
      <w:pPr>
        <w:pStyle w:val="ListParagraph"/>
      </w:pPr>
      <w:r>
        <w:t>Change circuits only when soiled or nonfunctioning, or according to manufacturer instructions.</w:t>
      </w:r>
    </w:p>
    <w:p w14:paraId="4E802DB8" w14:textId="77777777" w:rsidR="00F42096" w:rsidRPr="00B81F18" w:rsidRDefault="00F42096" w:rsidP="00A60585">
      <w:pPr>
        <w:pStyle w:val="ListParagraph"/>
      </w:pPr>
      <w:r>
        <w:t>If condensation occurs, drain away from patient.</w:t>
      </w:r>
    </w:p>
    <w:p w14:paraId="2666C6CF" w14:textId="2E44D8AD" w:rsidR="00F42096" w:rsidRPr="007923E9" w:rsidRDefault="00F42096" w:rsidP="000559EA">
      <w:pPr>
        <w:pStyle w:val="Heading1"/>
      </w:pPr>
      <w:r>
        <w:t xml:space="preserve">Additional Interventions </w:t>
      </w:r>
      <w:r w:rsidR="00A63C38">
        <w:t>T</w:t>
      </w:r>
      <w:r>
        <w:t>o Consider</w:t>
      </w:r>
    </w:p>
    <w:p w14:paraId="4FE5C5C5" w14:textId="029D2AE4" w:rsidR="00F42096" w:rsidRPr="00E95850" w:rsidRDefault="00F42096" w:rsidP="00F42096">
      <w:pPr>
        <w:pStyle w:val="Heading2"/>
        <w:rPr>
          <w:vertAlign w:val="superscript"/>
        </w:rPr>
      </w:pPr>
      <w:r>
        <w:t>Perform selective decontamination of oropharynx and digestive tract.</w:t>
      </w:r>
      <w:r w:rsidR="00E95850">
        <w:rPr>
          <w:vertAlign w:val="superscript"/>
        </w:rPr>
        <w:t>2-3,6</w:t>
      </w:r>
    </w:p>
    <w:p w14:paraId="3CE0F6DA" w14:textId="101D19A0" w:rsidR="00F42096" w:rsidRDefault="00F42096" w:rsidP="00A60585">
      <w:pPr>
        <w:pStyle w:val="ListParagraph"/>
      </w:pPr>
      <w:r>
        <w:t>Should only be considered in populations/units with low rates of multidrug</w:t>
      </w:r>
      <w:r w:rsidR="00A63C38">
        <w:t>-</w:t>
      </w:r>
      <w:r>
        <w:t>resistant organisms.</w:t>
      </w:r>
    </w:p>
    <w:p w14:paraId="1D6ACC55" w14:textId="77777777" w:rsidR="00F42096" w:rsidRDefault="00F42096" w:rsidP="00A60585">
      <w:pPr>
        <w:pStyle w:val="ListParagraph"/>
      </w:pPr>
      <w:r>
        <w:t>Must be coupled with a mechanism to monitor for antibiotic resistance.</w:t>
      </w:r>
    </w:p>
    <w:p w14:paraId="252DA921" w14:textId="62830C4C" w:rsidR="00F42096" w:rsidRPr="00E95850" w:rsidRDefault="00F42096" w:rsidP="00F42096">
      <w:pPr>
        <w:pStyle w:val="Heading2"/>
        <w:rPr>
          <w:vertAlign w:val="superscript"/>
        </w:rPr>
      </w:pPr>
      <w:r>
        <w:t>Use endotracheal tubes with subglottic suction.</w:t>
      </w:r>
      <w:r w:rsidR="00E95850">
        <w:rPr>
          <w:vertAlign w:val="superscript"/>
        </w:rPr>
        <w:t>4</w:t>
      </w:r>
    </w:p>
    <w:p w14:paraId="63BE1F11" w14:textId="77777777" w:rsidR="00F42096" w:rsidRPr="00440EFD" w:rsidRDefault="00F42096" w:rsidP="00A60585">
      <w:pPr>
        <w:pStyle w:val="ListParagraph"/>
      </w:pPr>
      <w:r>
        <w:t>Associated with reduced VAP rates but has not been found to affect other outcomes (e.g., mortality).</w:t>
      </w:r>
    </w:p>
    <w:p w14:paraId="0FBAC557" w14:textId="587BA48A" w:rsidR="00F42096" w:rsidRPr="00E95850" w:rsidRDefault="00F42096" w:rsidP="00F42096">
      <w:pPr>
        <w:pStyle w:val="Heading2"/>
        <w:rPr>
          <w:vertAlign w:val="superscript"/>
        </w:rPr>
      </w:pPr>
      <w:r>
        <w:t>Consider early tracheostomy (within 7 days of intubation).</w:t>
      </w:r>
      <w:r w:rsidR="00E95850">
        <w:rPr>
          <w:vertAlign w:val="superscript"/>
        </w:rPr>
        <w:t>3</w:t>
      </w:r>
    </w:p>
    <w:p w14:paraId="0B315F3E" w14:textId="77777777" w:rsidR="00F42096" w:rsidRPr="00440EFD" w:rsidRDefault="00F42096" w:rsidP="00A60585">
      <w:pPr>
        <w:pStyle w:val="ListParagraph"/>
      </w:pPr>
      <w:r>
        <w:t>Associated with reduced VAP rates but the broader impact on patient health must be considered.</w:t>
      </w:r>
    </w:p>
    <w:p w14:paraId="001F8FB0" w14:textId="7154B3F3" w:rsidR="00F42096" w:rsidRPr="00E95850" w:rsidRDefault="00F42096" w:rsidP="00F42096">
      <w:pPr>
        <w:pStyle w:val="Heading2"/>
        <w:rPr>
          <w:vertAlign w:val="superscript"/>
        </w:rPr>
      </w:pPr>
      <w:r>
        <w:t>Consider post</w:t>
      </w:r>
      <w:r w:rsidR="00A63C38">
        <w:t>-</w:t>
      </w:r>
      <w:r>
        <w:t>pyloric feeding.</w:t>
      </w:r>
      <w:r w:rsidR="00E95850">
        <w:rPr>
          <w:vertAlign w:val="superscript"/>
        </w:rPr>
        <w:t>2,7</w:t>
      </w:r>
    </w:p>
    <w:p w14:paraId="2581DBCC" w14:textId="4E53FE28" w:rsidR="00BE6048" w:rsidRPr="00B81F18" w:rsidRDefault="00F42096" w:rsidP="00045882">
      <w:pPr>
        <w:pStyle w:val="ListParagraph"/>
      </w:pPr>
      <w:r>
        <w:t>Associated with a lower incidence of pneumonia than gastric feeding.</w:t>
      </w:r>
    </w:p>
    <w:p w14:paraId="2BD6C2DA" w14:textId="77777777" w:rsidR="00F42096" w:rsidRPr="007923E9" w:rsidRDefault="00F42096" w:rsidP="000559EA">
      <w:pPr>
        <w:pStyle w:val="Heading1"/>
      </w:pPr>
      <w:r>
        <w:t>Guidelines and Resources</w:t>
      </w:r>
    </w:p>
    <w:p w14:paraId="11955FE5" w14:textId="771A3625" w:rsidR="00F42096" w:rsidRPr="001C26A2" w:rsidRDefault="00F42096" w:rsidP="001C3595">
      <w:pPr>
        <w:pStyle w:val="ListParagraph"/>
        <w:rPr>
          <w:b/>
          <w:bCs/>
        </w:rPr>
      </w:pPr>
      <w:hyperlink r:id="rId12" w:history="1">
        <w:r w:rsidRPr="00947D4F">
          <w:rPr>
            <w:rStyle w:val="Hyperlink"/>
            <w:b/>
            <w:bCs/>
          </w:rPr>
          <w:t xml:space="preserve">2022 SHEA Compendium Strategies to Prevent VAP, </w:t>
        </w:r>
        <w:r w:rsidR="00E963D7" w:rsidRPr="00E963D7">
          <w:rPr>
            <w:rStyle w:val="Hyperlink"/>
            <w:b/>
            <w:bCs/>
          </w:rPr>
          <w:t>Ventilator-Associated Events</w:t>
        </w:r>
        <w:r w:rsidRPr="00947D4F">
          <w:rPr>
            <w:rStyle w:val="Hyperlink"/>
            <w:b/>
            <w:bCs/>
          </w:rPr>
          <w:t xml:space="preserve">, and </w:t>
        </w:r>
        <w:r w:rsidR="003573E5" w:rsidRPr="003573E5">
          <w:rPr>
            <w:rStyle w:val="Hyperlink"/>
            <w:b/>
            <w:bCs/>
          </w:rPr>
          <w:t>Non-Ventilator Hospital-Acquired Pneumonia</w:t>
        </w:r>
      </w:hyperlink>
      <w:r w:rsidR="00820BCB">
        <w:rPr>
          <w:rStyle w:val="Hyperlink"/>
          <w:b/>
          <w:bCs/>
          <w:vertAlign w:val="superscript"/>
        </w:rPr>
        <w:t>1</w:t>
      </w:r>
    </w:p>
    <w:p w14:paraId="2A8C8B44" w14:textId="013E89AE" w:rsidR="00F42096" w:rsidRPr="00503D60" w:rsidRDefault="00F42096" w:rsidP="001C3595">
      <w:pPr>
        <w:pStyle w:val="ListParagraph"/>
        <w:rPr>
          <w:b/>
          <w:bCs/>
        </w:rPr>
      </w:pPr>
      <w:hyperlink r:id="rId13" w:history="1">
        <w:r w:rsidRPr="00503D60">
          <w:rPr>
            <w:rStyle w:val="Hyperlink"/>
            <w:b/>
            <w:bCs/>
          </w:rPr>
          <w:t>Society of Critical Care Medicine ICU Liberation Bundl</w:t>
        </w:r>
        <w:r w:rsidR="00FA6C3B">
          <w:rPr>
            <w:rStyle w:val="Hyperlink"/>
            <w:b/>
            <w:bCs/>
          </w:rPr>
          <w:t>e (published 2020)</w:t>
        </w:r>
      </w:hyperlink>
      <w:r w:rsidR="00F263DF">
        <w:rPr>
          <w:rStyle w:val="Hyperlink"/>
          <w:b/>
          <w:bCs/>
          <w:vertAlign w:val="superscript"/>
        </w:rPr>
        <w:t>5</w:t>
      </w:r>
    </w:p>
    <w:p w14:paraId="78B6839C" w14:textId="0D3C8CD9" w:rsidR="006921A2" w:rsidRPr="007923E9" w:rsidRDefault="00F42096" w:rsidP="00045882">
      <w:pPr>
        <w:pStyle w:val="ListParagraph"/>
      </w:pPr>
      <w:hyperlink r:id="rId14" w:history="1">
        <w:r w:rsidRPr="0000703D">
          <w:rPr>
            <w:rStyle w:val="Hyperlink"/>
            <w:b/>
            <w:bCs/>
          </w:rPr>
          <w:t>AHRQ Toolkit To Improve Safety for Mechanically Ventilated Patients</w:t>
        </w:r>
      </w:hyperlink>
      <w:r w:rsidR="005A78A9">
        <w:rPr>
          <w:rStyle w:val="Hyperlink"/>
          <w:b/>
          <w:bCs/>
        </w:rPr>
        <w:t xml:space="preserve"> (2017)</w:t>
      </w:r>
      <w:r w:rsidR="00F263DF">
        <w:rPr>
          <w:rStyle w:val="Hyperlink"/>
          <w:b/>
          <w:bCs/>
          <w:vertAlign w:val="superscript"/>
        </w:rPr>
        <w:t>4</w:t>
      </w:r>
    </w:p>
    <w:p w14:paraId="74C8F3C1" w14:textId="57173BE7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6648B4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486073F" w14:textId="77777777" w:rsidR="00BB4CC8" w:rsidRPr="00553505" w:rsidRDefault="00BB4CC8" w:rsidP="00BB4CC8">
      <w:pPr>
        <w:pStyle w:val="RefList"/>
      </w:pPr>
      <w:r w:rsidRPr="00553505">
        <w:t>Klompas M, Branson R, Cawcutt K, et al. Strategies to prevent ventilator-associated pneumonia, ventilator-associated events, and nonventilator hospital-acquired pneumonia in acute-care hospitals: 2022 Update. Infect Control Hosp Epidemiol. 2022 Jun;43(6):687-713. PMID: 35589091.</w:t>
      </w:r>
    </w:p>
    <w:p w14:paraId="67CAEF05" w14:textId="77777777" w:rsidR="00BB4CC8" w:rsidRPr="00553505" w:rsidRDefault="00BB4CC8" w:rsidP="00BB4CC8">
      <w:pPr>
        <w:pStyle w:val="RefList"/>
      </w:pPr>
      <w:r w:rsidRPr="00553505">
        <w:t>American Thoracic Society, Infectious Diseases Society of America. Guidelines for the management of adults with hospital-acquired, ventilator-associated, and healthcare-associated pneumonia. Am J Respir Crit Care Med. 2005 Feb;171(4):388–416. PMID: 15699079.</w:t>
      </w:r>
    </w:p>
    <w:p w14:paraId="0A2CD3B7" w14:textId="77777777" w:rsidR="00BB4CC8" w:rsidRPr="00553505" w:rsidRDefault="00BB4CC8" w:rsidP="00BB4CC8">
      <w:pPr>
        <w:pStyle w:val="RefList"/>
      </w:pPr>
      <w:r w:rsidRPr="00553505">
        <w:t>Rotstein C, Evans G, Born A, et al. Clinical practice guidelines for hospital-acquired pneumonia and ventilator-associated pneumonia in adults. Can J Infect Dis Med Microbiol. 2008 Jan;19(1):19-53. PMID: 19145262.</w:t>
      </w:r>
    </w:p>
    <w:p w14:paraId="0F8111BE" w14:textId="3E3C30F1" w:rsidR="00387BD4" w:rsidRDefault="00387BD4" w:rsidP="00BB4CC8">
      <w:pPr>
        <w:pStyle w:val="RefList"/>
      </w:pPr>
      <w:r w:rsidRPr="00553505">
        <w:t xml:space="preserve">Agency for Healthcare Research and Quality. Toolkit To Improve Safety for Mechanically Ventilated Patients. Content last reviewed August 2017. Agency for Healthcare Research and Quality, Rockville, MD. </w:t>
      </w:r>
      <w:hyperlink r:id="rId18" w:history="1">
        <w:r w:rsidRPr="00BB4CC8">
          <w:rPr>
            <w:rStyle w:val="Hyperlink"/>
            <w:rFonts w:ascii="Calibri" w:hAnsi="Calibri" w:cs="Calibri"/>
          </w:rPr>
          <w:t>https://www.ahrq.gov/hai/tools/mvp/index.html</w:t>
        </w:r>
      </w:hyperlink>
      <w:r w:rsidRPr="00553505">
        <w:t xml:space="preserve">. Accessed March 8, 2024. </w:t>
      </w:r>
    </w:p>
    <w:p w14:paraId="5DB9F391" w14:textId="4AB72994" w:rsidR="00BB4CC8" w:rsidRPr="00913395" w:rsidRDefault="00BD2432" w:rsidP="00BB4CC8">
      <w:pPr>
        <w:pStyle w:val="RefList"/>
      </w:pPr>
      <w:r>
        <w:br w:type="column"/>
      </w:r>
      <w:r w:rsidR="00BB4CC8" w:rsidRPr="00553505">
        <w:t xml:space="preserve">Society of Critical Care Medicine. ICU Liberation Bundle (A-F). </w:t>
      </w:r>
      <w:hyperlink r:id="rId19" w:history="1">
        <w:r w:rsidR="00BB4CC8" w:rsidRPr="00553505">
          <w:rPr>
            <w:rStyle w:val="Hyperlink"/>
            <w:rFonts w:ascii="Calibri" w:hAnsi="Calibri" w:cs="Calibri"/>
          </w:rPr>
          <w:t>https://www.sccm.org/Clinical-Resources/ICULiberation-Home/ABCDEF-Bundles</w:t>
        </w:r>
      </w:hyperlink>
      <w:r w:rsidR="00BB4CC8" w:rsidRPr="00553505">
        <w:t>. Accessed March 8, 2024.</w:t>
      </w:r>
    </w:p>
    <w:p w14:paraId="262E6A8A" w14:textId="08968AC5" w:rsidR="00BB4CC8" w:rsidRPr="00553505" w:rsidRDefault="00BB4CC8" w:rsidP="00BB4CC8">
      <w:pPr>
        <w:pStyle w:val="RefList"/>
      </w:pPr>
      <w:r w:rsidRPr="00553505">
        <w:t xml:space="preserve">Shebl E, Gulick PG. Nosocomial Pneumonia. In: StatPearls. StatPearls Publishing: Treasure Island, FL; 2023. PMID: 3051062. </w:t>
      </w:r>
      <w:hyperlink r:id="rId20" w:history="1">
        <w:r w:rsidRPr="00553505">
          <w:rPr>
            <w:rStyle w:val="Hyperlink"/>
            <w:rFonts w:ascii="Calibri" w:hAnsi="Calibri" w:cs="Calibri"/>
          </w:rPr>
          <w:t>https://www.ncbi.nlm.nih.gov/books/NBK535441</w:t>
        </w:r>
      </w:hyperlink>
      <w:r w:rsidRPr="00553505">
        <w:t>.</w:t>
      </w:r>
    </w:p>
    <w:p w14:paraId="4685D001" w14:textId="4E5F8919" w:rsidR="00387BD4" w:rsidRDefault="00387BD4" w:rsidP="00387BD4">
      <w:pPr>
        <w:pStyle w:val="RefList"/>
      </w:pPr>
      <w:r w:rsidRPr="00553505">
        <w:t>Liu Y, Wang Y, Zhang B, et al. Gastric-tube versus post-pyloric feeding in critical patients: a systematic review and meta-analysis of pulmonary aspiration- and nutrition-related outcomes. Eur J Clin Nutr. 2021 Sep;75(9):1337-48. PMID: 33536570.</w:t>
      </w:r>
    </w:p>
    <w:p w14:paraId="0CF20B0C" w14:textId="77777777" w:rsidR="00AC416E" w:rsidRDefault="00AC416E" w:rsidP="00AC416E">
      <w:pPr>
        <w:pStyle w:val="RefList"/>
        <w:numPr>
          <w:ilvl w:val="0"/>
          <w:numId w:val="0"/>
        </w:numPr>
        <w:ind w:left="360" w:hanging="360"/>
        <w:sectPr w:rsidR="00AC416E" w:rsidSect="006921A2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20BCFAE6" w14:textId="77777777" w:rsidR="00AC416E" w:rsidRDefault="00AC416E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584BCEA6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0E87A6E9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73EFBDCB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74AEBF3F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6579C774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000216A7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064D003E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7ED772D4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514E6718" w14:textId="77777777" w:rsidR="00A20A0D" w:rsidRDefault="00A20A0D" w:rsidP="00A20A0D">
      <w:pPr>
        <w:pStyle w:val="RefList"/>
        <w:numPr>
          <w:ilvl w:val="0"/>
          <w:numId w:val="0"/>
        </w:numPr>
        <w:ind w:left="360" w:hanging="360"/>
        <w:jc w:val="right"/>
      </w:pPr>
    </w:p>
    <w:p w14:paraId="7328A28A" w14:textId="746FFD58" w:rsidR="00A20A0D" w:rsidRDefault="00A20A0D" w:rsidP="00A20A0D">
      <w:pPr>
        <w:pStyle w:val="RefList"/>
        <w:numPr>
          <w:ilvl w:val="0"/>
          <w:numId w:val="0"/>
        </w:numPr>
        <w:spacing w:after="0"/>
        <w:ind w:left="360" w:hanging="360"/>
        <w:jc w:val="right"/>
        <w:rPr>
          <w:sz w:val="22"/>
          <w:szCs w:val="22"/>
        </w:rPr>
      </w:pPr>
      <w:r w:rsidRPr="00A20A0D">
        <w:rPr>
          <w:sz w:val="22"/>
          <w:szCs w:val="22"/>
        </w:rPr>
        <w:t>AHRQ Pub. No. 25-0007</w:t>
      </w:r>
    </w:p>
    <w:p w14:paraId="34BF9627" w14:textId="62992C64" w:rsidR="00D24612" w:rsidRPr="00A20A0D" w:rsidRDefault="00D24612" w:rsidP="00A20A0D">
      <w:pPr>
        <w:pStyle w:val="RefList"/>
        <w:numPr>
          <w:ilvl w:val="0"/>
          <w:numId w:val="0"/>
        </w:numPr>
        <w:spacing w:after="0"/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>October 2024</w:t>
      </w:r>
    </w:p>
    <w:p w14:paraId="51C99851" w14:textId="77777777" w:rsidR="00AC416E" w:rsidRDefault="00AC416E" w:rsidP="00BB4CC8">
      <w:pPr>
        <w:pStyle w:val="RefList"/>
        <w:numPr>
          <w:ilvl w:val="0"/>
          <w:numId w:val="0"/>
        </w:numPr>
        <w:sectPr w:rsidR="00AC416E" w:rsidSect="00A20A0D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space="720"/>
          <w:titlePg/>
          <w:docGrid w:linePitch="360"/>
        </w:sectPr>
      </w:pPr>
    </w:p>
    <w:p w14:paraId="0702BFB4" w14:textId="47CC8912" w:rsidR="00387BD4" w:rsidRPr="00913395" w:rsidRDefault="00387BD4" w:rsidP="00BB4CC8">
      <w:pPr>
        <w:pStyle w:val="RefList"/>
        <w:numPr>
          <w:ilvl w:val="0"/>
          <w:numId w:val="0"/>
        </w:numPr>
      </w:pPr>
    </w:p>
    <w:sectPr w:rsidR="00387BD4" w:rsidRPr="00913395" w:rsidSect="006921A2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9D0E" w14:textId="77777777" w:rsidR="009B68EC" w:rsidRDefault="009B68EC" w:rsidP="00B81F18">
      <w:r>
        <w:separator/>
      </w:r>
    </w:p>
    <w:p w14:paraId="47ECD350" w14:textId="77777777" w:rsidR="009B68EC" w:rsidRDefault="009B68EC" w:rsidP="00B81F18"/>
  </w:endnote>
  <w:endnote w:type="continuationSeparator" w:id="0">
    <w:p w14:paraId="62A32237" w14:textId="77777777" w:rsidR="009B68EC" w:rsidRDefault="009B68EC" w:rsidP="00B81F18">
      <w:r>
        <w:continuationSeparator/>
      </w:r>
    </w:p>
    <w:p w14:paraId="27648155" w14:textId="77777777" w:rsidR="009B68EC" w:rsidRDefault="009B68EC" w:rsidP="00B81F18"/>
  </w:endnote>
  <w:endnote w:type="continuationNotice" w:id="1">
    <w:p w14:paraId="1C579420" w14:textId="77777777" w:rsidR="009B68EC" w:rsidRDefault="009B68EC" w:rsidP="00B81F18"/>
    <w:p w14:paraId="66DA5EAC" w14:textId="77777777" w:rsidR="009B68EC" w:rsidRDefault="009B68EC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38A16007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3E009B">
      <w:t>Ventilator Associated Pneumonia Prevention Essential Practices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742D22F8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A60EB0">
      <w:t>Ventilator</w:t>
    </w:r>
    <w:r w:rsidR="00A63C38">
      <w:t>-</w:t>
    </w:r>
    <w:r w:rsidR="00A60EB0">
      <w:t>Associated Pneumonia Prevention Essential Practices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3A5B" w14:textId="77777777" w:rsidR="009B68EC" w:rsidRDefault="009B68EC" w:rsidP="00B81F18">
      <w:r>
        <w:separator/>
      </w:r>
    </w:p>
    <w:p w14:paraId="287B98CA" w14:textId="77777777" w:rsidR="009B68EC" w:rsidRDefault="009B68EC" w:rsidP="00B81F18"/>
  </w:footnote>
  <w:footnote w:type="continuationSeparator" w:id="0">
    <w:p w14:paraId="4F4306E6" w14:textId="77777777" w:rsidR="009B68EC" w:rsidRDefault="009B68EC" w:rsidP="00B81F18">
      <w:r>
        <w:continuationSeparator/>
      </w:r>
    </w:p>
    <w:p w14:paraId="596C7ABF" w14:textId="77777777" w:rsidR="009B68EC" w:rsidRDefault="009B68EC" w:rsidP="00B81F18"/>
  </w:footnote>
  <w:footnote w:type="continuationNotice" w:id="1">
    <w:p w14:paraId="765F7EF3" w14:textId="77777777" w:rsidR="009B68EC" w:rsidRDefault="009B68EC" w:rsidP="00B81F18"/>
    <w:p w14:paraId="48963400" w14:textId="77777777" w:rsidR="009B68EC" w:rsidRDefault="009B68EC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27F3" w14:textId="73DCEF6F" w:rsidR="00CF46BB" w:rsidRDefault="000B1165" w:rsidP="00CB50E4">
    <w:pPr>
      <w:pStyle w:val="Title"/>
      <w:spacing w:before="0"/>
      <w:ind w:left="0"/>
      <w:jc w:val="center"/>
      <w:rPr>
        <w:sz w:val="36"/>
      </w:rPr>
    </w:pPr>
    <w:r w:rsidRPr="00BF4436">
      <w:rPr>
        <w:noProof/>
        <w:sz w:val="36"/>
      </w:rPr>
      <w:drawing>
        <wp:anchor distT="0" distB="0" distL="114300" distR="114300" simplePos="0" relativeHeight="251662336" behindDoc="0" locked="0" layoutInCell="1" allowOverlap="1" wp14:anchorId="78CC2596" wp14:editId="1B2E998C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E8E" w:rsidRPr="00BF4436"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0784E3E0" wp14:editId="1625A25A">
          <wp:simplePos x="0" y="0"/>
          <wp:positionH relativeFrom="page">
            <wp:posOffset>6309360</wp:posOffset>
          </wp:positionH>
          <wp:positionV relativeFrom="paragraph">
            <wp:posOffset>70339</wp:posOffset>
          </wp:positionV>
          <wp:extent cx="1078992" cy="448056"/>
          <wp:effectExtent l="0" t="0" r="6985" b="0"/>
          <wp:wrapNone/>
          <wp:docPr id="1781978846" name="Picture 1781978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EB9" w:rsidRPr="00BF4436">
      <w:rPr>
        <w:sz w:val="36"/>
      </w:rPr>
      <w:t>Ventilator</w:t>
    </w:r>
    <w:r w:rsidR="00A63C38">
      <w:rPr>
        <w:sz w:val="36"/>
      </w:rPr>
      <w:t>-</w:t>
    </w:r>
    <w:r w:rsidR="00A05EB9" w:rsidRPr="00BF4436">
      <w:rPr>
        <w:sz w:val="36"/>
      </w:rPr>
      <w:t>Associated Pneumonia Prevention</w:t>
    </w:r>
    <w:r w:rsidR="00C35C72">
      <w:rPr>
        <w:sz w:val="36"/>
      </w:rPr>
      <w:t xml:space="preserve"> </w:t>
    </w:r>
  </w:p>
  <w:p w14:paraId="6D6BB109" w14:textId="24CD601E" w:rsidR="00A05EB9" w:rsidRPr="00BF4436" w:rsidRDefault="00A05EB9" w:rsidP="00CB50E4">
    <w:pPr>
      <w:pStyle w:val="Title"/>
      <w:spacing w:before="0"/>
      <w:ind w:left="0"/>
      <w:jc w:val="center"/>
      <w:rPr>
        <w:sz w:val="36"/>
      </w:rPr>
    </w:pPr>
    <w:r w:rsidRPr="00BF4436">
      <w:rPr>
        <w:sz w:val="36"/>
      </w:rPr>
      <w:t>Essential Practices</w:t>
    </w:r>
  </w:p>
  <w:p w14:paraId="11C015C9" w14:textId="2E454EEE" w:rsidR="00E66198" w:rsidRPr="0018752C" w:rsidRDefault="006154EE" w:rsidP="00CF46BB">
    <w:pPr>
      <w:pStyle w:val="Subtitle"/>
      <w:spacing w:before="160" w:after="0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BA880BE" wp14:editId="74D821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EB9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109D0"/>
    <w:multiLevelType w:val="hybridMultilevel"/>
    <w:tmpl w:val="A3B4BC76"/>
    <w:lvl w:ilvl="0" w:tplc="B59A59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55344">
    <w:abstractNumId w:val="1"/>
  </w:num>
  <w:num w:numId="2" w16cid:durableId="1854372000">
    <w:abstractNumId w:val="15"/>
  </w:num>
  <w:num w:numId="3" w16cid:durableId="1530529553">
    <w:abstractNumId w:val="11"/>
  </w:num>
  <w:num w:numId="4" w16cid:durableId="1712074174">
    <w:abstractNumId w:val="5"/>
  </w:num>
  <w:num w:numId="5" w16cid:durableId="1135413535">
    <w:abstractNumId w:val="6"/>
  </w:num>
  <w:num w:numId="6" w16cid:durableId="1608192745">
    <w:abstractNumId w:val="12"/>
  </w:num>
  <w:num w:numId="7" w16cid:durableId="824203433">
    <w:abstractNumId w:val="16"/>
  </w:num>
  <w:num w:numId="8" w16cid:durableId="523981975">
    <w:abstractNumId w:val="2"/>
  </w:num>
  <w:num w:numId="9" w16cid:durableId="1167473949">
    <w:abstractNumId w:val="24"/>
  </w:num>
  <w:num w:numId="10" w16cid:durableId="1591547608">
    <w:abstractNumId w:val="14"/>
  </w:num>
  <w:num w:numId="11" w16cid:durableId="616833498">
    <w:abstractNumId w:val="25"/>
  </w:num>
  <w:num w:numId="12" w16cid:durableId="631059319">
    <w:abstractNumId w:val="8"/>
  </w:num>
  <w:num w:numId="13" w16cid:durableId="709107714">
    <w:abstractNumId w:val="9"/>
  </w:num>
  <w:num w:numId="14" w16cid:durableId="2045445706">
    <w:abstractNumId w:val="3"/>
  </w:num>
  <w:num w:numId="15" w16cid:durableId="162669828">
    <w:abstractNumId w:val="4"/>
  </w:num>
  <w:num w:numId="16" w16cid:durableId="1432628715">
    <w:abstractNumId w:val="18"/>
  </w:num>
  <w:num w:numId="17" w16cid:durableId="2012294732">
    <w:abstractNumId w:val="26"/>
  </w:num>
  <w:num w:numId="18" w16cid:durableId="2045518331">
    <w:abstractNumId w:val="13"/>
  </w:num>
  <w:num w:numId="19" w16cid:durableId="1779522737">
    <w:abstractNumId w:val="17"/>
  </w:num>
  <w:num w:numId="20" w16cid:durableId="285697842">
    <w:abstractNumId w:val="21"/>
  </w:num>
  <w:num w:numId="21" w16cid:durableId="325331458">
    <w:abstractNumId w:val="0"/>
  </w:num>
  <w:num w:numId="22" w16cid:durableId="1448432510">
    <w:abstractNumId w:val="20"/>
  </w:num>
  <w:num w:numId="23" w16cid:durableId="1190950259">
    <w:abstractNumId w:val="22"/>
  </w:num>
  <w:num w:numId="24" w16cid:durableId="855459379">
    <w:abstractNumId w:val="10"/>
  </w:num>
  <w:num w:numId="25" w16cid:durableId="519926864">
    <w:abstractNumId w:val="7"/>
  </w:num>
  <w:num w:numId="26" w16cid:durableId="751437896">
    <w:abstractNumId w:val="19"/>
  </w:num>
  <w:num w:numId="27" w16cid:durableId="6509062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07F43"/>
    <w:rsid w:val="00015744"/>
    <w:rsid w:val="00015BAC"/>
    <w:rsid w:val="000255B1"/>
    <w:rsid w:val="000325E8"/>
    <w:rsid w:val="00032EA5"/>
    <w:rsid w:val="00035D04"/>
    <w:rsid w:val="00045882"/>
    <w:rsid w:val="00046F5C"/>
    <w:rsid w:val="00047F1D"/>
    <w:rsid w:val="000559EA"/>
    <w:rsid w:val="00061895"/>
    <w:rsid w:val="00063743"/>
    <w:rsid w:val="00065338"/>
    <w:rsid w:val="00076115"/>
    <w:rsid w:val="00076B59"/>
    <w:rsid w:val="00085186"/>
    <w:rsid w:val="000856D6"/>
    <w:rsid w:val="000937C2"/>
    <w:rsid w:val="000A6070"/>
    <w:rsid w:val="000A799B"/>
    <w:rsid w:val="000B01E8"/>
    <w:rsid w:val="000B1165"/>
    <w:rsid w:val="000B2076"/>
    <w:rsid w:val="000C189C"/>
    <w:rsid w:val="000C2225"/>
    <w:rsid w:val="000C4154"/>
    <w:rsid w:val="000C60A4"/>
    <w:rsid w:val="000C79D3"/>
    <w:rsid w:val="000D609D"/>
    <w:rsid w:val="000D79E5"/>
    <w:rsid w:val="000E0D8E"/>
    <w:rsid w:val="000E4D54"/>
    <w:rsid w:val="000F7DF1"/>
    <w:rsid w:val="00114A92"/>
    <w:rsid w:val="00117754"/>
    <w:rsid w:val="001201A4"/>
    <w:rsid w:val="00121206"/>
    <w:rsid w:val="001250A8"/>
    <w:rsid w:val="00132E23"/>
    <w:rsid w:val="00140F4D"/>
    <w:rsid w:val="00143F41"/>
    <w:rsid w:val="00160220"/>
    <w:rsid w:val="00182814"/>
    <w:rsid w:val="00183382"/>
    <w:rsid w:val="0018752C"/>
    <w:rsid w:val="001944C4"/>
    <w:rsid w:val="00195E0F"/>
    <w:rsid w:val="00196F20"/>
    <w:rsid w:val="001A25A3"/>
    <w:rsid w:val="001A77D5"/>
    <w:rsid w:val="001B1787"/>
    <w:rsid w:val="001C3595"/>
    <w:rsid w:val="001C4737"/>
    <w:rsid w:val="001D0A44"/>
    <w:rsid w:val="001E0217"/>
    <w:rsid w:val="001F0612"/>
    <w:rsid w:val="001F19E4"/>
    <w:rsid w:val="001F1C19"/>
    <w:rsid w:val="001F2578"/>
    <w:rsid w:val="001F5ECC"/>
    <w:rsid w:val="00204422"/>
    <w:rsid w:val="0020771B"/>
    <w:rsid w:val="00207BB8"/>
    <w:rsid w:val="00213294"/>
    <w:rsid w:val="00216745"/>
    <w:rsid w:val="00221664"/>
    <w:rsid w:val="00225DA3"/>
    <w:rsid w:val="00231D2C"/>
    <w:rsid w:val="00233140"/>
    <w:rsid w:val="00246E73"/>
    <w:rsid w:val="0026125E"/>
    <w:rsid w:val="00266BEC"/>
    <w:rsid w:val="0026748D"/>
    <w:rsid w:val="00275A4F"/>
    <w:rsid w:val="00277AE7"/>
    <w:rsid w:val="00277FA7"/>
    <w:rsid w:val="0028510A"/>
    <w:rsid w:val="00291A85"/>
    <w:rsid w:val="002A1A1F"/>
    <w:rsid w:val="002A1CB4"/>
    <w:rsid w:val="002A615C"/>
    <w:rsid w:val="002B1E8E"/>
    <w:rsid w:val="002B553E"/>
    <w:rsid w:val="002D0EAA"/>
    <w:rsid w:val="002E720F"/>
    <w:rsid w:val="002F0F47"/>
    <w:rsid w:val="002F3670"/>
    <w:rsid w:val="00302FC0"/>
    <w:rsid w:val="003151D8"/>
    <w:rsid w:val="003232F2"/>
    <w:rsid w:val="003318DD"/>
    <w:rsid w:val="00331C54"/>
    <w:rsid w:val="00337BDB"/>
    <w:rsid w:val="003461E7"/>
    <w:rsid w:val="00346C81"/>
    <w:rsid w:val="003573E5"/>
    <w:rsid w:val="00370FA9"/>
    <w:rsid w:val="0038151B"/>
    <w:rsid w:val="00387BD4"/>
    <w:rsid w:val="00390703"/>
    <w:rsid w:val="00394CA5"/>
    <w:rsid w:val="003952FF"/>
    <w:rsid w:val="00395896"/>
    <w:rsid w:val="003A2DA4"/>
    <w:rsid w:val="003A59CF"/>
    <w:rsid w:val="003B42D7"/>
    <w:rsid w:val="003B4C89"/>
    <w:rsid w:val="003B50D8"/>
    <w:rsid w:val="003C0A62"/>
    <w:rsid w:val="003C27B2"/>
    <w:rsid w:val="003C5CAC"/>
    <w:rsid w:val="003D017C"/>
    <w:rsid w:val="003D4B02"/>
    <w:rsid w:val="003E009B"/>
    <w:rsid w:val="003E17B9"/>
    <w:rsid w:val="003F2511"/>
    <w:rsid w:val="00402F58"/>
    <w:rsid w:val="004157DD"/>
    <w:rsid w:val="00423DC1"/>
    <w:rsid w:val="004275EA"/>
    <w:rsid w:val="00434908"/>
    <w:rsid w:val="00434C61"/>
    <w:rsid w:val="00436E39"/>
    <w:rsid w:val="00440601"/>
    <w:rsid w:val="00440EFD"/>
    <w:rsid w:val="00443230"/>
    <w:rsid w:val="004506C2"/>
    <w:rsid w:val="00460DBC"/>
    <w:rsid w:val="00473B3C"/>
    <w:rsid w:val="004835BF"/>
    <w:rsid w:val="00492F08"/>
    <w:rsid w:val="004A521F"/>
    <w:rsid w:val="004A6527"/>
    <w:rsid w:val="004B249C"/>
    <w:rsid w:val="004C2030"/>
    <w:rsid w:val="004C5ADD"/>
    <w:rsid w:val="004D0DF5"/>
    <w:rsid w:val="004E38A7"/>
    <w:rsid w:val="004E4A52"/>
    <w:rsid w:val="004F65AC"/>
    <w:rsid w:val="00511489"/>
    <w:rsid w:val="00513F32"/>
    <w:rsid w:val="0052132F"/>
    <w:rsid w:val="005213CB"/>
    <w:rsid w:val="00522BE2"/>
    <w:rsid w:val="0052593E"/>
    <w:rsid w:val="005327A0"/>
    <w:rsid w:val="005405E1"/>
    <w:rsid w:val="005512E8"/>
    <w:rsid w:val="005521F9"/>
    <w:rsid w:val="00557379"/>
    <w:rsid w:val="00557686"/>
    <w:rsid w:val="00564A73"/>
    <w:rsid w:val="005661AD"/>
    <w:rsid w:val="005712F7"/>
    <w:rsid w:val="00580291"/>
    <w:rsid w:val="00583303"/>
    <w:rsid w:val="00583513"/>
    <w:rsid w:val="0058497F"/>
    <w:rsid w:val="00587B2C"/>
    <w:rsid w:val="00595250"/>
    <w:rsid w:val="005959C9"/>
    <w:rsid w:val="005A41DD"/>
    <w:rsid w:val="005A78A9"/>
    <w:rsid w:val="005B425D"/>
    <w:rsid w:val="005C6D51"/>
    <w:rsid w:val="005D1E02"/>
    <w:rsid w:val="005D44DD"/>
    <w:rsid w:val="005F0FEA"/>
    <w:rsid w:val="005F194B"/>
    <w:rsid w:val="005F550E"/>
    <w:rsid w:val="006019EC"/>
    <w:rsid w:val="006044E4"/>
    <w:rsid w:val="006154EE"/>
    <w:rsid w:val="006158F8"/>
    <w:rsid w:val="0062188A"/>
    <w:rsid w:val="006260F9"/>
    <w:rsid w:val="006315EA"/>
    <w:rsid w:val="00633673"/>
    <w:rsid w:val="006355CC"/>
    <w:rsid w:val="006475DA"/>
    <w:rsid w:val="006561FC"/>
    <w:rsid w:val="00657436"/>
    <w:rsid w:val="006648B4"/>
    <w:rsid w:val="006649AE"/>
    <w:rsid w:val="00665AF1"/>
    <w:rsid w:val="0066745D"/>
    <w:rsid w:val="00674170"/>
    <w:rsid w:val="0067587E"/>
    <w:rsid w:val="00680A48"/>
    <w:rsid w:val="00682AAA"/>
    <w:rsid w:val="006875D6"/>
    <w:rsid w:val="006921A2"/>
    <w:rsid w:val="006A048A"/>
    <w:rsid w:val="006A4B4A"/>
    <w:rsid w:val="006A591F"/>
    <w:rsid w:val="006A6983"/>
    <w:rsid w:val="006B371C"/>
    <w:rsid w:val="006C2461"/>
    <w:rsid w:val="006C662F"/>
    <w:rsid w:val="006D2404"/>
    <w:rsid w:val="007007FD"/>
    <w:rsid w:val="00711C36"/>
    <w:rsid w:val="00714E3F"/>
    <w:rsid w:val="0071500F"/>
    <w:rsid w:val="007309E1"/>
    <w:rsid w:val="007325E8"/>
    <w:rsid w:val="0073750E"/>
    <w:rsid w:val="007452EF"/>
    <w:rsid w:val="00751F8D"/>
    <w:rsid w:val="00755FDC"/>
    <w:rsid w:val="007627F5"/>
    <w:rsid w:val="007630A4"/>
    <w:rsid w:val="00767AEE"/>
    <w:rsid w:val="0077282B"/>
    <w:rsid w:val="00784B55"/>
    <w:rsid w:val="0079205D"/>
    <w:rsid w:val="007923E9"/>
    <w:rsid w:val="00795AD6"/>
    <w:rsid w:val="007A5605"/>
    <w:rsid w:val="007A5F9A"/>
    <w:rsid w:val="007B029F"/>
    <w:rsid w:val="007B253A"/>
    <w:rsid w:val="007C32EA"/>
    <w:rsid w:val="007D20B3"/>
    <w:rsid w:val="007D3309"/>
    <w:rsid w:val="007D397D"/>
    <w:rsid w:val="007D5A86"/>
    <w:rsid w:val="007E045C"/>
    <w:rsid w:val="007E5E96"/>
    <w:rsid w:val="007F6722"/>
    <w:rsid w:val="008045F5"/>
    <w:rsid w:val="00804C83"/>
    <w:rsid w:val="00813280"/>
    <w:rsid w:val="00813A65"/>
    <w:rsid w:val="00820BCB"/>
    <w:rsid w:val="00823421"/>
    <w:rsid w:val="0082467C"/>
    <w:rsid w:val="00830F49"/>
    <w:rsid w:val="00831588"/>
    <w:rsid w:val="00854F5C"/>
    <w:rsid w:val="008607BB"/>
    <w:rsid w:val="00862B8C"/>
    <w:rsid w:val="008743EB"/>
    <w:rsid w:val="00881F8D"/>
    <w:rsid w:val="00882D43"/>
    <w:rsid w:val="00892697"/>
    <w:rsid w:val="00894A75"/>
    <w:rsid w:val="008B0CB8"/>
    <w:rsid w:val="008B29A0"/>
    <w:rsid w:val="008B53DC"/>
    <w:rsid w:val="008B6449"/>
    <w:rsid w:val="008C3333"/>
    <w:rsid w:val="008C6771"/>
    <w:rsid w:val="008D42BD"/>
    <w:rsid w:val="008D58E4"/>
    <w:rsid w:val="008E3802"/>
    <w:rsid w:val="008F5315"/>
    <w:rsid w:val="00902D8F"/>
    <w:rsid w:val="009039C3"/>
    <w:rsid w:val="0090483E"/>
    <w:rsid w:val="0090717D"/>
    <w:rsid w:val="00910CF8"/>
    <w:rsid w:val="00910E38"/>
    <w:rsid w:val="00910F34"/>
    <w:rsid w:val="00913395"/>
    <w:rsid w:val="0093582C"/>
    <w:rsid w:val="0093669F"/>
    <w:rsid w:val="00941DE7"/>
    <w:rsid w:val="00946870"/>
    <w:rsid w:val="009517D9"/>
    <w:rsid w:val="00961B50"/>
    <w:rsid w:val="009673C4"/>
    <w:rsid w:val="00975E3B"/>
    <w:rsid w:val="00976B21"/>
    <w:rsid w:val="00991E6D"/>
    <w:rsid w:val="009933B1"/>
    <w:rsid w:val="00996319"/>
    <w:rsid w:val="0099666A"/>
    <w:rsid w:val="009A1926"/>
    <w:rsid w:val="009A23AB"/>
    <w:rsid w:val="009B68EC"/>
    <w:rsid w:val="009C03E9"/>
    <w:rsid w:val="009D7766"/>
    <w:rsid w:val="009E088B"/>
    <w:rsid w:val="009E0BA2"/>
    <w:rsid w:val="009E45A9"/>
    <w:rsid w:val="009F19C2"/>
    <w:rsid w:val="00A0597C"/>
    <w:rsid w:val="00A05EB9"/>
    <w:rsid w:val="00A20A0D"/>
    <w:rsid w:val="00A22E39"/>
    <w:rsid w:val="00A3729E"/>
    <w:rsid w:val="00A44BD4"/>
    <w:rsid w:val="00A51D2B"/>
    <w:rsid w:val="00A60585"/>
    <w:rsid w:val="00A60EB0"/>
    <w:rsid w:val="00A63C38"/>
    <w:rsid w:val="00A74DEB"/>
    <w:rsid w:val="00A81332"/>
    <w:rsid w:val="00A82B96"/>
    <w:rsid w:val="00A83E36"/>
    <w:rsid w:val="00A86720"/>
    <w:rsid w:val="00A96493"/>
    <w:rsid w:val="00AA095A"/>
    <w:rsid w:val="00AA480B"/>
    <w:rsid w:val="00AA7E4B"/>
    <w:rsid w:val="00AB5295"/>
    <w:rsid w:val="00AC416E"/>
    <w:rsid w:val="00AD1B2B"/>
    <w:rsid w:val="00AD381B"/>
    <w:rsid w:val="00AD46FC"/>
    <w:rsid w:val="00B0451E"/>
    <w:rsid w:val="00B05192"/>
    <w:rsid w:val="00B0677A"/>
    <w:rsid w:val="00B25C78"/>
    <w:rsid w:val="00B31154"/>
    <w:rsid w:val="00B40503"/>
    <w:rsid w:val="00B42931"/>
    <w:rsid w:val="00B4347F"/>
    <w:rsid w:val="00B60677"/>
    <w:rsid w:val="00B62ACE"/>
    <w:rsid w:val="00B664E9"/>
    <w:rsid w:val="00B77D74"/>
    <w:rsid w:val="00B813D9"/>
    <w:rsid w:val="00B81F18"/>
    <w:rsid w:val="00B94950"/>
    <w:rsid w:val="00BA298A"/>
    <w:rsid w:val="00BA5C18"/>
    <w:rsid w:val="00BB2D45"/>
    <w:rsid w:val="00BB4CC8"/>
    <w:rsid w:val="00BB4D03"/>
    <w:rsid w:val="00BC7FB3"/>
    <w:rsid w:val="00BD2432"/>
    <w:rsid w:val="00BD5AEF"/>
    <w:rsid w:val="00BE08E2"/>
    <w:rsid w:val="00BE3DEF"/>
    <w:rsid w:val="00BE5A07"/>
    <w:rsid w:val="00BE6048"/>
    <w:rsid w:val="00BF4436"/>
    <w:rsid w:val="00C17618"/>
    <w:rsid w:val="00C17821"/>
    <w:rsid w:val="00C22DE6"/>
    <w:rsid w:val="00C230AB"/>
    <w:rsid w:val="00C3287E"/>
    <w:rsid w:val="00C33A5D"/>
    <w:rsid w:val="00C35C72"/>
    <w:rsid w:val="00C40422"/>
    <w:rsid w:val="00C52AC8"/>
    <w:rsid w:val="00C57E17"/>
    <w:rsid w:val="00C6139F"/>
    <w:rsid w:val="00C674BC"/>
    <w:rsid w:val="00C71D12"/>
    <w:rsid w:val="00C75FE3"/>
    <w:rsid w:val="00C93DE7"/>
    <w:rsid w:val="00CA2226"/>
    <w:rsid w:val="00CA385C"/>
    <w:rsid w:val="00CA75B4"/>
    <w:rsid w:val="00CB50E4"/>
    <w:rsid w:val="00CC77B5"/>
    <w:rsid w:val="00CD4AF9"/>
    <w:rsid w:val="00CD7148"/>
    <w:rsid w:val="00CE2AD1"/>
    <w:rsid w:val="00CF2F41"/>
    <w:rsid w:val="00CF46BB"/>
    <w:rsid w:val="00CF7F49"/>
    <w:rsid w:val="00D141B8"/>
    <w:rsid w:val="00D142DA"/>
    <w:rsid w:val="00D24612"/>
    <w:rsid w:val="00D252FA"/>
    <w:rsid w:val="00D313C5"/>
    <w:rsid w:val="00D41FFA"/>
    <w:rsid w:val="00D4490B"/>
    <w:rsid w:val="00D60CD0"/>
    <w:rsid w:val="00D60E16"/>
    <w:rsid w:val="00D64378"/>
    <w:rsid w:val="00D81114"/>
    <w:rsid w:val="00D85218"/>
    <w:rsid w:val="00D91D5A"/>
    <w:rsid w:val="00D934DA"/>
    <w:rsid w:val="00D93E62"/>
    <w:rsid w:val="00D93EFD"/>
    <w:rsid w:val="00DA24E6"/>
    <w:rsid w:val="00DA7F66"/>
    <w:rsid w:val="00DB0619"/>
    <w:rsid w:val="00DB12A8"/>
    <w:rsid w:val="00DC014C"/>
    <w:rsid w:val="00DC49D2"/>
    <w:rsid w:val="00DD5740"/>
    <w:rsid w:val="00DF19FE"/>
    <w:rsid w:val="00DF5360"/>
    <w:rsid w:val="00E02968"/>
    <w:rsid w:val="00E04B90"/>
    <w:rsid w:val="00E1018E"/>
    <w:rsid w:val="00E13AC8"/>
    <w:rsid w:val="00E25ECC"/>
    <w:rsid w:val="00E36FA6"/>
    <w:rsid w:val="00E65233"/>
    <w:rsid w:val="00E66198"/>
    <w:rsid w:val="00E71F43"/>
    <w:rsid w:val="00E7594A"/>
    <w:rsid w:val="00E75F84"/>
    <w:rsid w:val="00E774F6"/>
    <w:rsid w:val="00E77546"/>
    <w:rsid w:val="00E81B83"/>
    <w:rsid w:val="00E865E0"/>
    <w:rsid w:val="00E919BA"/>
    <w:rsid w:val="00E938E3"/>
    <w:rsid w:val="00E95850"/>
    <w:rsid w:val="00E95D41"/>
    <w:rsid w:val="00E963D7"/>
    <w:rsid w:val="00EA12F5"/>
    <w:rsid w:val="00EB4830"/>
    <w:rsid w:val="00EB713A"/>
    <w:rsid w:val="00ED2A30"/>
    <w:rsid w:val="00EE572D"/>
    <w:rsid w:val="00EF27A6"/>
    <w:rsid w:val="00EF4365"/>
    <w:rsid w:val="00F1330D"/>
    <w:rsid w:val="00F147DC"/>
    <w:rsid w:val="00F14B01"/>
    <w:rsid w:val="00F263DF"/>
    <w:rsid w:val="00F32291"/>
    <w:rsid w:val="00F37751"/>
    <w:rsid w:val="00F42096"/>
    <w:rsid w:val="00F46BBF"/>
    <w:rsid w:val="00F52187"/>
    <w:rsid w:val="00F57057"/>
    <w:rsid w:val="00F57183"/>
    <w:rsid w:val="00F72892"/>
    <w:rsid w:val="00F752BA"/>
    <w:rsid w:val="00F80A93"/>
    <w:rsid w:val="00F95790"/>
    <w:rsid w:val="00F9769A"/>
    <w:rsid w:val="00F97FBC"/>
    <w:rsid w:val="00FA157B"/>
    <w:rsid w:val="00FA31A6"/>
    <w:rsid w:val="00FA4759"/>
    <w:rsid w:val="00FA5094"/>
    <w:rsid w:val="00FA6C3B"/>
    <w:rsid w:val="00FC152B"/>
    <w:rsid w:val="00FC6EAF"/>
    <w:rsid w:val="00FF251D"/>
    <w:rsid w:val="00FF5A7B"/>
    <w:rsid w:val="496CD689"/>
    <w:rsid w:val="4DBB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7510A236-81E8-41B7-A101-65C9A369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585"/>
    <w:pPr>
      <w:pBdr>
        <w:bottom w:val="single" w:sz="18" w:space="1" w:color="007DA3"/>
      </w:pBdr>
      <w:spacing w:before="12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585"/>
    <w:pPr>
      <w:keepNext/>
      <w:keepLines/>
      <w:spacing w:before="80"/>
      <w:outlineLvl w:val="1"/>
    </w:pPr>
    <w:rPr>
      <w:b/>
      <w:bCs/>
      <w:color w:val="007D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A60585"/>
    <w:pPr>
      <w:numPr>
        <w:numId w:val="27"/>
      </w:numPr>
      <w:ind w:left="360"/>
      <w:contextualSpacing/>
    </w:pPr>
    <w:rPr>
      <w:sz w:val="22"/>
    </w:r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60585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585"/>
    <w:rPr>
      <w:rFonts w:cstheme="minorHAnsi"/>
      <w:b/>
      <w:bCs/>
      <w:color w:val="007DA3"/>
    </w:rPr>
  </w:style>
  <w:style w:type="paragraph" w:styleId="Title">
    <w:name w:val="Title"/>
    <w:basedOn w:val="Header"/>
    <w:next w:val="Normal"/>
    <w:link w:val="TitleChar"/>
    <w:uiPriority w:val="10"/>
    <w:qFormat/>
    <w:rsid w:val="00F97FBC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BC"/>
    <w:rPr>
      <w:rFonts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20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48D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8D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4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5A07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cm.org/Clinical-Resources/ICULiberation-Home/ABCDEF-Bundles" TargetMode="External"/><Relationship Id="rId18" Type="http://schemas.openxmlformats.org/officeDocument/2006/relationships/hyperlink" Target="https://www.ahrq.gov/hai/tools/mvp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hea-online.org/guidance/strategies-to-prevent-ventilator-associated-pneumonia-ventilator-associated-events-and-nonventilator-hospital-acquired-pneumonia-in-acute-care-hospitals-2022-updat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ncbi.nlm.nih.gov/books/NBK53544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ccm.org/Clinical-Resources/ICULiberation-Home/ABCDEF-Bund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hai/tools/mvp/index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19660104-7C0F-465B-9CF1-1CE46E3AA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65EAC-07C1-45F0-B786-6C52A296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9</cp:revision>
  <dcterms:created xsi:type="dcterms:W3CDTF">2024-08-08T19:29:00Z</dcterms:created>
  <dcterms:modified xsi:type="dcterms:W3CDTF">2024-10-17T06:44:00Z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