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F5B3" w14:textId="7B1A7137" w:rsidR="00A26166" w:rsidRPr="00E1486E" w:rsidRDefault="00A26166" w:rsidP="00A26166">
      <w:pPr>
        <w:pStyle w:val="Heading1"/>
        <w:rPr>
          <w:vertAlign w:val="superscript"/>
        </w:rPr>
      </w:pPr>
      <w:r>
        <w:t>NV-HAP Prevention Essential Practices</w:t>
      </w:r>
      <w:r w:rsidR="00E1486E">
        <w:rPr>
          <w:vertAlign w:val="superscript"/>
        </w:rPr>
        <w:t>1-4</w:t>
      </w:r>
    </w:p>
    <w:p w14:paraId="638BC362" w14:textId="4076329B" w:rsidR="00514DFA" w:rsidRPr="00E1486E" w:rsidRDefault="00DF0927" w:rsidP="00514DFA">
      <w:pPr>
        <w:pStyle w:val="Heading2"/>
        <w:rPr>
          <w:vertAlign w:val="superscript"/>
        </w:rPr>
      </w:pPr>
      <w:r w:rsidRPr="0075015E">
        <w:rPr>
          <w:noProof/>
        </w:rPr>
        <w:drawing>
          <wp:anchor distT="0" distB="0" distL="114300" distR="114300" simplePos="0" relativeHeight="251658240" behindDoc="1" locked="0" layoutInCell="1" allowOverlap="1" wp14:anchorId="3CA7BBBB" wp14:editId="3677A977">
            <wp:simplePos x="0" y="0"/>
            <wp:positionH relativeFrom="column">
              <wp:posOffset>4357370</wp:posOffset>
            </wp:positionH>
            <wp:positionV relativeFrom="paragraph">
              <wp:posOffset>137160</wp:posOffset>
            </wp:positionV>
            <wp:extent cx="2570247" cy="2103120"/>
            <wp:effectExtent l="38100" t="38100" r="97155" b="87630"/>
            <wp:wrapTight wrapText="bothSides">
              <wp:wrapPolygon edited="0">
                <wp:start x="0" y="-391"/>
                <wp:lineTo x="-320" y="-196"/>
                <wp:lineTo x="-320" y="21522"/>
                <wp:lineTo x="-160" y="22304"/>
                <wp:lineTo x="21936" y="22304"/>
                <wp:lineTo x="22096" y="21717"/>
                <wp:lineTo x="22256" y="2935"/>
                <wp:lineTo x="21776" y="0"/>
                <wp:lineTo x="21776" y="-391"/>
                <wp:lineTo x="0" y="-391"/>
              </wp:wrapPolygon>
            </wp:wrapTight>
            <wp:docPr id="2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B023CE-76AD-2133-3BC3-3F10F7D7E61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>
                      <a:extLst>
                        <a:ext uri="{FF2B5EF4-FFF2-40B4-BE49-F238E27FC236}">
                          <a16:creationId xmlns:a16="http://schemas.microsoft.com/office/drawing/2014/main" id="{30B023CE-76AD-2133-3BC3-3F10F7D7E61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8" r="7149"/>
                    <a:stretch/>
                  </pic:blipFill>
                  <pic:spPr bwMode="auto">
                    <a:xfrm>
                      <a:off x="0" y="0"/>
                      <a:ext cx="2570247" cy="210312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DFA">
        <w:t>Practice routine oral care.</w:t>
      </w:r>
      <w:r w:rsidR="00E1486E">
        <w:rPr>
          <w:vertAlign w:val="superscript"/>
        </w:rPr>
        <w:t>4,5-8</w:t>
      </w:r>
    </w:p>
    <w:p w14:paraId="03D383A9" w14:textId="0F24D94B" w:rsidR="00514DFA" w:rsidRDefault="00514DFA" w:rsidP="00514DFA">
      <w:pPr>
        <w:pStyle w:val="ListParagraph"/>
        <w:contextualSpacing/>
      </w:pPr>
      <w:r>
        <w:rPr>
          <w:i/>
          <w:iCs/>
        </w:rPr>
        <w:t>S</w:t>
      </w:r>
      <w:r w:rsidR="00EE20EE">
        <w:rPr>
          <w:i/>
          <w:iCs/>
        </w:rPr>
        <w:t>taphylococcus</w:t>
      </w:r>
      <w:r>
        <w:rPr>
          <w:i/>
          <w:iCs/>
        </w:rPr>
        <w:t xml:space="preserve"> aureus</w:t>
      </w:r>
      <w:r>
        <w:t xml:space="preserve"> is a common pathogen in dental plaque.</w:t>
      </w:r>
      <w:r w:rsidRPr="0075015E">
        <w:rPr>
          <w:noProof/>
        </w:rPr>
        <w:t xml:space="preserve"> </w:t>
      </w:r>
    </w:p>
    <w:p w14:paraId="646EA3F0" w14:textId="1F49D597" w:rsidR="00514DFA" w:rsidRDefault="00514DFA" w:rsidP="00514DFA">
      <w:pPr>
        <w:pStyle w:val="ListParagraph"/>
        <w:contextualSpacing/>
      </w:pPr>
      <w:r>
        <w:t>Conduct an individualized assessment and plan for each patient considering their ability to perform self-care independently.</w:t>
      </w:r>
    </w:p>
    <w:p w14:paraId="03941B36" w14:textId="4CDD4ECE" w:rsidR="00514DFA" w:rsidRDefault="00514DFA" w:rsidP="00514DFA">
      <w:pPr>
        <w:pStyle w:val="ListParagraph"/>
        <w:contextualSpacing/>
      </w:pPr>
      <w:r>
        <w:t>At minimum, the oral care regimen should include: toothbrushing, alcohol-free antiseptic rinse, and daily use of lip and mouth moisturizer.</w:t>
      </w:r>
      <w:r w:rsidRPr="006D4AAB">
        <w:rPr>
          <w:noProof/>
        </w:rPr>
        <w:t xml:space="preserve"> </w:t>
      </w:r>
    </w:p>
    <w:p w14:paraId="63E4A51B" w14:textId="20669093" w:rsidR="00514DFA" w:rsidRDefault="00514DFA" w:rsidP="00514DFA">
      <w:pPr>
        <w:pStyle w:val="Heading2"/>
      </w:pPr>
      <w:r>
        <w:t>Identify and reduce risk of dysphagia and aspiration.</w:t>
      </w:r>
      <w:r w:rsidR="00E1486E">
        <w:rPr>
          <w:vertAlign w:val="superscript"/>
        </w:rPr>
        <w:t>5-6,8-9</w:t>
      </w:r>
      <w:r w:rsidR="00C14643">
        <w:t xml:space="preserve"> </w:t>
      </w:r>
    </w:p>
    <w:p w14:paraId="559EE961" w14:textId="0EBA7504" w:rsidR="00514DFA" w:rsidRDefault="00514DFA" w:rsidP="00514DFA">
      <w:pPr>
        <w:pStyle w:val="ListParagraph"/>
        <w:contextualSpacing/>
      </w:pPr>
      <w:r>
        <w:t xml:space="preserve">Implement a nurse-administered screening tool. </w:t>
      </w:r>
    </w:p>
    <w:p w14:paraId="4C6C0FA5" w14:textId="53A9F697" w:rsidR="00514DFA" w:rsidRDefault="00514DFA" w:rsidP="00514DFA">
      <w:pPr>
        <w:pStyle w:val="ListParagraph"/>
        <w:contextualSpacing/>
      </w:pPr>
      <w:r>
        <w:t xml:space="preserve">Perform </w:t>
      </w:r>
      <w:r w:rsidRPr="002C47C6">
        <w:t xml:space="preserve">a swallow screening </w:t>
      </w:r>
      <w:r>
        <w:t>for at-risk patients</w:t>
      </w:r>
      <w:r w:rsidRPr="002C47C6">
        <w:t xml:space="preserve">. </w:t>
      </w:r>
    </w:p>
    <w:p w14:paraId="68A10BE0" w14:textId="56E845C9" w:rsidR="00514DFA" w:rsidRDefault="00514DFA" w:rsidP="00514DFA">
      <w:pPr>
        <w:pStyle w:val="ListParagraph"/>
        <w:contextualSpacing/>
      </w:pPr>
      <w:r>
        <w:t>Fluoroscopic or endoscopic studies are the most thorough way to evaluate aspiration.</w:t>
      </w:r>
    </w:p>
    <w:p w14:paraId="05516F8A" w14:textId="116F9E8E" w:rsidR="00514DFA" w:rsidRDefault="00514DFA" w:rsidP="00514DFA">
      <w:pPr>
        <w:pStyle w:val="ListParagraph"/>
        <w:contextualSpacing/>
      </w:pPr>
      <w:r>
        <w:t>Avoid supine positioning;</w:t>
      </w:r>
      <w:r w:rsidRPr="006572EB">
        <w:t xml:space="preserve"> keep</w:t>
      </w:r>
      <w:r>
        <w:t xml:space="preserve"> </w:t>
      </w:r>
      <w:r w:rsidRPr="006572EB">
        <w:t>the head of the bed elevated at least 30 degrees.</w:t>
      </w:r>
      <w:r w:rsidR="00E1486E">
        <w:rPr>
          <w:vertAlign w:val="superscript"/>
        </w:rPr>
        <w:t>4</w:t>
      </w:r>
      <w:r w:rsidRPr="006572EB">
        <w:t xml:space="preserve"> </w:t>
      </w:r>
    </w:p>
    <w:p w14:paraId="2030A879" w14:textId="77777777" w:rsidR="00514DFA" w:rsidRDefault="00514DFA" w:rsidP="00514DFA">
      <w:pPr>
        <w:pStyle w:val="ListParagraph"/>
        <w:contextualSpacing/>
      </w:pPr>
      <w:r w:rsidRPr="006572EB">
        <w:t xml:space="preserve">If gastric tubes are necessary, </w:t>
      </w:r>
      <w:r>
        <w:t xml:space="preserve">conduct </w:t>
      </w:r>
      <w:r w:rsidRPr="006572EB">
        <w:t xml:space="preserve">frequent </w:t>
      </w:r>
      <w:r>
        <w:t>re</w:t>
      </w:r>
      <w:r w:rsidRPr="006572EB">
        <w:t>assessments and avoid bolus feedings when possible.</w:t>
      </w:r>
    </w:p>
    <w:p w14:paraId="05BBEB4C" w14:textId="77777777" w:rsidR="00514DFA" w:rsidRDefault="00514DFA" w:rsidP="00514DFA">
      <w:pPr>
        <w:pStyle w:val="ListParagraph"/>
        <w:contextualSpacing/>
      </w:pPr>
      <w:r>
        <w:t xml:space="preserve">Daily goals conversation should include </w:t>
      </w:r>
      <w:r w:rsidRPr="006572EB">
        <w:t>head</w:t>
      </w:r>
      <w:r>
        <w:t>-</w:t>
      </w:r>
      <w:r w:rsidRPr="006572EB">
        <w:t>of</w:t>
      </w:r>
      <w:r>
        <w:t>-</w:t>
      </w:r>
      <w:r w:rsidRPr="006572EB">
        <w:t xml:space="preserve">bed elevation and </w:t>
      </w:r>
      <w:r>
        <w:t>re</w:t>
      </w:r>
      <w:r w:rsidRPr="006572EB">
        <w:t>assessment</w:t>
      </w:r>
      <w:r>
        <w:t>s</w:t>
      </w:r>
      <w:r w:rsidRPr="006572EB">
        <w:t xml:space="preserve"> of </w:t>
      </w:r>
      <w:r>
        <w:t xml:space="preserve">the continued </w:t>
      </w:r>
      <w:r w:rsidRPr="006572EB">
        <w:t xml:space="preserve">need for sedatives and gastric tubes. </w:t>
      </w:r>
    </w:p>
    <w:p w14:paraId="153E8513" w14:textId="4AA03C4E" w:rsidR="00514DFA" w:rsidRPr="001734EE" w:rsidRDefault="00514DFA" w:rsidP="00514DFA">
      <w:pPr>
        <w:pStyle w:val="Heading2"/>
        <w:rPr>
          <w:vertAlign w:val="superscript"/>
        </w:rPr>
      </w:pPr>
      <w:r>
        <w:t>Encourage early mobilization.</w:t>
      </w:r>
      <w:r w:rsidR="001734EE">
        <w:rPr>
          <w:vertAlign w:val="superscript"/>
        </w:rPr>
        <w:t>5</w:t>
      </w:r>
      <w:r w:rsidR="008F35F3">
        <w:rPr>
          <w:vertAlign w:val="superscript"/>
        </w:rPr>
        <w:t>,7,9</w:t>
      </w:r>
    </w:p>
    <w:p w14:paraId="1A83E1CD" w14:textId="77777777" w:rsidR="00514DFA" w:rsidRDefault="00514DFA" w:rsidP="00514DFA">
      <w:pPr>
        <w:pStyle w:val="ListParagraph"/>
        <w:contextualSpacing/>
      </w:pPr>
      <w:r>
        <w:t>Conduct early mobilization, when possible, but it is important to consider fall risk.</w:t>
      </w:r>
    </w:p>
    <w:p w14:paraId="507A3C47" w14:textId="77777777" w:rsidR="00514DFA" w:rsidRDefault="00514DFA" w:rsidP="00514DFA">
      <w:pPr>
        <w:pStyle w:val="ListParagraph"/>
        <w:contextualSpacing/>
      </w:pPr>
      <w:r>
        <w:t>P</w:t>
      </w:r>
      <w:r w:rsidRPr="002A0B43">
        <w:t xml:space="preserve">artner with rehabilitation professionals to evaluate and plan </w:t>
      </w:r>
      <w:r>
        <w:t>early mobilization</w:t>
      </w:r>
      <w:r w:rsidRPr="002A0B43">
        <w:t>.</w:t>
      </w:r>
    </w:p>
    <w:p w14:paraId="7C676294" w14:textId="77777777" w:rsidR="00514DFA" w:rsidRDefault="00514DFA" w:rsidP="00514DFA">
      <w:pPr>
        <w:pStyle w:val="ListParagraph"/>
        <w:contextualSpacing/>
      </w:pPr>
      <w:r w:rsidRPr="002A0B43">
        <w:t>When appropriate, engag</w:t>
      </w:r>
      <w:r>
        <w:t>e</w:t>
      </w:r>
      <w:r w:rsidRPr="002A0B43">
        <w:t xml:space="preserve"> family members </w:t>
      </w:r>
      <w:r>
        <w:t xml:space="preserve">in the mobilization of </w:t>
      </w:r>
      <w:r w:rsidRPr="002A0B43">
        <w:t>patients.</w:t>
      </w:r>
    </w:p>
    <w:p w14:paraId="253DD276" w14:textId="4F108ECA" w:rsidR="00514DFA" w:rsidRPr="008F35F3" w:rsidRDefault="00514DFA" w:rsidP="00514DFA">
      <w:pPr>
        <w:pStyle w:val="Heading2"/>
        <w:rPr>
          <w:vertAlign w:val="superscript"/>
        </w:rPr>
      </w:pPr>
      <w:r>
        <w:t>Exercise stress ulcer prophylaxis stewardship.</w:t>
      </w:r>
      <w:r w:rsidR="008F35F3">
        <w:rPr>
          <w:vertAlign w:val="superscript"/>
        </w:rPr>
        <w:t>5,7-9</w:t>
      </w:r>
    </w:p>
    <w:p w14:paraId="4FBFB4BC" w14:textId="77777777" w:rsidR="00514DFA" w:rsidRDefault="00514DFA" w:rsidP="00514DFA">
      <w:pPr>
        <w:pStyle w:val="ListParagraph"/>
        <w:contextualSpacing/>
      </w:pPr>
      <w:r w:rsidRPr="00D714F9">
        <w:t xml:space="preserve">Proton-pump inhibitor (PPI) use has been associated with </w:t>
      </w:r>
      <w:r>
        <w:t xml:space="preserve">increased </w:t>
      </w:r>
      <w:r w:rsidRPr="00D714F9">
        <w:t xml:space="preserve">risk </w:t>
      </w:r>
      <w:r>
        <w:t>of</w:t>
      </w:r>
      <w:r w:rsidRPr="00D714F9">
        <w:t xml:space="preserve"> pneumonia.</w:t>
      </w:r>
    </w:p>
    <w:p w14:paraId="08856F29" w14:textId="77777777" w:rsidR="00514DFA" w:rsidRDefault="00514DFA" w:rsidP="00514DFA">
      <w:pPr>
        <w:pStyle w:val="ListParagraph"/>
        <w:contextualSpacing/>
      </w:pPr>
      <w:r>
        <w:t>The n</w:t>
      </w:r>
      <w:r w:rsidRPr="00D714F9">
        <w:t xml:space="preserve">ecessity of PPI use should be </w:t>
      </w:r>
      <w:r>
        <w:t>re-</w:t>
      </w:r>
      <w:r w:rsidRPr="00D714F9">
        <w:t xml:space="preserve">evaluated daily. </w:t>
      </w:r>
      <w:r>
        <w:t xml:space="preserve">Discontinue </w:t>
      </w:r>
      <w:r w:rsidRPr="00D714F9">
        <w:t xml:space="preserve">PPI </w:t>
      </w:r>
      <w:r>
        <w:t xml:space="preserve">use </w:t>
      </w:r>
      <w:r w:rsidRPr="00D714F9">
        <w:t>as soon as clinically appropriate.</w:t>
      </w:r>
    </w:p>
    <w:p w14:paraId="020629BA" w14:textId="6B524DF0" w:rsidR="00514DFA" w:rsidRPr="008F35F3" w:rsidRDefault="00514DFA" w:rsidP="00514DFA">
      <w:pPr>
        <w:pStyle w:val="Heading2"/>
        <w:rPr>
          <w:vertAlign w:val="superscript"/>
        </w:rPr>
      </w:pPr>
      <w:r>
        <w:t>Assess nutrition.</w:t>
      </w:r>
      <w:r w:rsidR="008F35F3">
        <w:rPr>
          <w:vertAlign w:val="superscript"/>
        </w:rPr>
        <w:t>6-7,</w:t>
      </w:r>
    </w:p>
    <w:p w14:paraId="417B7007" w14:textId="77777777" w:rsidR="00514DFA" w:rsidRDefault="00514DFA" w:rsidP="00514DFA">
      <w:pPr>
        <w:pStyle w:val="ListParagraph"/>
        <w:contextualSpacing/>
      </w:pPr>
      <w:r>
        <w:t>E</w:t>
      </w:r>
      <w:r w:rsidRPr="000B222E">
        <w:t xml:space="preserve">nsure that </w:t>
      </w:r>
      <w:r>
        <w:t xml:space="preserve">patients’ </w:t>
      </w:r>
      <w:r w:rsidRPr="000B222E">
        <w:t xml:space="preserve">nutritional needs are being met and </w:t>
      </w:r>
      <w:r>
        <w:t xml:space="preserve">that </w:t>
      </w:r>
      <w:r w:rsidRPr="000B222E">
        <w:t xml:space="preserve">their nutrition is optimized. </w:t>
      </w:r>
    </w:p>
    <w:p w14:paraId="3785A3DF" w14:textId="77777777" w:rsidR="00514DFA" w:rsidRDefault="00514DFA" w:rsidP="00514DFA">
      <w:pPr>
        <w:pStyle w:val="ListParagraph"/>
        <w:contextualSpacing/>
      </w:pPr>
      <w:r w:rsidRPr="000B222E">
        <w:t>Accurate assessment and documentation of intake will assist in this effort</w:t>
      </w:r>
      <w:r>
        <w:t>.</w:t>
      </w:r>
    </w:p>
    <w:p w14:paraId="1CEC7F00" w14:textId="4F84D138" w:rsidR="00514DFA" w:rsidRDefault="00514DFA" w:rsidP="00514DFA">
      <w:pPr>
        <w:pStyle w:val="Heading2"/>
      </w:pPr>
      <w:r>
        <w:t>Ensure glycemic control.</w:t>
      </w:r>
      <w:r w:rsidR="008F35F3">
        <w:rPr>
          <w:vertAlign w:val="superscript"/>
        </w:rPr>
        <w:t>9</w:t>
      </w:r>
    </w:p>
    <w:p w14:paraId="37D0E670" w14:textId="77777777" w:rsidR="00514DFA" w:rsidRDefault="00514DFA" w:rsidP="00514DFA">
      <w:pPr>
        <w:pStyle w:val="ListParagraph"/>
        <w:contextualSpacing/>
      </w:pPr>
      <w:r>
        <w:t>P</w:t>
      </w:r>
      <w:r w:rsidRPr="00D4511F">
        <w:t xml:space="preserve">ersistently high blood glucose levels can make patients more </w:t>
      </w:r>
      <w:r>
        <w:t xml:space="preserve">susceptible </w:t>
      </w:r>
      <w:r w:rsidRPr="00D4511F">
        <w:t xml:space="preserve">to infection. </w:t>
      </w:r>
    </w:p>
    <w:p w14:paraId="64251C72" w14:textId="77777777" w:rsidR="00514DFA" w:rsidRDefault="00514DFA" w:rsidP="00514DFA">
      <w:pPr>
        <w:pStyle w:val="ListParagraph"/>
        <w:numPr>
          <w:ilvl w:val="1"/>
          <w:numId w:val="27"/>
        </w:numPr>
        <w:ind w:left="810"/>
        <w:contextualSpacing/>
      </w:pPr>
      <w:r>
        <w:t xml:space="preserve">Patients with a </w:t>
      </w:r>
      <w:r w:rsidRPr="00D4511F">
        <w:t>history of diabetes should be closely monitored and treated</w:t>
      </w:r>
      <w:r>
        <w:t xml:space="preserve"> appropriately.</w:t>
      </w:r>
    </w:p>
    <w:p w14:paraId="7EC11F5F" w14:textId="2D960684" w:rsidR="00514DFA" w:rsidRDefault="00514DFA" w:rsidP="00514DFA">
      <w:pPr>
        <w:pStyle w:val="Heading2"/>
      </w:pPr>
      <w:r>
        <w:t>Practice multimodal interventions to prevent viral infections.</w:t>
      </w:r>
      <w:r w:rsidR="00436502">
        <w:rPr>
          <w:vertAlign w:val="superscript"/>
        </w:rPr>
        <w:t>6-7,10</w:t>
      </w:r>
      <w:r w:rsidR="003914E3">
        <w:t xml:space="preserve"> </w:t>
      </w:r>
    </w:p>
    <w:p w14:paraId="51DD772C" w14:textId="77777777" w:rsidR="00514DFA" w:rsidRDefault="00514DFA" w:rsidP="00514DFA">
      <w:pPr>
        <w:pStyle w:val="ListParagraph"/>
        <w:contextualSpacing/>
      </w:pPr>
      <w:r w:rsidRPr="00CD4D74">
        <w:t>Early identification and isolation of infected patients</w:t>
      </w:r>
      <w:r>
        <w:t xml:space="preserve"> is crucial.</w:t>
      </w:r>
    </w:p>
    <w:p w14:paraId="3831AFF9" w14:textId="77777777" w:rsidR="00514DFA" w:rsidRDefault="00514DFA" w:rsidP="00514DFA">
      <w:pPr>
        <w:pStyle w:val="ListParagraph"/>
        <w:contextualSpacing/>
      </w:pPr>
      <w:r>
        <w:t xml:space="preserve">Consider establishing protocols for </w:t>
      </w:r>
      <w:r w:rsidRPr="001F2E15">
        <w:t xml:space="preserve">staff and visitor symptom screening, active surveillance screening for patients, </w:t>
      </w:r>
      <w:r>
        <w:t>or</w:t>
      </w:r>
      <w:r w:rsidRPr="001F2E15">
        <w:t xml:space="preserve"> </w:t>
      </w:r>
      <w:r>
        <w:t xml:space="preserve">implementation </w:t>
      </w:r>
      <w:r w:rsidRPr="001F2E15">
        <w:t xml:space="preserve">of universal masking </w:t>
      </w:r>
      <w:r>
        <w:t>when</w:t>
      </w:r>
      <w:r w:rsidRPr="001F2E15">
        <w:t xml:space="preserve"> transmission rates are high</w:t>
      </w:r>
      <w:r>
        <w:t>.</w:t>
      </w:r>
    </w:p>
    <w:p w14:paraId="2581DBCC" w14:textId="042BB1E6" w:rsidR="00BE6048" w:rsidRPr="00B81F18" w:rsidRDefault="00514DFA" w:rsidP="00B81F18">
      <w:pPr>
        <w:pStyle w:val="ListParagraph"/>
        <w:contextualSpacing/>
      </w:pPr>
      <w:r>
        <w:t>Maintaining up-to-date i</w:t>
      </w:r>
      <w:r w:rsidRPr="001F2E15">
        <w:t xml:space="preserve">mmunizations for staff and patients is also </w:t>
      </w:r>
      <w:r>
        <w:t>key.</w:t>
      </w:r>
    </w:p>
    <w:p w14:paraId="3FA54FAA" w14:textId="77777777" w:rsidR="00514DFA" w:rsidRPr="00E1018E" w:rsidRDefault="00514DFA" w:rsidP="00514DFA">
      <w:pPr>
        <w:pStyle w:val="Heading1"/>
      </w:pPr>
      <w:r>
        <w:t>Guidelines and Resources</w:t>
      </w:r>
    </w:p>
    <w:p w14:paraId="17015FC3" w14:textId="6F84CFA4" w:rsidR="00514DFA" w:rsidRPr="006D4AAB" w:rsidRDefault="00514DFA" w:rsidP="00514DFA">
      <w:pPr>
        <w:pStyle w:val="ListParagraph"/>
        <w:rPr>
          <w:b/>
          <w:bCs/>
        </w:rPr>
      </w:pPr>
      <w:hyperlink r:id="rId12" w:history="1">
        <w:r w:rsidRPr="00920CD7">
          <w:rPr>
            <w:rStyle w:val="Hyperlink"/>
            <w:b/>
            <w:bCs/>
          </w:rPr>
          <w:t>2022 SHEA Compendium: Strategies to Prevent VAP, VAE, and NV-HAP in Acute Care Hospitals</w:t>
        </w:r>
      </w:hyperlink>
      <w:proofErr w:type="gramStart"/>
      <w:r w:rsidR="00436502">
        <w:rPr>
          <w:rStyle w:val="Hyperlink"/>
          <w:b/>
          <w:bCs/>
          <w:vertAlign w:val="superscript"/>
        </w:rPr>
        <w:t>3</w:t>
      </w:r>
      <w:proofErr w:type="gramEnd"/>
    </w:p>
    <w:p w14:paraId="78B6839C" w14:textId="551EB0AD" w:rsidR="006921A2" w:rsidRPr="008131BB" w:rsidRDefault="00514DFA" w:rsidP="00B81F18">
      <w:pPr>
        <w:pStyle w:val="ListParagraph"/>
        <w:contextualSpacing/>
        <w:rPr>
          <w:b/>
          <w:bCs/>
        </w:rPr>
      </w:pPr>
      <w:hyperlink r:id="rId13" w:history="1">
        <w:r w:rsidRPr="006D4AAB">
          <w:rPr>
            <w:rStyle w:val="Hyperlink"/>
            <w:b/>
            <w:bCs/>
          </w:rPr>
          <w:t>APIC Implementation Guide on NV-HAP (2020)</w:t>
        </w:r>
      </w:hyperlink>
      <w:r w:rsidR="00436502">
        <w:rPr>
          <w:rStyle w:val="Hyperlink"/>
          <w:b/>
          <w:bCs/>
          <w:vertAlign w:val="superscript"/>
        </w:rPr>
        <w:t>1</w:t>
      </w:r>
      <w:r w:rsidR="006921A2" w:rsidRPr="007923E9">
        <w:br w:type="page"/>
      </w:r>
    </w:p>
    <w:p w14:paraId="74C8F3C1" w14:textId="57173BE7" w:rsidR="000C2225" w:rsidRPr="007923E9" w:rsidRDefault="005C6D51" w:rsidP="00B81F18">
      <w:pPr>
        <w:pStyle w:val="Heading1"/>
      </w:pPr>
      <w:r>
        <w:lastRenderedPageBreak/>
        <w:t>References</w:t>
      </w:r>
    </w:p>
    <w:p w14:paraId="698E6D06" w14:textId="6EC032B5" w:rsidR="006921A2" w:rsidRPr="007923E9" w:rsidRDefault="006921A2" w:rsidP="00B81F18">
      <w:pPr>
        <w:pStyle w:val="EndnoteText"/>
        <w:sectPr w:rsidR="006921A2" w:rsidRPr="007923E9" w:rsidSect="006648B4"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1304FE53" w14:textId="77777777" w:rsidR="002966E3" w:rsidRPr="00E918E2" w:rsidRDefault="002966E3" w:rsidP="002966E3">
      <w:pPr>
        <w:pStyle w:val="RefList"/>
      </w:pPr>
      <w:r w:rsidRPr="00E918E2">
        <w:t xml:space="preserve">Association for Professionals in Infection Control and Epidemiology. APIC Implementation Guide Series: Non-Ventilator Health Care-Associated Pneumonia (NV-HAP). Am J Infect Control. 2020 May;48(5S):A1-A38. </w:t>
      </w:r>
      <w:hyperlink r:id="rId17" w:history="1">
        <w:r w:rsidRPr="00E918E2">
          <w:rPr>
            <w:rStyle w:val="Hyperlink"/>
            <w:rFonts w:ascii="Calibri" w:hAnsi="Calibri" w:cs="Calibri"/>
          </w:rPr>
          <w:t>https://www.ajicjournal.org/issue/S0196-6553(20)X0005-8</w:t>
        </w:r>
      </w:hyperlink>
      <w:r w:rsidRPr="00E918E2">
        <w:t xml:space="preserve">. Accessed March 8, 2024. </w:t>
      </w:r>
    </w:p>
    <w:p w14:paraId="419D716C" w14:textId="77777777" w:rsidR="002966E3" w:rsidRPr="00E918E2" w:rsidRDefault="002966E3" w:rsidP="002966E3">
      <w:pPr>
        <w:pStyle w:val="RefList"/>
      </w:pPr>
      <w:r w:rsidRPr="00E918E2">
        <w:t xml:space="preserve">Baker D, Davis J, Quinn B. APIC Practice Position Statement: Non-Ventilator Healthcare-Associated Pneumonia (NV-HAP). </w:t>
      </w:r>
      <w:hyperlink r:id="rId18" w:history="1">
        <w:r w:rsidRPr="00E918E2">
          <w:rPr>
            <w:rStyle w:val="Hyperlink"/>
            <w:rFonts w:ascii="Calibri" w:hAnsi="Calibri" w:cs="Calibri"/>
          </w:rPr>
          <w:t>https://apic.org/wp-content/uploads/2019/10/PositionPaper_NVHAP_2019_v3.pdf</w:t>
        </w:r>
      </w:hyperlink>
      <w:r w:rsidRPr="00E918E2">
        <w:t xml:space="preserve">. Accessed March 8, 2024. </w:t>
      </w:r>
    </w:p>
    <w:p w14:paraId="501509B6" w14:textId="77777777" w:rsidR="002966E3" w:rsidRPr="00E918E2" w:rsidRDefault="002966E3" w:rsidP="002966E3">
      <w:pPr>
        <w:pStyle w:val="RefList"/>
      </w:pPr>
      <w:r w:rsidRPr="00E918E2">
        <w:t xml:space="preserve">Klompas M, Branson R, Cawcutt K, et al. Strategies to prevent ventilator-associated pneumonia, ventilator-associated events, and </w:t>
      </w:r>
      <w:proofErr w:type="spellStart"/>
      <w:r w:rsidRPr="00E918E2">
        <w:t>nonventilator</w:t>
      </w:r>
      <w:proofErr w:type="spellEnd"/>
      <w:r w:rsidRPr="00E918E2">
        <w:t xml:space="preserve"> hospital-acquired pneumonia in acute-care hospitals: 2022 Update. Infect Control Hosp Epidemiol. 2022 Jun;43(6):687-713. PMID: 35589091.</w:t>
      </w:r>
    </w:p>
    <w:p w14:paraId="52225DEA" w14:textId="5F5AC683" w:rsidR="002966E3" w:rsidRPr="00E918E2" w:rsidRDefault="002966E3" w:rsidP="002966E3">
      <w:pPr>
        <w:pStyle w:val="RefList"/>
      </w:pPr>
      <w:r w:rsidRPr="00E918E2">
        <w:t>Quinn B, Giuliano KK, Baker D. Non-ventilator health care-associated pneumonia (NV-HAP): Best practices for prevention of NV-HAP. Am J Infect Control. 2020 May;48(5S):A23-7. PMID: 32331561.</w:t>
      </w:r>
    </w:p>
    <w:p w14:paraId="0B79A8D6" w14:textId="77777777" w:rsidR="002966E3" w:rsidRPr="00E918E2" w:rsidRDefault="002966E3" w:rsidP="002966E3">
      <w:pPr>
        <w:pStyle w:val="RefList"/>
      </w:pPr>
      <w:r w:rsidRPr="00E918E2">
        <w:t>Durand C, Willett KC, Desilets AR. Proton Pump Inhibitor use in Hospitalized Patients: Is Overutilization Becoming a Problem? Clin Med Insights Gastroenterol. 2012 Oct 15;5:65-76. PMID: 24833936.</w:t>
      </w:r>
    </w:p>
    <w:p w14:paraId="554ED084" w14:textId="77777777" w:rsidR="002966E3" w:rsidRDefault="002966E3" w:rsidP="002966E3">
      <w:pPr>
        <w:pStyle w:val="RefList"/>
      </w:pPr>
      <w:r w:rsidRPr="00E918E2">
        <w:t xml:space="preserve">The Joint Commission. Preventing Non-Ventilator Hospital-Acquired Pneumonia. Quick Safety Issue 61. Oakbrook Terrace, IL: The Joint Commission. September 2021. </w:t>
      </w:r>
      <w:hyperlink r:id="rId19" w:history="1">
        <w:r w:rsidRPr="00E918E2">
          <w:rPr>
            <w:rStyle w:val="Hyperlink"/>
            <w:rFonts w:ascii="Calibri" w:hAnsi="Calibri" w:cs="Calibri"/>
          </w:rPr>
          <w:t>https://www.jointcommission.org/resources/news-and-multimedia/newsletters/newsletters/quick-safety/quick-safety-issue-61</w:t>
        </w:r>
      </w:hyperlink>
      <w:r w:rsidRPr="00E918E2">
        <w:t>. Accessed March 7, 2024.</w:t>
      </w:r>
    </w:p>
    <w:p w14:paraId="52E1C8D5" w14:textId="77777777" w:rsidR="00A26BFF" w:rsidRDefault="00A26BFF" w:rsidP="00A26BFF">
      <w:pPr>
        <w:pStyle w:val="RefList"/>
        <w:numPr>
          <w:ilvl w:val="0"/>
          <w:numId w:val="0"/>
        </w:numPr>
        <w:ind w:left="360" w:hanging="360"/>
      </w:pPr>
    </w:p>
    <w:p w14:paraId="1EE32838" w14:textId="77777777" w:rsidR="00A26BFF" w:rsidRPr="00E918E2" w:rsidRDefault="00A26BFF" w:rsidP="00A26BFF">
      <w:pPr>
        <w:pStyle w:val="RefList"/>
        <w:numPr>
          <w:ilvl w:val="0"/>
          <w:numId w:val="0"/>
        </w:numPr>
        <w:ind w:left="360" w:hanging="360"/>
      </w:pPr>
    </w:p>
    <w:p w14:paraId="4BA22953" w14:textId="77777777" w:rsidR="002966E3" w:rsidRPr="00E918E2" w:rsidRDefault="002966E3" w:rsidP="002966E3">
      <w:pPr>
        <w:pStyle w:val="RefList"/>
      </w:pPr>
      <w:proofErr w:type="spellStart"/>
      <w:r w:rsidRPr="00E918E2">
        <w:t>Rotstein</w:t>
      </w:r>
      <w:proofErr w:type="spellEnd"/>
      <w:r w:rsidRPr="00E918E2">
        <w:t xml:space="preserve"> C, Evans G, Born A, et al. Clinical practice guidelines for hospital-acquired pneumonia and ventilator-associated pneumonia in adults. Can J Infect Dis Med Microbiol. 2008 Jan;19(1):19-53. PMID: 19145262.</w:t>
      </w:r>
    </w:p>
    <w:p w14:paraId="27183909" w14:textId="77777777" w:rsidR="002966E3" w:rsidRPr="00E918E2" w:rsidRDefault="002966E3" w:rsidP="002966E3">
      <w:pPr>
        <w:pStyle w:val="RefList"/>
      </w:pPr>
      <w:r w:rsidRPr="00E918E2">
        <w:t>Grube RR, May DB. Stress ulcer prophylaxis in hospitalized patients not in intensive care units. Am J Health Syst Pharm. 2007 Jul 1;64(13):1396-400. PMID: 17592004.</w:t>
      </w:r>
    </w:p>
    <w:p w14:paraId="6750C69D" w14:textId="77777777" w:rsidR="002966E3" w:rsidRPr="00E918E2" w:rsidRDefault="002966E3" w:rsidP="002966E3">
      <w:pPr>
        <w:pStyle w:val="RefList"/>
      </w:pPr>
      <w:r w:rsidRPr="00E918E2">
        <w:t xml:space="preserve">American Thoracic Society, Infectious Diseases Society of America. Guidelines for the management of adults with hospital- acquire, ventilator- associated, and healthcare- associated pneumonia. Am J Respir Crit Care Med. 2005 Feb;171(4):388-416. PMID: 15699079. </w:t>
      </w:r>
    </w:p>
    <w:p w14:paraId="20E065A8" w14:textId="77777777" w:rsidR="002966E3" w:rsidRPr="00E918E2" w:rsidRDefault="002966E3" w:rsidP="002966E3">
      <w:pPr>
        <w:pStyle w:val="RefList"/>
      </w:pPr>
      <w:proofErr w:type="spellStart"/>
      <w:r w:rsidRPr="00E918E2">
        <w:t>Shebl</w:t>
      </w:r>
      <w:proofErr w:type="spellEnd"/>
      <w:r w:rsidRPr="00E918E2">
        <w:t xml:space="preserve"> E, Gulick PG. Nosocomial Pneumonia. In: </w:t>
      </w:r>
      <w:proofErr w:type="spellStart"/>
      <w:r w:rsidRPr="00E918E2">
        <w:t>StatPearls</w:t>
      </w:r>
      <w:proofErr w:type="spellEnd"/>
      <w:r w:rsidRPr="00E918E2">
        <w:t xml:space="preserve">. </w:t>
      </w:r>
      <w:proofErr w:type="spellStart"/>
      <w:r w:rsidRPr="00E918E2">
        <w:t>StatPearls</w:t>
      </w:r>
      <w:proofErr w:type="spellEnd"/>
      <w:r w:rsidRPr="00E918E2">
        <w:t xml:space="preserve"> Publishing: Treasure Island, FL; 2023. PMID: 3051062. </w:t>
      </w:r>
      <w:hyperlink r:id="rId20" w:history="1">
        <w:r w:rsidRPr="00E918E2">
          <w:rPr>
            <w:rStyle w:val="Hyperlink"/>
            <w:rFonts w:ascii="Calibri" w:hAnsi="Calibri" w:cs="Calibri"/>
          </w:rPr>
          <w:t>https://www.ncbi.nlm.nih.gov/books/NBK535441</w:t>
        </w:r>
      </w:hyperlink>
      <w:r w:rsidRPr="00E918E2">
        <w:t>.</w:t>
      </w:r>
    </w:p>
    <w:p w14:paraId="45A32305" w14:textId="55031F6B" w:rsidR="00E16E4F" w:rsidRDefault="00E16E4F" w:rsidP="00E918E2">
      <w:pPr>
        <w:pStyle w:val="RefList"/>
        <w:numPr>
          <w:ilvl w:val="0"/>
          <w:numId w:val="0"/>
        </w:numPr>
      </w:pPr>
    </w:p>
    <w:p w14:paraId="38667C0A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03B7655A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033A7BAB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2249A2B3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7F426A14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5B40928B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37F99225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512F9DAD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43E08E1B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7A214D51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1982F4BE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502A0FB4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4C14DF41" w14:textId="77777777" w:rsidR="009907F9" w:rsidRDefault="009907F9" w:rsidP="00E918E2">
      <w:pPr>
        <w:pStyle w:val="RefList"/>
        <w:numPr>
          <w:ilvl w:val="0"/>
          <w:numId w:val="0"/>
        </w:numPr>
      </w:pPr>
    </w:p>
    <w:p w14:paraId="7488E632" w14:textId="6A402A93" w:rsidR="009907F9" w:rsidRDefault="009907F9" w:rsidP="009907F9">
      <w:pPr>
        <w:pStyle w:val="RefList"/>
        <w:numPr>
          <w:ilvl w:val="0"/>
          <w:numId w:val="0"/>
        </w:numPr>
        <w:spacing w:after="0"/>
        <w:ind w:left="360"/>
        <w:jc w:val="right"/>
      </w:pPr>
      <w:r>
        <w:t>AHRQ Pub. No. 25-0007</w:t>
      </w:r>
    </w:p>
    <w:p w14:paraId="50A6BE20" w14:textId="25E91342" w:rsidR="009907F9" w:rsidRPr="00913395" w:rsidRDefault="009907F9" w:rsidP="009907F9">
      <w:pPr>
        <w:pStyle w:val="RefList"/>
        <w:numPr>
          <w:ilvl w:val="0"/>
          <w:numId w:val="0"/>
        </w:numPr>
        <w:spacing w:after="0"/>
        <w:ind w:left="360"/>
        <w:jc w:val="right"/>
      </w:pPr>
      <w:r>
        <w:t>October 2024</w:t>
      </w:r>
    </w:p>
    <w:sectPr w:rsidR="009907F9" w:rsidRPr="00913395" w:rsidSect="006921A2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E264" w14:textId="77777777" w:rsidR="00656652" w:rsidRDefault="00656652" w:rsidP="00B81F18">
      <w:r>
        <w:separator/>
      </w:r>
    </w:p>
    <w:p w14:paraId="3089F231" w14:textId="77777777" w:rsidR="00656652" w:rsidRDefault="00656652" w:rsidP="00B81F18"/>
  </w:endnote>
  <w:endnote w:type="continuationSeparator" w:id="0">
    <w:p w14:paraId="70F408AE" w14:textId="77777777" w:rsidR="00656652" w:rsidRDefault="00656652" w:rsidP="00B81F18">
      <w:r>
        <w:continuationSeparator/>
      </w:r>
    </w:p>
    <w:p w14:paraId="5CFDF9EA" w14:textId="77777777" w:rsidR="00656652" w:rsidRDefault="00656652" w:rsidP="00B81F18"/>
  </w:endnote>
  <w:endnote w:type="continuationNotice" w:id="1">
    <w:p w14:paraId="6474CF28" w14:textId="77777777" w:rsidR="00656652" w:rsidRDefault="00656652" w:rsidP="00B81F18"/>
    <w:p w14:paraId="703C1A81" w14:textId="77777777" w:rsidR="00656652" w:rsidRDefault="00656652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0D1A3961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2208FD">
      <w:t>Non-Ventilator Healthcare-Associated Pneumonia (NV-HAP) Prevention: Essential Practices</w:t>
    </w:r>
    <w:r w:rsidRPr="00F91E7D">
      <w:rPr>
        <w:b/>
        <w:bCs w:val="0"/>
      </w:rPr>
      <w:t xml:space="preserve"> 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00D24BD5" w:rsidR="00D252FA" w:rsidRPr="008D58E4" w:rsidRDefault="00C230AB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 w:rsidR="008D58E4">
      <w:t xml:space="preserve"> </w:t>
    </w:r>
    <w:r w:rsidR="008D58E4">
      <w:tab/>
    </w:r>
    <w:r w:rsidR="00514DFA">
      <w:t>Non-Ventilator Healthcare- Associated  Pneumonia (NV-HAP) Prevention: Essential Practices</w:t>
    </w:r>
    <w:r w:rsidR="008D58E4" w:rsidRPr="00F91E7D">
      <w:rPr>
        <w:b/>
        <w:bCs w:val="0"/>
      </w:rPr>
      <w:t xml:space="preserve"> | </w:t>
    </w:r>
    <w:r w:rsidR="008D58E4" w:rsidRPr="00F91E7D">
      <w:rPr>
        <w:b/>
        <w:bCs w:val="0"/>
      </w:rPr>
      <w:fldChar w:fldCharType="begin"/>
    </w:r>
    <w:r w:rsidR="008D58E4" w:rsidRPr="00F91E7D">
      <w:rPr>
        <w:b/>
        <w:bCs w:val="0"/>
      </w:rPr>
      <w:instrText xml:space="preserve"> PAGE   \* MERGEFORMAT </w:instrText>
    </w:r>
    <w:r w:rsidR="008D58E4" w:rsidRPr="00F91E7D">
      <w:rPr>
        <w:b/>
        <w:bCs w:val="0"/>
      </w:rPr>
      <w:fldChar w:fldCharType="separate"/>
    </w:r>
    <w:r w:rsidR="008D58E4">
      <w:rPr>
        <w:b/>
        <w:bCs w:val="0"/>
      </w:rPr>
      <w:t>2</w:t>
    </w:r>
    <w:r w:rsidR="008D58E4"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D912" w14:textId="77777777" w:rsidR="00656652" w:rsidRDefault="00656652" w:rsidP="00B81F18">
      <w:r>
        <w:separator/>
      </w:r>
    </w:p>
    <w:p w14:paraId="08765A0A" w14:textId="77777777" w:rsidR="00656652" w:rsidRDefault="00656652" w:rsidP="00B81F18"/>
  </w:footnote>
  <w:footnote w:type="continuationSeparator" w:id="0">
    <w:p w14:paraId="361615C0" w14:textId="77777777" w:rsidR="00656652" w:rsidRDefault="00656652" w:rsidP="00B81F18">
      <w:r>
        <w:continuationSeparator/>
      </w:r>
    </w:p>
    <w:p w14:paraId="084D36A1" w14:textId="77777777" w:rsidR="00656652" w:rsidRDefault="00656652" w:rsidP="00B81F18"/>
  </w:footnote>
  <w:footnote w:type="continuationNotice" w:id="1">
    <w:p w14:paraId="3C3FBAFA" w14:textId="77777777" w:rsidR="00656652" w:rsidRDefault="00656652" w:rsidP="00B81F18"/>
    <w:p w14:paraId="73F4CB94" w14:textId="77777777" w:rsidR="00656652" w:rsidRDefault="00656652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6F03" w14:textId="4E5E70CE" w:rsidR="00213294" w:rsidRPr="00A26166" w:rsidRDefault="000B1165" w:rsidP="00A26166">
    <w:pPr>
      <w:pStyle w:val="Title"/>
      <w:tabs>
        <w:tab w:val="clear" w:pos="10800"/>
      </w:tabs>
      <w:spacing w:before="0"/>
      <w:ind w:right="1620"/>
      <w:rPr>
        <w:color w:val="000000" w:themeColor="text1"/>
        <w:sz w:val="52"/>
        <w:szCs w:val="52"/>
      </w:rPr>
    </w:pPr>
    <w:r w:rsidRPr="00063D2A">
      <w:rPr>
        <w:noProof/>
      </w:rPr>
      <w:drawing>
        <wp:anchor distT="0" distB="0" distL="114300" distR="114300" simplePos="0" relativeHeight="251658242" behindDoc="0" locked="0" layoutInCell="1" allowOverlap="1" wp14:anchorId="78CC2596" wp14:editId="1B2E998C">
          <wp:simplePos x="0" y="0"/>
          <wp:positionH relativeFrom="page">
            <wp:posOffset>274320</wp:posOffset>
          </wp:positionH>
          <wp:positionV relativeFrom="page">
            <wp:posOffset>182880</wp:posOffset>
          </wp:positionV>
          <wp:extent cx="914400" cy="91440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E8E" w:rsidRPr="006154EE">
      <w:rPr>
        <w:noProof/>
      </w:rPr>
      <w:drawing>
        <wp:anchor distT="0" distB="0" distL="114300" distR="114300" simplePos="0" relativeHeight="251658240" behindDoc="0" locked="0" layoutInCell="1" allowOverlap="1" wp14:anchorId="0784E3E0" wp14:editId="1625A25A">
          <wp:simplePos x="0" y="0"/>
          <wp:positionH relativeFrom="page">
            <wp:posOffset>6309360</wp:posOffset>
          </wp:positionH>
          <wp:positionV relativeFrom="paragraph">
            <wp:posOffset>70339</wp:posOffset>
          </wp:positionV>
          <wp:extent cx="1078992" cy="448056"/>
          <wp:effectExtent l="0" t="0" r="6985" b="0"/>
          <wp:wrapNone/>
          <wp:docPr id="1781978846" name="Picture 17819788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6C9">
      <w:rPr>
        <w:color w:val="000000" w:themeColor="text1"/>
        <w:sz w:val="36"/>
        <w:szCs w:val="36"/>
      </w:rPr>
      <w:t>Non</w:t>
    </w:r>
    <w:r w:rsidR="009936C9" w:rsidRPr="00616124">
      <w:rPr>
        <w:color w:val="000000" w:themeColor="text1"/>
        <w:sz w:val="36"/>
        <w:szCs w:val="36"/>
      </w:rPr>
      <w:t>-Ventilator Healthcare-Associated Pneumonia (NV-HAP) Prevention: Essential Practices</w:t>
    </w:r>
  </w:p>
  <w:p w14:paraId="11C015C9" w14:textId="3A9BC731" w:rsidR="00E66198" w:rsidRPr="0018752C" w:rsidRDefault="006154EE" w:rsidP="0018752C">
    <w:pPr>
      <w:pStyle w:val="Subtitle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BA880BE" wp14:editId="74D821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14400"/>
          <wp:effectExtent l="0" t="0" r="0" b="0"/>
          <wp:wrapNone/>
          <wp:docPr id="161833645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166"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39D"/>
    <w:multiLevelType w:val="hybridMultilevel"/>
    <w:tmpl w:val="9B44F40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657"/>
    <w:multiLevelType w:val="hybridMultilevel"/>
    <w:tmpl w:val="DBFE56D4"/>
    <w:lvl w:ilvl="0" w:tplc="625A755C">
      <w:start w:val="19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C00EB6"/>
    <w:multiLevelType w:val="hybridMultilevel"/>
    <w:tmpl w:val="1766FFAC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1432"/>
    <w:multiLevelType w:val="hybridMultilevel"/>
    <w:tmpl w:val="E5E4D88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06B9"/>
    <w:multiLevelType w:val="hybridMultilevel"/>
    <w:tmpl w:val="1A62833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17B1"/>
    <w:multiLevelType w:val="hybridMultilevel"/>
    <w:tmpl w:val="D4E850B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E02C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68A1A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76A"/>
    <w:multiLevelType w:val="hybridMultilevel"/>
    <w:tmpl w:val="AA24D190"/>
    <w:lvl w:ilvl="0" w:tplc="6EAC2700">
      <w:start w:val="1"/>
      <w:numFmt w:val="bullet"/>
      <w:lvlText w:val="④"/>
      <w:lvlJc w:val="left"/>
      <w:pPr>
        <w:ind w:left="720" w:hanging="360"/>
      </w:pPr>
      <w:rPr>
        <w:rFonts w:ascii="Calibri" w:hAnsi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0A1C"/>
    <w:multiLevelType w:val="hybridMultilevel"/>
    <w:tmpl w:val="14D6A736"/>
    <w:lvl w:ilvl="0" w:tplc="C9B24A6A">
      <w:start w:val="1"/>
      <w:numFmt w:val="bullet"/>
      <w:lvlText w:val="①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49AF"/>
    <w:multiLevelType w:val="hybridMultilevel"/>
    <w:tmpl w:val="F458797E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14A6F"/>
    <w:multiLevelType w:val="hybridMultilevel"/>
    <w:tmpl w:val="87D4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942D5"/>
    <w:multiLevelType w:val="hybridMultilevel"/>
    <w:tmpl w:val="1AB87538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2ABC"/>
    <w:multiLevelType w:val="hybridMultilevel"/>
    <w:tmpl w:val="404AB78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716"/>
    <w:multiLevelType w:val="hybridMultilevel"/>
    <w:tmpl w:val="D02E0EC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4DD8"/>
    <w:multiLevelType w:val="hybridMultilevel"/>
    <w:tmpl w:val="261A34A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84425"/>
    <w:multiLevelType w:val="hybridMultilevel"/>
    <w:tmpl w:val="F50C7BB4"/>
    <w:lvl w:ilvl="0" w:tplc="811EFF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A1C13"/>
    <w:multiLevelType w:val="hybridMultilevel"/>
    <w:tmpl w:val="9AB49936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19B5"/>
    <w:multiLevelType w:val="hybridMultilevel"/>
    <w:tmpl w:val="BEE6F210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C0EA6792">
      <w:start w:val="84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C1420"/>
    <w:multiLevelType w:val="hybridMultilevel"/>
    <w:tmpl w:val="966E83E8"/>
    <w:lvl w:ilvl="0" w:tplc="5304185A">
      <w:start w:val="1"/>
      <w:numFmt w:val="bullet"/>
      <w:lvlText w:val="②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B32A1"/>
    <w:multiLevelType w:val="hybridMultilevel"/>
    <w:tmpl w:val="13786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736E"/>
    <w:multiLevelType w:val="hybridMultilevel"/>
    <w:tmpl w:val="A65211AE"/>
    <w:lvl w:ilvl="0" w:tplc="18BC2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20AC0"/>
    <w:multiLevelType w:val="hybridMultilevel"/>
    <w:tmpl w:val="15F008A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A7BDD"/>
    <w:multiLevelType w:val="hybridMultilevel"/>
    <w:tmpl w:val="469C391C"/>
    <w:lvl w:ilvl="0" w:tplc="11F2EAF8">
      <w:start w:val="1"/>
      <w:numFmt w:val="bullet"/>
      <w:lvlText w:val="③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9108E"/>
    <w:multiLevelType w:val="hybridMultilevel"/>
    <w:tmpl w:val="A274CF1A"/>
    <w:lvl w:ilvl="0" w:tplc="9ABCAAA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109D0"/>
    <w:multiLevelType w:val="hybridMultilevel"/>
    <w:tmpl w:val="57749798"/>
    <w:lvl w:ilvl="0" w:tplc="074896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DA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88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56786"/>
    <w:multiLevelType w:val="hybridMultilevel"/>
    <w:tmpl w:val="A388226A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3450A"/>
    <w:multiLevelType w:val="hybridMultilevel"/>
    <w:tmpl w:val="539619D4"/>
    <w:lvl w:ilvl="0" w:tplc="374014A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A70C1"/>
    <w:multiLevelType w:val="hybridMultilevel"/>
    <w:tmpl w:val="EB92EF08"/>
    <w:lvl w:ilvl="0" w:tplc="FFFFFFFF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53144">
    <w:abstractNumId w:val="1"/>
  </w:num>
  <w:num w:numId="2" w16cid:durableId="1043098534">
    <w:abstractNumId w:val="15"/>
  </w:num>
  <w:num w:numId="3" w16cid:durableId="2135519645">
    <w:abstractNumId w:val="11"/>
  </w:num>
  <w:num w:numId="4" w16cid:durableId="1883666260">
    <w:abstractNumId w:val="5"/>
  </w:num>
  <w:num w:numId="5" w16cid:durableId="1367099386">
    <w:abstractNumId w:val="6"/>
  </w:num>
  <w:num w:numId="6" w16cid:durableId="1954170809">
    <w:abstractNumId w:val="12"/>
  </w:num>
  <w:num w:numId="7" w16cid:durableId="340006641">
    <w:abstractNumId w:val="16"/>
  </w:num>
  <w:num w:numId="8" w16cid:durableId="411005739">
    <w:abstractNumId w:val="2"/>
  </w:num>
  <w:num w:numId="9" w16cid:durableId="1910921671">
    <w:abstractNumId w:val="25"/>
  </w:num>
  <w:num w:numId="10" w16cid:durableId="218833086">
    <w:abstractNumId w:val="14"/>
  </w:num>
  <w:num w:numId="11" w16cid:durableId="869032103">
    <w:abstractNumId w:val="26"/>
  </w:num>
  <w:num w:numId="12" w16cid:durableId="43912103">
    <w:abstractNumId w:val="8"/>
  </w:num>
  <w:num w:numId="13" w16cid:durableId="830869844">
    <w:abstractNumId w:val="9"/>
  </w:num>
  <w:num w:numId="14" w16cid:durableId="43528853">
    <w:abstractNumId w:val="3"/>
  </w:num>
  <w:num w:numId="15" w16cid:durableId="669480762">
    <w:abstractNumId w:val="4"/>
  </w:num>
  <w:num w:numId="16" w16cid:durableId="1326667563">
    <w:abstractNumId w:val="18"/>
  </w:num>
  <w:num w:numId="17" w16cid:durableId="2042975062">
    <w:abstractNumId w:val="27"/>
  </w:num>
  <w:num w:numId="18" w16cid:durableId="1094207944">
    <w:abstractNumId w:val="13"/>
  </w:num>
  <w:num w:numId="19" w16cid:durableId="773129377">
    <w:abstractNumId w:val="17"/>
  </w:num>
  <w:num w:numId="20" w16cid:durableId="1110901194">
    <w:abstractNumId w:val="22"/>
  </w:num>
  <w:num w:numId="21" w16cid:durableId="977492500">
    <w:abstractNumId w:val="0"/>
  </w:num>
  <w:num w:numId="22" w16cid:durableId="745222006">
    <w:abstractNumId w:val="21"/>
  </w:num>
  <w:num w:numId="23" w16cid:durableId="599798846">
    <w:abstractNumId w:val="23"/>
  </w:num>
  <w:num w:numId="24" w16cid:durableId="1622225272">
    <w:abstractNumId w:val="10"/>
  </w:num>
  <w:num w:numId="25" w16cid:durableId="575745688">
    <w:abstractNumId w:val="7"/>
  </w:num>
  <w:num w:numId="26" w16cid:durableId="1611551575">
    <w:abstractNumId w:val="20"/>
  </w:num>
  <w:num w:numId="27" w16cid:durableId="360204292">
    <w:abstractNumId w:val="24"/>
  </w:num>
  <w:num w:numId="28" w16cid:durableId="533615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3F47"/>
    <w:rsid w:val="00005293"/>
    <w:rsid w:val="00015744"/>
    <w:rsid w:val="00015BAC"/>
    <w:rsid w:val="000325E8"/>
    <w:rsid w:val="00032EA5"/>
    <w:rsid w:val="00035D04"/>
    <w:rsid w:val="0004412C"/>
    <w:rsid w:val="00046F5C"/>
    <w:rsid w:val="00047F1D"/>
    <w:rsid w:val="00061895"/>
    <w:rsid w:val="00063743"/>
    <w:rsid w:val="00065338"/>
    <w:rsid w:val="00076115"/>
    <w:rsid w:val="00076B59"/>
    <w:rsid w:val="00085186"/>
    <w:rsid w:val="000856D6"/>
    <w:rsid w:val="000937C2"/>
    <w:rsid w:val="000A799B"/>
    <w:rsid w:val="000B1165"/>
    <w:rsid w:val="000B2076"/>
    <w:rsid w:val="000C189C"/>
    <w:rsid w:val="000C2225"/>
    <w:rsid w:val="000C4154"/>
    <w:rsid w:val="000C60A4"/>
    <w:rsid w:val="000C79D3"/>
    <w:rsid w:val="000D0318"/>
    <w:rsid w:val="000D609D"/>
    <w:rsid w:val="000D719C"/>
    <w:rsid w:val="000D79E5"/>
    <w:rsid w:val="000E0D8E"/>
    <w:rsid w:val="000E4D54"/>
    <w:rsid w:val="000F4915"/>
    <w:rsid w:val="000F7DF1"/>
    <w:rsid w:val="00114A92"/>
    <w:rsid w:val="00117754"/>
    <w:rsid w:val="001201A4"/>
    <w:rsid w:val="00121206"/>
    <w:rsid w:val="001250A8"/>
    <w:rsid w:val="00132E23"/>
    <w:rsid w:val="001344A5"/>
    <w:rsid w:val="00140F4D"/>
    <w:rsid w:val="00141103"/>
    <w:rsid w:val="00143F41"/>
    <w:rsid w:val="00151895"/>
    <w:rsid w:val="001734EE"/>
    <w:rsid w:val="00182814"/>
    <w:rsid w:val="00183382"/>
    <w:rsid w:val="0018752C"/>
    <w:rsid w:val="001944C4"/>
    <w:rsid w:val="00195E0F"/>
    <w:rsid w:val="00196F20"/>
    <w:rsid w:val="001A77D5"/>
    <w:rsid w:val="001B1787"/>
    <w:rsid w:val="001C4737"/>
    <w:rsid w:val="001D0A44"/>
    <w:rsid w:val="001E0217"/>
    <w:rsid w:val="001F0612"/>
    <w:rsid w:val="001F19E4"/>
    <w:rsid w:val="001F1C19"/>
    <w:rsid w:val="001F2578"/>
    <w:rsid w:val="001F5ECC"/>
    <w:rsid w:val="00204422"/>
    <w:rsid w:val="0020771B"/>
    <w:rsid w:val="00207BB8"/>
    <w:rsid w:val="00213294"/>
    <w:rsid w:val="00213E34"/>
    <w:rsid w:val="002208FD"/>
    <w:rsid w:val="00221664"/>
    <w:rsid w:val="00225DA3"/>
    <w:rsid w:val="00231D2C"/>
    <w:rsid w:val="00246E73"/>
    <w:rsid w:val="0025073F"/>
    <w:rsid w:val="00257359"/>
    <w:rsid w:val="0026125E"/>
    <w:rsid w:val="00266BEC"/>
    <w:rsid w:val="00275766"/>
    <w:rsid w:val="00277FA7"/>
    <w:rsid w:val="0028510A"/>
    <w:rsid w:val="0028546F"/>
    <w:rsid w:val="00287F0D"/>
    <w:rsid w:val="00291A85"/>
    <w:rsid w:val="002966E3"/>
    <w:rsid w:val="002A1A1F"/>
    <w:rsid w:val="002A3BE5"/>
    <w:rsid w:val="002A615C"/>
    <w:rsid w:val="002B1E8E"/>
    <w:rsid w:val="002B553E"/>
    <w:rsid w:val="002B6BBB"/>
    <w:rsid w:val="002C1FD7"/>
    <w:rsid w:val="002C36DB"/>
    <w:rsid w:val="002C392C"/>
    <w:rsid w:val="002D0EAA"/>
    <w:rsid w:val="002E65AB"/>
    <w:rsid w:val="002E720F"/>
    <w:rsid w:val="002F0F47"/>
    <w:rsid w:val="002F3670"/>
    <w:rsid w:val="00302FC0"/>
    <w:rsid w:val="003151D8"/>
    <w:rsid w:val="003318DD"/>
    <w:rsid w:val="00331C54"/>
    <w:rsid w:val="00337BDB"/>
    <w:rsid w:val="003461E7"/>
    <w:rsid w:val="0036346A"/>
    <w:rsid w:val="003653E5"/>
    <w:rsid w:val="00370FA9"/>
    <w:rsid w:val="0038151B"/>
    <w:rsid w:val="0038266E"/>
    <w:rsid w:val="003914E3"/>
    <w:rsid w:val="00394CA5"/>
    <w:rsid w:val="003952FF"/>
    <w:rsid w:val="003954D1"/>
    <w:rsid w:val="00395896"/>
    <w:rsid w:val="003B4C89"/>
    <w:rsid w:val="003C0A62"/>
    <w:rsid w:val="003C27B2"/>
    <w:rsid w:val="003C5CAC"/>
    <w:rsid w:val="003D017C"/>
    <w:rsid w:val="003D4B02"/>
    <w:rsid w:val="003E17B9"/>
    <w:rsid w:val="003F2511"/>
    <w:rsid w:val="00402F58"/>
    <w:rsid w:val="00405682"/>
    <w:rsid w:val="004157DD"/>
    <w:rsid w:val="00423DC1"/>
    <w:rsid w:val="004275EA"/>
    <w:rsid w:val="00434908"/>
    <w:rsid w:val="00434C61"/>
    <w:rsid w:val="00436502"/>
    <w:rsid w:val="00436E39"/>
    <w:rsid w:val="00440601"/>
    <w:rsid w:val="00440EFD"/>
    <w:rsid w:val="00443230"/>
    <w:rsid w:val="004506C2"/>
    <w:rsid w:val="00473A4D"/>
    <w:rsid w:val="004835BF"/>
    <w:rsid w:val="00492F08"/>
    <w:rsid w:val="004A6527"/>
    <w:rsid w:val="004B249C"/>
    <w:rsid w:val="004C2030"/>
    <w:rsid w:val="004C5ADD"/>
    <w:rsid w:val="004D0DF5"/>
    <w:rsid w:val="004D53BA"/>
    <w:rsid w:val="004E38A7"/>
    <w:rsid w:val="004E3EF2"/>
    <w:rsid w:val="004F65AC"/>
    <w:rsid w:val="00513F32"/>
    <w:rsid w:val="00514DFA"/>
    <w:rsid w:val="0052132F"/>
    <w:rsid w:val="005213CB"/>
    <w:rsid w:val="00522BE2"/>
    <w:rsid w:val="0052593E"/>
    <w:rsid w:val="005405E1"/>
    <w:rsid w:val="005512E8"/>
    <w:rsid w:val="005521F9"/>
    <w:rsid w:val="00557379"/>
    <w:rsid w:val="00564A73"/>
    <w:rsid w:val="005661AD"/>
    <w:rsid w:val="00574008"/>
    <w:rsid w:val="00580291"/>
    <w:rsid w:val="00583513"/>
    <w:rsid w:val="0058497F"/>
    <w:rsid w:val="00587B2C"/>
    <w:rsid w:val="00595250"/>
    <w:rsid w:val="005959C9"/>
    <w:rsid w:val="005B17D8"/>
    <w:rsid w:val="005C6D51"/>
    <w:rsid w:val="005D1E02"/>
    <w:rsid w:val="005D44DD"/>
    <w:rsid w:val="005F0279"/>
    <w:rsid w:val="005F0FEA"/>
    <w:rsid w:val="005F194B"/>
    <w:rsid w:val="005F550E"/>
    <w:rsid w:val="006019EC"/>
    <w:rsid w:val="006044E4"/>
    <w:rsid w:val="00612519"/>
    <w:rsid w:val="006154EE"/>
    <w:rsid w:val="0062188A"/>
    <w:rsid w:val="006260F9"/>
    <w:rsid w:val="006315EA"/>
    <w:rsid w:val="00633673"/>
    <w:rsid w:val="006355CC"/>
    <w:rsid w:val="006401E4"/>
    <w:rsid w:val="006475DA"/>
    <w:rsid w:val="006561FC"/>
    <w:rsid w:val="00656652"/>
    <w:rsid w:val="00657436"/>
    <w:rsid w:val="00657550"/>
    <w:rsid w:val="00662CE8"/>
    <w:rsid w:val="006648B4"/>
    <w:rsid w:val="006649AE"/>
    <w:rsid w:val="00665AF1"/>
    <w:rsid w:val="0066745D"/>
    <w:rsid w:val="00674170"/>
    <w:rsid w:val="0067587E"/>
    <w:rsid w:val="00680A48"/>
    <w:rsid w:val="00682AAA"/>
    <w:rsid w:val="006875D6"/>
    <w:rsid w:val="00687A1B"/>
    <w:rsid w:val="006921A2"/>
    <w:rsid w:val="00697A6B"/>
    <w:rsid w:val="006A048A"/>
    <w:rsid w:val="006A1AA5"/>
    <w:rsid w:val="006A4B4A"/>
    <w:rsid w:val="006A6983"/>
    <w:rsid w:val="006C2461"/>
    <w:rsid w:val="006C662F"/>
    <w:rsid w:val="006D1AB9"/>
    <w:rsid w:val="006D2404"/>
    <w:rsid w:val="007007FD"/>
    <w:rsid w:val="00704375"/>
    <w:rsid w:val="00711C36"/>
    <w:rsid w:val="00714E3F"/>
    <w:rsid w:val="0071500F"/>
    <w:rsid w:val="007309E1"/>
    <w:rsid w:val="007325E8"/>
    <w:rsid w:val="0073750E"/>
    <w:rsid w:val="007452EF"/>
    <w:rsid w:val="00751F8D"/>
    <w:rsid w:val="00755FDC"/>
    <w:rsid w:val="007627F5"/>
    <w:rsid w:val="007630A4"/>
    <w:rsid w:val="00767AEE"/>
    <w:rsid w:val="0077282B"/>
    <w:rsid w:val="00784B55"/>
    <w:rsid w:val="0079205D"/>
    <w:rsid w:val="007923E9"/>
    <w:rsid w:val="007A5605"/>
    <w:rsid w:val="007A5F9A"/>
    <w:rsid w:val="007B029F"/>
    <w:rsid w:val="007B253A"/>
    <w:rsid w:val="007C32EA"/>
    <w:rsid w:val="007D20B3"/>
    <w:rsid w:val="007D3309"/>
    <w:rsid w:val="007D397D"/>
    <w:rsid w:val="007D3C7E"/>
    <w:rsid w:val="007D5A86"/>
    <w:rsid w:val="007E045C"/>
    <w:rsid w:val="007E5E96"/>
    <w:rsid w:val="007F6722"/>
    <w:rsid w:val="007F72F6"/>
    <w:rsid w:val="00804C83"/>
    <w:rsid w:val="0081077B"/>
    <w:rsid w:val="008131BB"/>
    <w:rsid w:val="00813280"/>
    <w:rsid w:val="00813A65"/>
    <w:rsid w:val="008206E7"/>
    <w:rsid w:val="00821599"/>
    <w:rsid w:val="00823421"/>
    <w:rsid w:val="0082467C"/>
    <w:rsid w:val="00830F49"/>
    <w:rsid w:val="00831588"/>
    <w:rsid w:val="00854F5C"/>
    <w:rsid w:val="008607BB"/>
    <w:rsid w:val="00862B8C"/>
    <w:rsid w:val="008743EB"/>
    <w:rsid w:val="00881F8D"/>
    <w:rsid w:val="00882D43"/>
    <w:rsid w:val="00892697"/>
    <w:rsid w:val="00894A75"/>
    <w:rsid w:val="008B0CB8"/>
    <w:rsid w:val="008B29A0"/>
    <w:rsid w:val="008B53DC"/>
    <w:rsid w:val="008C19AE"/>
    <w:rsid w:val="008C3333"/>
    <w:rsid w:val="008C42FD"/>
    <w:rsid w:val="008C6771"/>
    <w:rsid w:val="008D42BD"/>
    <w:rsid w:val="008D58E4"/>
    <w:rsid w:val="008E3802"/>
    <w:rsid w:val="008F35F3"/>
    <w:rsid w:val="008F5315"/>
    <w:rsid w:val="009039C3"/>
    <w:rsid w:val="0090483E"/>
    <w:rsid w:val="00910CF8"/>
    <w:rsid w:val="00910E38"/>
    <w:rsid w:val="00910F34"/>
    <w:rsid w:val="00913395"/>
    <w:rsid w:val="0093582C"/>
    <w:rsid w:val="0093669F"/>
    <w:rsid w:val="00941DE7"/>
    <w:rsid w:val="00946870"/>
    <w:rsid w:val="009517D9"/>
    <w:rsid w:val="00961B50"/>
    <w:rsid w:val="009673C4"/>
    <w:rsid w:val="00975E3B"/>
    <w:rsid w:val="00976B21"/>
    <w:rsid w:val="009907F9"/>
    <w:rsid w:val="00991E6D"/>
    <w:rsid w:val="009936C9"/>
    <w:rsid w:val="00996319"/>
    <w:rsid w:val="009A1926"/>
    <w:rsid w:val="009A23AB"/>
    <w:rsid w:val="009B40E5"/>
    <w:rsid w:val="009C03E9"/>
    <w:rsid w:val="009D7766"/>
    <w:rsid w:val="009E088B"/>
    <w:rsid w:val="009E45A9"/>
    <w:rsid w:val="009F19C2"/>
    <w:rsid w:val="00A05407"/>
    <w:rsid w:val="00A0597C"/>
    <w:rsid w:val="00A22E39"/>
    <w:rsid w:val="00A26166"/>
    <w:rsid w:val="00A26BFF"/>
    <w:rsid w:val="00A3729E"/>
    <w:rsid w:val="00A44BD4"/>
    <w:rsid w:val="00A47E93"/>
    <w:rsid w:val="00A51D2B"/>
    <w:rsid w:val="00A74DEB"/>
    <w:rsid w:val="00A81332"/>
    <w:rsid w:val="00A83E36"/>
    <w:rsid w:val="00A86720"/>
    <w:rsid w:val="00AA095A"/>
    <w:rsid w:val="00AA7E4B"/>
    <w:rsid w:val="00AB5295"/>
    <w:rsid w:val="00AC3482"/>
    <w:rsid w:val="00AD1B2B"/>
    <w:rsid w:val="00AD381B"/>
    <w:rsid w:val="00AD46FC"/>
    <w:rsid w:val="00B0451E"/>
    <w:rsid w:val="00B0677A"/>
    <w:rsid w:val="00B25C78"/>
    <w:rsid w:val="00B31154"/>
    <w:rsid w:val="00B40503"/>
    <w:rsid w:val="00B42931"/>
    <w:rsid w:val="00B4347F"/>
    <w:rsid w:val="00B43CBD"/>
    <w:rsid w:val="00B57BE7"/>
    <w:rsid w:val="00B60677"/>
    <w:rsid w:val="00B62ACE"/>
    <w:rsid w:val="00B664E9"/>
    <w:rsid w:val="00B77D74"/>
    <w:rsid w:val="00B813D9"/>
    <w:rsid w:val="00B81F18"/>
    <w:rsid w:val="00BA298A"/>
    <w:rsid w:val="00BA5C18"/>
    <w:rsid w:val="00BB2D45"/>
    <w:rsid w:val="00BB4D03"/>
    <w:rsid w:val="00BC2431"/>
    <w:rsid w:val="00BC7FB3"/>
    <w:rsid w:val="00BE3DEF"/>
    <w:rsid w:val="00BE6048"/>
    <w:rsid w:val="00BE7DB1"/>
    <w:rsid w:val="00BF527B"/>
    <w:rsid w:val="00C14601"/>
    <w:rsid w:val="00C14643"/>
    <w:rsid w:val="00C17618"/>
    <w:rsid w:val="00C17821"/>
    <w:rsid w:val="00C22DE6"/>
    <w:rsid w:val="00C230AB"/>
    <w:rsid w:val="00C3287E"/>
    <w:rsid w:val="00C33A5D"/>
    <w:rsid w:val="00C40422"/>
    <w:rsid w:val="00C52AC8"/>
    <w:rsid w:val="00C57E17"/>
    <w:rsid w:val="00C60984"/>
    <w:rsid w:val="00C6139F"/>
    <w:rsid w:val="00C674BC"/>
    <w:rsid w:val="00C71D12"/>
    <w:rsid w:val="00C75FE3"/>
    <w:rsid w:val="00C93DE7"/>
    <w:rsid w:val="00CA2226"/>
    <w:rsid w:val="00CA385C"/>
    <w:rsid w:val="00CA75B4"/>
    <w:rsid w:val="00CC77B5"/>
    <w:rsid w:val="00CD4AF9"/>
    <w:rsid w:val="00CD7148"/>
    <w:rsid w:val="00CE2AD1"/>
    <w:rsid w:val="00CE7982"/>
    <w:rsid w:val="00CF2F41"/>
    <w:rsid w:val="00CF7F49"/>
    <w:rsid w:val="00D03579"/>
    <w:rsid w:val="00D11934"/>
    <w:rsid w:val="00D141B8"/>
    <w:rsid w:val="00D142DA"/>
    <w:rsid w:val="00D252FA"/>
    <w:rsid w:val="00D313C5"/>
    <w:rsid w:val="00D41FFA"/>
    <w:rsid w:val="00D439D8"/>
    <w:rsid w:val="00D60CD0"/>
    <w:rsid w:val="00D60E16"/>
    <w:rsid w:val="00D64378"/>
    <w:rsid w:val="00D65BEA"/>
    <w:rsid w:val="00D70E19"/>
    <w:rsid w:val="00D761B5"/>
    <w:rsid w:val="00D81114"/>
    <w:rsid w:val="00D8381C"/>
    <w:rsid w:val="00D85218"/>
    <w:rsid w:val="00D91D5A"/>
    <w:rsid w:val="00D934DA"/>
    <w:rsid w:val="00D93E62"/>
    <w:rsid w:val="00DA24E6"/>
    <w:rsid w:val="00DA6595"/>
    <w:rsid w:val="00DB0619"/>
    <w:rsid w:val="00DB12A8"/>
    <w:rsid w:val="00DC014C"/>
    <w:rsid w:val="00DC49D2"/>
    <w:rsid w:val="00DD5740"/>
    <w:rsid w:val="00DF0927"/>
    <w:rsid w:val="00DF0A86"/>
    <w:rsid w:val="00DF5360"/>
    <w:rsid w:val="00E02968"/>
    <w:rsid w:val="00E1018E"/>
    <w:rsid w:val="00E13AC8"/>
    <w:rsid w:val="00E1486E"/>
    <w:rsid w:val="00E16E4F"/>
    <w:rsid w:val="00E25ECC"/>
    <w:rsid w:val="00E26313"/>
    <w:rsid w:val="00E27FB6"/>
    <w:rsid w:val="00E65233"/>
    <w:rsid w:val="00E66198"/>
    <w:rsid w:val="00E71F43"/>
    <w:rsid w:val="00E7594A"/>
    <w:rsid w:val="00E75F84"/>
    <w:rsid w:val="00E774F6"/>
    <w:rsid w:val="00E77546"/>
    <w:rsid w:val="00E77A1F"/>
    <w:rsid w:val="00E81B83"/>
    <w:rsid w:val="00E865E0"/>
    <w:rsid w:val="00E918E2"/>
    <w:rsid w:val="00E919BA"/>
    <w:rsid w:val="00E938E3"/>
    <w:rsid w:val="00E95D41"/>
    <w:rsid w:val="00EA12F5"/>
    <w:rsid w:val="00EB4830"/>
    <w:rsid w:val="00EB713A"/>
    <w:rsid w:val="00EC3710"/>
    <w:rsid w:val="00ED2A30"/>
    <w:rsid w:val="00ED3923"/>
    <w:rsid w:val="00EE20EE"/>
    <w:rsid w:val="00EE572D"/>
    <w:rsid w:val="00EF27A6"/>
    <w:rsid w:val="00F04364"/>
    <w:rsid w:val="00F1330D"/>
    <w:rsid w:val="00F1437A"/>
    <w:rsid w:val="00F147DC"/>
    <w:rsid w:val="00F14B01"/>
    <w:rsid w:val="00F32291"/>
    <w:rsid w:val="00F37751"/>
    <w:rsid w:val="00F46BBF"/>
    <w:rsid w:val="00F52187"/>
    <w:rsid w:val="00F5221B"/>
    <w:rsid w:val="00F57057"/>
    <w:rsid w:val="00F57183"/>
    <w:rsid w:val="00F72892"/>
    <w:rsid w:val="00F73409"/>
    <w:rsid w:val="00F80A93"/>
    <w:rsid w:val="00F82460"/>
    <w:rsid w:val="00F95790"/>
    <w:rsid w:val="00F9769A"/>
    <w:rsid w:val="00F97FBC"/>
    <w:rsid w:val="00FA0479"/>
    <w:rsid w:val="00FA157B"/>
    <w:rsid w:val="00FA31A6"/>
    <w:rsid w:val="00FA4759"/>
    <w:rsid w:val="00FA5094"/>
    <w:rsid w:val="00FA5A16"/>
    <w:rsid w:val="00FC6597"/>
    <w:rsid w:val="00FC6EAF"/>
    <w:rsid w:val="00FF251D"/>
    <w:rsid w:val="00FF5A7B"/>
    <w:rsid w:val="496CD689"/>
    <w:rsid w:val="4DBB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5BCE10D4-708C-487C-8C90-80485595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EA"/>
    <w:pPr>
      <w:pBdr>
        <w:bottom w:val="single" w:sz="18" w:space="1" w:color="007DA3"/>
      </w:pBdr>
      <w:spacing w:after="12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52C"/>
    <w:pPr>
      <w:keepNext/>
      <w:keepLines/>
      <w:spacing w:before="120"/>
      <w:outlineLvl w:val="1"/>
    </w:pPr>
    <w:rPr>
      <w:b/>
      <w:bCs/>
      <w:color w:val="007D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440EFD"/>
    <w:pPr>
      <w:numPr>
        <w:numId w:val="27"/>
      </w:numPr>
      <w:spacing w:after="60"/>
      <w:ind w:left="360"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C32EA"/>
    <w:rPr>
      <w:rFonts w:cstheme="minorHAns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52C"/>
    <w:rPr>
      <w:rFonts w:cstheme="minorHAnsi"/>
      <w:b/>
      <w:bCs/>
      <w:color w:val="007DA3"/>
    </w:rPr>
  </w:style>
  <w:style w:type="paragraph" w:styleId="Title">
    <w:name w:val="Title"/>
    <w:basedOn w:val="Header"/>
    <w:next w:val="Normal"/>
    <w:link w:val="TitleChar"/>
    <w:uiPriority w:val="10"/>
    <w:qFormat/>
    <w:rsid w:val="00F97FBC"/>
    <w:pPr>
      <w:tabs>
        <w:tab w:val="clear" w:pos="4680"/>
        <w:tab w:val="clear" w:pos="9360"/>
        <w:tab w:val="center" w:pos="5400"/>
        <w:tab w:val="left" w:pos="8100"/>
        <w:tab w:val="right" w:pos="10800"/>
      </w:tabs>
      <w:spacing w:before="120"/>
      <w:ind w:left="14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FBC"/>
    <w:rPr>
      <w:rFonts w:cstheme="minorHAnsi"/>
      <w:b/>
      <w:bCs/>
      <w:sz w:val="56"/>
      <w:szCs w:val="5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25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6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166"/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6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166"/>
    <w:rPr>
      <w:rFonts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4D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D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601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jicjournal.org/issue/S0196-6553(20)X0005-8" TargetMode="External"/><Relationship Id="rId18" Type="http://schemas.openxmlformats.org/officeDocument/2006/relationships/hyperlink" Target="https://apic.org/wp-content/uploads/2019/10/PositionPaper_NVHAP_2019_v3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hea-online.org/guidance/strategies-to-prevent-ventilator-associated-pneumonia-ventilator-associated-events-and-nonventilator-hospital-acquired-pneumonia-in-acute-care-hospitals-2022-update/" TargetMode="External"/><Relationship Id="rId17" Type="http://schemas.openxmlformats.org/officeDocument/2006/relationships/hyperlink" Target="https://www.ajicjournal.org/issue/S0196-6553(20)X0005-8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ncbi.nlm.nih.gov/books/NBK53544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jointcommission.org/resources/news-and-multimedia/newsletters/newsletters/quick-safety/quick-safety-issue-6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</SharedWithUsers>
    <ResidentBathingPreferencesandSkinassessments xmlns="931aec66-2863-455c-9bb0-8c99df0ac3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C89BA-BC70-421F-89E4-C1E75E23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3.xml><?xml version="1.0" encoding="utf-8"?>
<ds:datastoreItem xmlns:ds="http://schemas.openxmlformats.org/officeDocument/2006/customXml" ds:itemID="{2EED5A1D-13CE-46FB-8A3F-598A010C6F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Links>
    <vt:vector size="48" baseType="variant">
      <vt:variant>
        <vt:i4>1769562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https://www.ncbi.nlm.nih.gov/books/NBK535441</vt:lpwstr>
      </vt:variant>
      <vt:variant>
        <vt:lpwstr/>
      </vt:variant>
      <vt:variant>
        <vt:i4>4718593</vt:i4>
      </vt:variant>
      <vt:variant>
        <vt:i4>12</vt:i4>
      </vt:variant>
      <vt:variant>
        <vt:i4>0</vt:i4>
      </vt:variant>
      <vt:variant>
        <vt:i4>5</vt:i4>
      </vt:variant>
      <vt:variant>
        <vt:lpwstr>https://www.jointcommission.org/resources/news-and-multimedia/newsletters/newsletters/quick-safety/quick-safety-issue-61</vt:lpwstr>
      </vt:variant>
      <vt:variant>
        <vt:lpwstr/>
      </vt:variant>
      <vt:variant>
        <vt:i4>7209027</vt:i4>
      </vt:variant>
      <vt:variant>
        <vt:i4>9</vt:i4>
      </vt:variant>
      <vt:variant>
        <vt:i4>0</vt:i4>
      </vt:variant>
      <vt:variant>
        <vt:i4>5</vt:i4>
      </vt:variant>
      <vt:variant>
        <vt:lpwstr>https://apic.org/wp-content/uploads/2019/10/PositionPaper_NVHAP_2019_v3.pdf</vt:lpwstr>
      </vt:variant>
      <vt:variant>
        <vt:lpwstr/>
      </vt:variant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https://www.ajicjournal.org/issue/S0196-6553(20)X0005-8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https://www.ajicjournal.org/issue/S0196-6553(20)X0005-8</vt:lpwstr>
      </vt:variant>
      <vt:variant>
        <vt:lpwstr/>
      </vt:variant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https://shea-online.org/guidance/strategies-to-prevent-ventilator-associated-pneumonia-ventilator-associated-events-and-nonventilator-hospital-acquired-pneumonia-in-acute-care-hospitals-2022-update/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https://www.ajicjournal.org/issue/S0196-6553(20)X0005-8</vt:lpwstr>
      </vt:variant>
      <vt:variant>
        <vt:lpwstr/>
      </vt:variant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https://shea-online.org/guidance/strategies-to-prevent-ventilator-associated-pneumonia-ventilator-associated-events-and-nonventilator-hospital-acquired-pneumonia-in-acute-care-hospitals-2022-update/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2</cp:revision>
  <dcterms:created xsi:type="dcterms:W3CDTF">2024-10-17T03:40:00Z</dcterms:created>
  <dcterms:modified xsi:type="dcterms:W3CDTF">2024-10-17T03:40:00Z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