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23FF" w14:textId="1F717184" w:rsidR="00D04BDB" w:rsidRDefault="00917A88" w:rsidP="002031C1">
      <w:pPr>
        <w:spacing w:after="80"/>
      </w:pPr>
      <w:r w:rsidRPr="009E587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CEB4C18" wp14:editId="284222F4">
            <wp:simplePos x="0" y="0"/>
            <wp:positionH relativeFrom="margin">
              <wp:align>right</wp:align>
            </wp:positionH>
            <wp:positionV relativeFrom="paragraph">
              <wp:posOffset>439</wp:posOffset>
            </wp:positionV>
            <wp:extent cx="1645920" cy="789195"/>
            <wp:effectExtent l="0" t="0" r="0" b="0"/>
            <wp:wrapTight wrapText="bothSides">
              <wp:wrapPolygon edited="0">
                <wp:start x="0" y="0"/>
                <wp:lineTo x="0" y="20870"/>
                <wp:lineTo x="21250" y="20870"/>
                <wp:lineTo x="21250" y="0"/>
                <wp:lineTo x="0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2F5594E-9A1E-20EC-DEBF-174FC53CC57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2F5594E-9A1E-20EC-DEBF-174FC53CC57D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303" t="15488" r="1703" b="3396"/>
                    <a:stretch/>
                  </pic:blipFill>
                  <pic:spPr bwMode="auto">
                    <a:xfrm>
                      <a:off x="0" y="0"/>
                      <a:ext cx="1645920" cy="7891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586">
        <w:t>W</w:t>
      </w:r>
      <w:r w:rsidR="005A4485">
        <w:t>hen planning an environmental cleaning (EVC) monitoring program</w:t>
      </w:r>
      <w:r w:rsidR="00822586">
        <w:t xml:space="preserve">, </w:t>
      </w:r>
      <w:r w:rsidR="00C44ED6">
        <w:t>it</w:t>
      </w:r>
      <w:r w:rsidR="00FA7D39">
        <w:t xml:space="preserve"> i</w:t>
      </w:r>
      <w:r w:rsidR="00C44ED6">
        <w:t xml:space="preserve">s crucial </w:t>
      </w:r>
      <w:r w:rsidR="00822586">
        <w:t xml:space="preserve">to </w:t>
      </w:r>
      <w:r w:rsidR="00671917">
        <w:t xml:space="preserve">decide </w:t>
      </w:r>
      <w:r w:rsidR="00B621DA">
        <w:t xml:space="preserve">who </w:t>
      </w:r>
      <w:r w:rsidR="00FA7D39">
        <w:t xml:space="preserve">should </w:t>
      </w:r>
      <w:r w:rsidR="00671917">
        <w:t xml:space="preserve">carry out </w:t>
      </w:r>
      <w:r w:rsidR="00B621DA">
        <w:t xml:space="preserve">the monitoring. </w:t>
      </w:r>
      <w:r w:rsidR="00807883" w:rsidRPr="00807883">
        <w:t xml:space="preserve">This document </w:t>
      </w:r>
      <w:r w:rsidR="008704B0">
        <w:t xml:space="preserve">evaluates </w:t>
      </w:r>
      <w:r w:rsidR="00807883" w:rsidRPr="00807883">
        <w:t xml:space="preserve">various roles </w:t>
      </w:r>
      <w:r w:rsidR="008704B0">
        <w:t xml:space="preserve">suitable for </w:t>
      </w:r>
      <w:r w:rsidR="00FA7D39">
        <w:t>the task</w:t>
      </w:r>
      <w:r w:rsidR="00807883">
        <w:t xml:space="preserve">, </w:t>
      </w:r>
      <w:r w:rsidR="0018404C">
        <w:t>and outlines</w:t>
      </w:r>
      <w:r w:rsidR="001E5673">
        <w:t xml:space="preserve"> </w:t>
      </w:r>
      <w:r w:rsidR="00807883">
        <w:t>advantages and disadvantages.</w:t>
      </w:r>
    </w:p>
    <w:p w14:paraId="15708CCD" w14:textId="65312A6B" w:rsidR="008B65CB" w:rsidRPr="00A77984" w:rsidRDefault="00671917" w:rsidP="00E724E5">
      <w:pPr>
        <w:pBdr>
          <w:bottom w:val="single" w:sz="18" w:space="1" w:color="007DA3" w:themeColor="accent1"/>
        </w:pBdr>
        <w:spacing w:after="80"/>
        <w:rPr>
          <w:sz w:val="10"/>
          <w:szCs w:val="10"/>
        </w:rPr>
      </w:pPr>
      <w:r>
        <w:t>E</w:t>
      </w:r>
      <w:r w:rsidR="001E5673">
        <w:t>ffective sharing of d</w:t>
      </w:r>
      <w:r w:rsidR="00357BC9">
        <w:t>ata and feedb</w:t>
      </w:r>
      <w:r w:rsidR="007D2E9B">
        <w:t>ack</w:t>
      </w:r>
      <w:r w:rsidR="009425C0">
        <w:t xml:space="preserve"> in a </w:t>
      </w:r>
      <w:r w:rsidR="00357BC9">
        <w:t>constructive</w:t>
      </w:r>
      <w:r w:rsidR="009425C0">
        <w:t xml:space="preserve"> and collaborative process</w:t>
      </w:r>
      <w:r w:rsidR="005A65B5">
        <w:t xml:space="preserve"> </w:t>
      </w:r>
      <w:r w:rsidR="00BC2DC4">
        <w:t>to staff and leaders</w:t>
      </w:r>
      <w:r w:rsidR="005A65B5">
        <w:t xml:space="preserve"> is crucial</w:t>
      </w:r>
      <w:r w:rsidR="007D2E9B">
        <w:t xml:space="preserve">. </w:t>
      </w:r>
      <w:r w:rsidR="005A65B5">
        <w:t xml:space="preserve">Establishing </w:t>
      </w:r>
      <w:r w:rsidR="00911EC1">
        <w:t>t</w:t>
      </w:r>
      <w:r w:rsidR="007D2E9B">
        <w:t xml:space="preserve">ransparency </w:t>
      </w:r>
      <w:r w:rsidR="00A66E53">
        <w:t xml:space="preserve">and trust are </w:t>
      </w:r>
      <w:r w:rsidR="00BC2DC4">
        <w:t xml:space="preserve">vital </w:t>
      </w:r>
      <w:r w:rsidR="00A66E53">
        <w:t>for improvement</w:t>
      </w:r>
      <w:r w:rsidR="00743C60">
        <w:t>.</w:t>
      </w:r>
      <w:r w:rsidR="00E724E5">
        <w:br/>
      </w:r>
    </w:p>
    <w:p w14:paraId="0B69B7DE" w14:textId="7EC3AAD0" w:rsidR="009E5871" w:rsidRPr="009E5871" w:rsidRDefault="009E5871" w:rsidP="007909A6">
      <w:pPr>
        <w:pStyle w:val="Heading2"/>
      </w:pPr>
      <w:r w:rsidRPr="009E5871">
        <w:t xml:space="preserve">Infection Control </w:t>
      </w:r>
      <w:r w:rsidRPr="007909A6">
        <w:t>Practitioner</w:t>
      </w:r>
      <w:r w:rsidRPr="009E5871">
        <w:t xml:space="preserve"> </w:t>
      </w:r>
    </w:p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Advantages and Disadvantages of EVC Monitoring by an Infection Control Practitioner"/>
        <w:tblDescription w:val="A 2x2 table that provides an overview of an infection control practitioner taking on the task of EVC monitoring. The column headings are advantages and disadvantages."/>
      </w:tblPr>
      <w:tblGrid>
        <w:gridCol w:w="4968"/>
        <w:gridCol w:w="4896"/>
      </w:tblGrid>
      <w:tr w:rsidR="009E5871" w:rsidRPr="009E5871" w14:paraId="3C88A859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71BF899A" w14:textId="77777777" w:rsidR="009E5871" w:rsidRPr="009E5871" w:rsidRDefault="009E5871" w:rsidP="00FD65F9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Advantages</w:t>
            </w:r>
          </w:p>
        </w:tc>
        <w:tc>
          <w:tcPr>
            <w:tcW w:w="4896" w:type="dxa"/>
            <w:shd w:val="clear" w:color="auto" w:fill="FCFFDD"/>
          </w:tcPr>
          <w:p w14:paraId="5C0EBD7F" w14:textId="77777777" w:rsidR="009E5871" w:rsidRPr="009E5871" w:rsidRDefault="009E5871" w:rsidP="00FD65F9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Disadvantages</w:t>
            </w:r>
          </w:p>
        </w:tc>
      </w:tr>
      <w:tr w:rsidR="009E5871" w:rsidRPr="009E5871" w14:paraId="6E7CDC03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61AF37CB" w14:textId="04545036" w:rsidR="009E5871" w:rsidRPr="009E5871" w:rsidRDefault="009E5871" w:rsidP="00671917">
            <w:pPr>
              <w:numPr>
                <w:ilvl w:val="0"/>
                <w:numId w:val="28"/>
              </w:numPr>
              <w:ind w:left="216" w:hanging="216"/>
            </w:pPr>
            <w:r w:rsidRPr="009E5871">
              <w:t>Objective</w:t>
            </w:r>
            <w:r w:rsidR="00671917">
              <w:t>,</w:t>
            </w:r>
            <w:r w:rsidR="00E576CD">
              <w:t xml:space="preserve"> impartial</w:t>
            </w:r>
          </w:p>
          <w:p w14:paraId="19FC624E" w14:textId="3B7FA4C7" w:rsidR="009E5871" w:rsidRPr="009E5871" w:rsidRDefault="00C8156B" w:rsidP="00671917">
            <w:pPr>
              <w:numPr>
                <w:ilvl w:val="0"/>
                <w:numId w:val="28"/>
              </w:numPr>
              <w:ind w:left="216" w:hanging="216"/>
            </w:pPr>
            <w:r>
              <w:t>Has v</w:t>
            </w:r>
            <w:r w:rsidR="009E5871" w:rsidRPr="009E5871">
              <w:t>ested interest in accurate results</w:t>
            </w:r>
          </w:p>
          <w:p w14:paraId="025411F9" w14:textId="77777777" w:rsidR="009E5871" w:rsidRPr="009E5871" w:rsidRDefault="009E5871" w:rsidP="00671917">
            <w:pPr>
              <w:numPr>
                <w:ilvl w:val="0"/>
                <w:numId w:val="28"/>
              </w:numPr>
              <w:ind w:left="216" w:hanging="216"/>
            </w:pPr>
            <w:r w:rsidRPr="009E5871">
              <w:t>Understands the importance of the task</w:t>
            </w:r>
          </w:p>
          <w:p w14:paraId="6E422371" w14:textId="100F5A5E" w:rsidR="009E5871" w:rsidRPr="009E5871" w:rsidRDefault="009E5871" w:rsidP="00671917">
            <w:pPr>
              <w:numPr>
                <w:ilvl w:val="0"/>
                <w:numId w:val="28"/>
              </w:numPr>
              <w:ind w:left="216" w:hanging="216"/>
            </w:pPr>
            <w:r w:rsidRPr="009E5871">
              <w:t xml:space="preserve">Experienced </w:t>
            </w:r>
            <w:r w:rsidR="00C86AFC">
              <w:t>in</w:t>
            </w:r>
            <w:r w:rsidRPr="009E5871">
              <w:t xml:space="preserve"> giving constructive feedback </w:t>
            </w:r>
          </w:p>
        </w:tc>
        <w:tc>
          <w:tcPr>
            <w:tcW w:w="4896" w:type="dxa"/>
            <w:shd w:val="clear" w:color="auto" w:fill="FCFFDD"/>
          </w:tcPr>
          <w:p w14:paraId="7A56A9C6" w14:textId="4872636F" w:rsidR="009E5871" w:rsidRPr="009E5871" w:rsidRDefault="008C1CCF" w:rsidP="00671917">
            <w:pPr>
              <w:numPr>
                <w:ilvl w:val="0"/>
                <w:numId w:val="28"/>
              </w:numPr>
              <w:ind w:left="216" w:hanging="216"/>
            </w:pPr>
            <w:r>
              <w:t>Time and r</w:t>
            </w:r>
            <w:r w:rsidR="009E5871" w:rsidRPr="009E5871">
              <w:t>esource intensive</w:t>
            </w:r>
          </w:p>
          <w:p w14:paraId="69BC0E48" w14:textId="4D0FA472" w:rsidR="009E5871" w:rsidRPr="009E5871" w:rsidRDefault="008C1CCF" w:rsidP="00671917">
            <w:pPr>
              <w:numPr>
                <w:ilvl w:val="0"/>
                <w:numId w:val="28"/>
              </w:numPr>
              <w:ind w:left="216" w:hanging="216"/>
            </w:pPr>
            <w:r>
              <w:t>Tend</w:t>
            </w:r>
            <w:r w:rsidR="00911EC1">
              <w:t>s</w:t>
            </w:r>
            <w:r>
              <w:t xml:space="preserve"> to have many </w:t>
            </w:r>
            <w:r w:rsidR="00612C78">
              <w:t>c</w:t>
            </w:r>
            <w:r w:rsidR="006C3441">
              <w:t xml:space="preserve">ompeting </w:t>
            </w:r>
            <w:r w:rsidR="009E5871" w:rsidRPr="009E5871">
              <w:t>priorities and commitments</w:t>
            </w:r>
          </w:p>
        </w:tc>
      </w:tr>
    </w:tbl>
    <w:p w14:paraId="47114298" w14:textId="39E09365" w:rsidR="009E5871" w:rsidRPr="009E5871" w:rsidRDefault="009E5871" w:rsidP="007909A6">
      <w:pPr>
        <w:pStyle w:val="Heading2"/>
      </w:pPr>
      <w:r w:rsidRPr="009E5871">
        <w:t>Unit Nurse</w:t>
      </w:r>
    </w:p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Advantages and Disadvantages of EVC Monitoring by a Unit Nurse"/>
        <w:tblDescription w:val="A 2x2 table that provides an overview of a unit nurse taking on the task of EVC monitoring. The column headings are advantages and disadvantages."/>
      </w:tblPr>
      <w:tblGrid>
        <w:gridCol w:w="4968"/>
        <w:gridCol w:w="4896"/>
      </w:tblGrid>
      <w:tr w:rsidR="009E5871" w:rsidRPr="009E5871" w14:paraId="6B9BB28E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7C34A372" w14:textId="77777777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Advantages</w:t>
            </w:r>
          </w:p>
        </w:tc>
        <w:tc>
          <w:tcPr>
            <w:tcW w:w="4896" w:type="dxa"/>
            <w:shd w:val="clear" w:color="auto" w:fill="FCFFDD"/>
          </w:tcPr>
          <w:p w14:paraId="0A6F51A4" w14:textId="4566D9FB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Disadvantages</w:t>
            </w:r>
          </w:p>
        </w:tc>
      </w:tr>
      <w:tr w:rsidR="009E5871" w:rsidRPr="009E5871" w14:paraId="32D947E8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4F1DD158" w14:textId="34FC12A5" w:rsidR="009E5871" w:rsidRPr="009E5871" w:rsidRDefault="0067450F" w:rsidP="00671917">
            <w:pPr>
              <w:numPr>
                <w:ilvl w:val="0"/>
                <w:numId w:val="29"/>
              </w:numPr>
              <w:ind w:left="216" w:hanging="216"/>
            </w:pPr>
            <w:r>
              <w:t>Improves</w:t>
            </w:r>
            <w:r w:rsidR="009E5871" w:rsidRPr="009E5871">
              <w:t xml:space="preserve"> </w:t>
            </w:r>
            <w:r>
              <w:t xml:space="preserve">teamwork </w:t>
            </w:r>
            <w:r w:rsidR="009E5871" w:rsidRPr="009E5871">
              <w:t xml:space="preserve">between </w:t>
            </w:r>
            <w:r w:rsidR="009A3A74">
              <w:t>Nursing and EVC</w:t>
            </w:r>
          </w:p>
          <w:p w14:paraId="45F4FC34" w14:textId="403E19B5" w:rsidR="009E5871" w:rsidRPr="009E5871" w:rsidRDefault="00B23C5C" w:rsidP="00671917">
            <w:pPr>
              <w:numPr>
                <w:ilvl w:val="0"/>
                <w:numId w:val="29"/>
              </w:numPr>
              <w:ind w:left="216" w:hanging="216"/>
            </w:pPr>
            <w:r>
              <w:t>Clarifies</w:t>
            </w:r>
            <w:r w:rsidR="009E5871" w:rsidRPr="009E5871">
              <w:t xml:space="preserve"> cleaning responsibilities</w:t>
            </w:r>
          </w:p>
          <w:p w14:paraId="627C2B8F" w14:textId="296D1DF4" w:rsidR="009E5871" w:rsidRPr="009E5871" w:rsidRDefault="00BD4A9E" w:rsidP="00671917">
            <w:pPr>
              <w:numPr>
                <w:ilvl w:val="0"/>
                <w:numId w:val="29"/>
              </w:numPr>
              <w:ind w:left="216" w:hanging="216"/>
            </w:pPr>
            <w:r>
              <w:t xml:space="preserve">Capable of </w:t>
            </w:r>
            <w:r w:rsidR="009E5871" w:rsidRPr="009E5871">
              <w:t>monitor</w:t>
            </w:r>
            <w:r>
              <w:t>ing</w:t>
            </w:r>
            <w:r w:rsidR="009E5871" w:rsidRPr="009E5871">
              <w:t xml:space="preserve"> </w:t>
            </w:r>
            <w:r w:rsidR="000F403E">
              <w:t xml:space="preserve">on </w:t>
            </w:r>
            <w:r w:rsidR="009E5871" w:rsidRPr="009E5871">
              <w:t>all shifts</w:t>
            </w:r>
          </w:p>
        </w:tc>
        <w:tc>
          <w:tcPr>
            <w:tcW w:w="4896" w:type="dxa"/>
            <w:shd w:val="clear" w:color="auto" w:fill="FCFFDD"/>
          </w:tcPr>
          <w:p w14:paraId="509FF087" w14:textId="22F3A38F" w:rsidR="009E5871" w:rsidRPr="009E5871" w:rsidRDefault="00EB2208" w:rsidP="00671917">
            <w:pPr>
              <w:numPr>
                <w:ilvl w:val="0"/>
                <w:numId w:val="29"/>
              </w:numPr>
              <w:ind w:left="216" w:hanging="216"/>
            </w:pPr>
            <w:r>
              <w:t>Feedback may or may not be constructive</w:t>
            </w:r>
          </w:p>
          <w:p w14:paraId="22DB543F" w14:textId="534A7720" w:rsidR="009E5871" w:rsidRPr="009E5871" w:rsidRDefault="004B7E19" w:rsidP="00671917">
            <w:pPr>
              <w:numPr>
                <w:ilvl w:val="0"/>
                <w:numId w:val="29"/>
              </w:numPr>
              <w:ind w:left="216" w:hanging="216"/>
            </w:pPr>
            <w:r>
              <w:t>Has c</w:t>
            </w:r>
            <w:r w:rsidR="009E5871" w:rsidRPr="009E5871">
              <w:t>ompeting nursing priorities</w:t>
            </w:r>
          </w:p>
          <w:p w14:paraId="533BA943" w14:textId="2502050A" w:rsidR="009E5871" w:rsidRPr="009E5871" w:rsidRDefault="00257718" w:rsidP="00671917">
            <w:pPr>
              <w:numPr>
                <w:ilvl w:val="0"/>
                <w:numId w:val="29"/>
              </w:numPr>
              <w:ind w:left="216" w:hanging="216"/>
            </w:pPr>
            <w:r>
              <w:t>Will require additional training</w:t>
            </w:r>
          </w:p>
        </w:tc>
      </w:tr>
    </w:tbl>
    <w:p w14:paraId="54A85D95" w14:textId="0468A6FA" w:rsidR="009E5871" w:rsidRPr="009E5871" w:rsidRDefault="009E5871" w:rsidP="007909A6">
      <w:pPr>
        <w:pStyle w:val="Heading2"/>
      </w:pPr>
      <w:r w:rsidRPr="009E5871">
        <w:t xml:space="preserve">EVC Supervisor </w:t>
      </w:r>
    </w:p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Advantages and Disadvantages of EVC Monitoring by an EVC Supervisor"/>
        <w:tblDescription w:val="A 2x2 table that provides an overview of an EVC supervisor taking on the task of EVC monitoring. The column headings are advantages and disadvantages."/>
      </w:tblPr>
      <w:tblGrid>
        <w:gridCol w:w="4968"/>
        <w:gridCol w:w="4896"/>
      </w:tblGrid>
      <w:tr w:rsidR="009E5871" w:rsidRPr="009E5871" w14:paraId="2C3C41FB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5A1AEFD9" w14:textId="1CC3DD32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Advantages</w:t>
            </w:r>
          </w:p>
        </w:tc>
        <w:tc>
          <w:tcPr>
            <w:tcW w:w="4896" w:type="dxa"/>
            <w:shd w:val="clear" w:color="auto" w:fill="FCFFDD"/>
          </w:tcPr>
          <w:p w14:paraId="5670460D" w14:textId="77777777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Disadvantages</w:t>
            </w:r>
          </w:p>
        </w:tc>
      </w:tr>
      <w:tr w:rsidR="009E5871" w:rsidRPr="009E5871" w14:paraId="698BCC0D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1EBC0B2F" w14:textId="550CD251" w:rsidR="009E5871" w:rsidRPr="009E5871" w:rsidRDefault="005537E2" w:rsidP="00671917">
            <w:pPr>
              <w:numPr>
                <w:ilvl w:val="0"/>
                <w:numId w:val="30"/>
              </w:numPr>
              <w:ind w:left="216" w:hanging="216"/>
            </w:pPr>
            <w:r>
              <w:t xml:space="preserve">Better </w:t>
            </w:r>
            <w:r w:rsidR="009E5871" w:rsidRPr="009E5871">
              <w:t>feedback and accountability between EVC associates and supervisor</w:t>
            </w:r>
          </w:p>
          <w:p w14:paraId="2F05CB1D" w14:textId="7699FECF" w:rsidR="009E5871" w:rsidRPr="009E5871" w:rsidRDefault="009E5871" w:rsidP="00671917">
            <w:pPr>
              <w:numPr>
                <w:ilvl w:val="0"/>
                <w:numId w:val="30"/>
              </w:numPr>
              <w:ind w:left="216" w:hanging="216"/>
            </w:pPr>
            <w:r w:rsidRPr="009E5871">
              <w:t xml:space="preserve">Well-positioned to identify </w:t>
            </w:r>
            <w:r w:rsidR="00F70607">
              <w:t>issues</w:t>
            </w:r>
          </w:p>
        </w:tc>
        <w:tc>
          <w:tcPr>
            <w:tcW w:w="4896" w:type="dxa"/>
            <w:shd w:val="clear" w:color="auto" w:fill="FCFFDD"/>
          </w:tcPr>
          <w:p w14:paraId="0C4DE47D" w14:textId="2D136AE8" w:rsidR="009E5871" w:rsidRPr="009E5871" w:rsidRDefault="00A4591E" w:rsidP="00671917">
            <w:pPr>
              <w:numPr>
                <w:ilvl w:val="0"/>
                <w:numId w:val="30"/>
              </w:numPr>
              <w:ind w:left="216" w:hanging="216"/>
            </w:pPr>
            <w:r>
              <w:t>Potential</w:t>
            </w:r>
            <w:r w:rsidR="001F601C">
              <w:t xml:space="preserve"> for bias</w:t>
            </w:r>
          </w:p>
          <w:p w14:paraId="234357CB" w14:textId="6D04ED8D" w:rsidR="009E5871" w:rsidRPr="009E5871" w:rsidRDefault="00C23BD2" w:rsidP="00671917">
            <w:pPr>
              <w:numPr>
                <w:ilvl w:val="0"/>
                <w:numId w:val="30"/>
              </w:numPr>
              <w:ind w:left="216" w:hanging="216"/>
            </w:pPr>
            <w:r>
              <w:t>Will n</w:t>
            </w:r>
            <w:r w:rsidR="005C64C1">
              <w:t>eed to ensure that</w:t>
            </w:r>
            <w:r w:rsidR="00FF2B23">
              <w:t xml:space="preserve"> data</w:t>
            </w:r>
            <w:r w:rsidR="009E5871" w:rsidRPr="009E5871">
              <w:t xml:space="preserve"> </w:t>
            </w:r>
            <w:r w:rsidR="0018747B">
              <w:t xml:space="preserve">is shared </w:t>
            </w:r>
            <w:r w:rsidR="009E5871" w:rsidRPr="009E5871">
              <w:t xml:space="preserve">outside </w:t>
            </w:r>
            <w:r w:rsidR="0018747B">
              <w:t>of</w:t>
            </w:r>
            <w:r w:rsidR="009E5871" w:rsidRPr="009E5871">
              <w:t xml:space="preserve"> </w:t>
            </w:r>
            <w:r w:rsidR="005C64C1">
              <w:t xml:space="preserve">the </w:t>
            </w:r>
            <w:r w:rsidR="009E5871" w:rsidRPr="009E5871">
              <w:t>EVC team</w:t>
            </w:r>
          </w:p>
        </w:tc>
      </w:tr>
    </w:tbl>
    <w:p w14:paraId="33200F9A" w14:textId="22FB8E32" w:rsidR="009E5871" w:rsidRPr="009E5871" w:rsidRDefault="009E5871" w:rsidP="007909A6">
      <w:pPr>
        <w:pStyle w:val="Heading2"/>
      </w:pPr>
      <w:r w:rsidRPr="009E5871">
        <w:t xml:space="preserve">EVC Associate </w:t>
      </w:r>
    </w:p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Advantages and Disadvantages of EVC Monitoring by an EVC Associate"/>
        <w:tblDescription w:val="A 2x2 table that provides an overview of an EVC associate taking on the task of EVC monitoring. The column headings are advantages and disadvantages."/>
      </w:tblPr>
      <w:tblGrid>
        <w:gridCol w:w="4968"/>
        <w:gridCol w:w="4896"/>
      </w:tblGrid>
      <w:tr w:rsidR="009E5871" w:rsidRPr="009E5871" w14:paraId="687C8034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70034A9A" w14:textId="2109917F" w:rsidR="009E5871" w:rsidRPr="009E5871" w:rsidRDefault="009E5871" w:rsidP="00671917">
            <w:pPr>
              <w:jc w:val="center"/>
            </w:pPr>
            <w:r w:rsidRPr="009E5871">
              <w:rPr>
                <w:b/>
                <w:bCs/>
              </w:rPr>
              <w:t>Advantages</w:t>
            </w:r>
          </w:p>
        </w:tc>
        <w:tc>
          <w:tcPr>
            <w:tcW w:w="4896" w:type="dxa"/>
            <w:shd w:val="clear" w:color="auto" w:fill="FCFFDD"/>
          </w:tcPr>
          <w:p w14:paraId="4951F6F9" w14:textId="77777777" w:rsidR="009E5871" w:rsidRPr="009E5871" w:rsidRDefault="009E5871" w:rsidP="00671917">
            <w:pPr>
              <w:jc w:val="center"/>
            </w:pPr>
            <w:r w:rsidRPr="009E5871">
              <w:rPr>
                <w:b/>
                <w:bCs/>
              </w:rPr>
              <w:t>Disadvantages</w:t>
            </w:r>
          </w:p>
        </w:tc>
      </w:tr>
      <w:tr w:rsidR="009E5871" w:rsidRPr="009E5871" w14:paraId="017506FD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0B4F2B40" w14:textId="5011C271" w:rsidR="009E5871" w:rsidRPr="009E5871" w:rsidRDefault="00584DE4" w:rsidP="00671917">
            <w:pPr>
              <w:numPr>
                <w:ilvl w:val="0"/>
                <w:numId w:val="31"/>
              </w:numPr>
              <w:ind w:left="216" w:hanging="216"/>
            </w:pPr>
            <w:r>
              <w:t xml:space="preserve">Encourages </w:t>
            </w:r>
            <w:r w:rsidR="009E5871" w:rsidRPr="009E5871">
              <w:t>ownership and improvement</w:t>
            </w:r>
          </w:p>
          <w:p w14:paraId="773B005A" w14:textId="6D9A9D3B" w:rsidR="009E5871" w:rsidRPr="009E5871" w:rsidRDefault="008A3F5A" w:rsidP="00671917">
            <w:pPr>
              <w:numPr>
                <w:ilvl w:val="0"/>
                <w:numId w:val="31"/>
              </w:numPr>
              <w:ind w:left="216" w:hanging="216"/>
            </w:pPr>
            <w:r>
              <w:t>Can easily i</w:t>
            </w:r>
            <w:r w:rsidR="009E5871" w:rsidRPr="009E5871">
              <w:t>dentif</w:t>
            </w:r>
            <w:r>
              <w:t>y</w:t>
            </w:r>
            <w:r w:rsidR="009E5871" w:rsidRPr="009E5871">
              <w:t xml:space="preserve"> </w:t>
            </w:r>
            <w:r>
              <w:t>issues with the process</w:t>
            </w:r>
          </w:p>
          <w:p w14:paraId="2D896F30" w14:textId="42A3B5E3" w:rsidR="009E5871" w:rsidRPr="009E5871" w:rsidRDefault="008A3F5A" w:rsidP="00671917">
            <w:pPr>
              <w:numPr>
                <w:ilvl w:val="0"/>
                <w:numId w:val="31"/>
              </w:numPr>
              <w:ind w:left="216" w:hanging="216"/>
            </w:pPr>
            <w:r>
              <w:t xml:space="preserve">Capable of </w:t>
            </w:r>
            <w:r w:rsidR="009E5871" w:rsidRPr="009E5871">
              <w:t>monitor</w:t>
            </w:r>
            <w:r>
              <w:t>ing</w:t>
            </w:r>
            <w:r w:rsidR="009E5871" w:rsidRPr="009E5871">
              <w:t xml:space="preserve"> all shifts</w:t>
            </w:r>
          </w:p>
        </w:tc>
        <w:tc>
          <w:tcPr>
            <w:tcW w:w="4896" w:type="dxa"/>
            <w:shd w:val="clear" w:color="auto" w:fill="FCFFDD"/>
          </w:tcPr>
          <w:p w14:paraId="0C7B4CE6" w14:textId="0C789482" w:rsidR="009E5871" w:rsidRPr="009E5871" w:rsidRDefault="00202F90" w:rsidP="00671917">
            <w:pPr>
              <w:numPr>
                <w:ilvl w:val="0"/>
                <w:numId w:val="31"/>
              </w:numPr>
              <w:ind w:left="216" w:hanging="216"/>
            </w:pPr>
            <w:r>
              <w:t>Potential for bias</w:t>
            </w:r>
          </w:p>
          <w:p w14:paraId="7141B977" w14:textId="3CF5E28D" w:rsidR="009E5871" w:rsidRPr="009E5871" w:rsidRDefault="00202F90" w:rsidP="00671917">
            <w:pPr>
              <w:numPr>
                <w:ilvl w:val="0"/>
                <w:numId w:val="31"/>
              </w:numPr>
              <w:ind w:left="216" w:hanging="216"/>
            </w:pPr>
            <w:r>
              <w:t>P</w:t>
            </w:r>
            <w:r w:rsidR="009E5871" w:rsidRPr="009E5871">
              <w:t>eer-to-peer monitoring and feedback</w:t>
            </w:r>
            <w:r w:rsidR="00C23BD2">
              <w:t xml:space="preserve"> can be challenging and sensitive</w:t>
            </w:r>
          </w:p>
        </w:tc>
      </w:tr>
    </w:tbl>
    <w:p w14:paraId="0199DC06" w14:textId="77777777" w:rsidR="009E5871" w:rsidRPr="009E5871" w:rsidRDefault="009E5871" w:rsidP="007909A6">
      <w:pPr>
        <w:pStyle w:val="Heading2"/>
      </w:pPr>
      <w:r w:rsidRPr="009E5871">
        <w:t>“Secret Shopper”</w:t>
      </w:r>
    </w:p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Advantages and Disadvantages of EVC Monitoring by a &quot;Secret Shopper&quot;"/>
        <w:tblDescription w:val="A 2x2 table that provides an overview of a &quot;secret shopper&quot; taking on the task of EVC monitoring. The column headings are advantages and disadvantages."/>
      </w:tblPr>
      <w:tblGrid>
        <w:gridCol w:w="4968"/>
        <w:gridCol w:w="4896"/>
      </w:tblGrid>
      <w:tr w:rsidR="009E5871" w:rsidRPr="009E5871" w14:paraId="29933EB4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069A89EE" w14:textId="2BCE3DC0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Advantages</w:t>
            </w:r>
          </w:p>
        </w:tc>
        <w:tc>
          <w:tcPr>
            <w:tcW w:w="4896" w:type="dxa"/>
            <w:shd w:val="clear" w:color="auto" w:fill="FCFFDD"/>
          </w:tcPr>
          <w:p w14:paraId="71AA33D4" w14:textId="77777777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Disadvantages</w:t>
            </w:r>
          </w:p>
        </w:tc>
      </w:tr>
      <w:tr w:rsidR="009E5871" w:rsidRPr="009E5871" w14:paraId="5625B449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10D9557D" w14:textId="56047250" w:rsidR="009E5871" w:rsidRPr="009E5871" w:rsidRDefault="00343F56" w:rsidP="00671917">
            <w:pPr>
              <w:numPr>
                <w:ilvl w:val="0"/>
                <w:numId w:val="32"/>
              </w:numPr>
              <w:ind w:left="216" w:hanging="216"/>
            </w:pPr>
            <w:r>
              <w:t xml:space="preserve">Reduces </w:t>
            </w:r>
            <w:r w:rsidR="009E5871" w:rsidRPr="009E5871">
              <w:t>Hawthorne Effect</w:t>
            </w:r>
            <w:r w:rsidR="00911EC1">
              <w:t>—</w:t>
            </w:r>
            <w:r w:rsidR="00185A3B">
              <w:t>people</w:t>
            </w:r>
            <w:r w:rsidR="008B2181">
              <w:t xml:space="preserve"> changing</w:t>
            </w:r>
            <w:r w:rsidR="00F3047B">
              <w:t xml:space="preserve"> behavior </w:t>
            </w:r>
            <w:r w:rsidR="00185A3B">
              <w:t>when they know they’re</w:t>
            </w:r>
            <w:r w:rsidR="00F3047B">
              <w:t xml:space="preserve"> being observed</w:t>
            </w:r>
          </w:p>
        </w:tc>
        <w:tc>
          <w:tcPr>
            <w:tcW w:w="4896" w:type="dxa"/>
            <w:shd w:val="clear" w:color="auto" w:fill="FCFFDD"/>
          </w:tcPr>
          <w:p w14:paraId="7CB14491" w14:textId="375036CA" w:rsidR="009E5871" w:rsidRPr="009E5871" w:rsidRDefault="00F3047B" w:rsidP="00671917">
            <w:pPr>
              <w:numPr>
                <w:ilvl w:val="0"/>
                <w:numId w:val="32"/>
              </w:numPr>
              <w:ind w:left="216" w:hanging="216"/>
            </w:pPr>
            <w:r>
              <w:t>Requires</w:t>
            </w:r>
            <w:r w:rsidR="009E5871" w:rsidRPr="009E5871">
              <w:t xml:space="preserve"> significant oversight</w:t>
            </w:r>
          </w:p>
          <w:p w14:paraId="37A07CAA" w14:textId="7C75E54A" w:rsidR="009E5871" w:rsidRPr="009E5871" w:rsidRDefault="004F5A91" w:rsidP="00671917">
            <w:pPr>
              <w:numPr>
                <w:ilvl w:val="0"/>
                <w:numId w:val="32"/>
              </w:numPr>
              <w:ind w:left="216" w:hanging="216"/>
            </w:pPr>
            <w:r>
              <w:t xml:space="preserve">May require </w:t>
            </w:r>
            <w:r w:rsidR="009E5871" w:rsidRPr="009E5871">
              <w:t>frequent turnover</w:t>
            </w:r>
            <w:r>
              <w:t xml:space="preserve"> for anonymity</w:t>
            </w:r>
          </w:p>
          <w:p w14:paraId="22DB67B1" w14:textId="111C791D" w:rsidR="009E5871" w:rsidRPr="009E5871" w:rsidRDefault="000B4FBD" w:rsidP="00671917">
            <w:pPr>
              <w:numPr>
                <w:ilvl w:val="0"/>
                <w:numId w:val="32"/>
              </w:numPr>
              <w:ind w:left="216" w:hanging="216"/>
            </w:pPr>
            <w:r>
              <w:t>Will r</w:t>
            </w:r>
            <w:r w:rsidR="009E5871" w:rsidRPr="009E5871">
              <w:t>equires training</w:t>
            </w:r>
            <w:r>
              <w:t xml:space="preserve"> of shoppers</w:t>
            </w:r>
          </w:p>
        </w:tc>
      </w:tr>
    </w:tbl>
    <w:p w14:paraId="7F823D31" w14:textId="0CF5930B" w:rsidR="009E5871" w:rsidRPr="009E5871" w:rsidRDefault="009E5871" w:rsidP="007909A6">
      <w:pPr>
        <w:pStyle w:val="Heading2"/>
      </w:pPr>
      <w:r w:rsidRPr="009E5871">
        <w:t xml:space="preserve">Mixed: Nurse and EVC associate </w:t>
      </w:r>
    </w:p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  <w:tblCaption w:val="Advantages and Disadvantages of EVC Monitoring by a Mixed Role Such as Nurse and EVC Associate"/>
        <w:tblDescription w:val="A 2x2 table that provides an overview of a mixed role such as nurse and EVC associate taking on the task of EVC monitoring. The column headings are advantages and disadvantages."/>
      </w:tblPr>
      <w:tblGrid>
        <w:gridCol w:w="4968"/>
        <w:gridCol w:w="4896"/>
      </w:tblGrid>
      <w:tr w:rsidR="009E5871" w:rsidRPr="009E5871" w14:paraId="1ACA0B8C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4272777D" w14:textId="2223B243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Advantages</w:t>
            </w:r>
          </w:p>
        </w:tc>
        <w:tc>
          <w:tcPr>
            <w:tcW w:w="4896" w:type="dxa"/>
            <w:shd w:val="clear" w:color="auto" w:fill="FCFFDD"/>
          </w:tcPr>
          <w:p w14:paraId="3C5EC576" w14:textId="77777777" w:rsidR="009E5871" w:rsidRPr="009E5871" w:rsidRDefault="009E5871" w:rsidP="00671917">
            <w:pPr>
              <w:jc w:val="center"/>
              <w:rPr>
                <w:b/>
                <w:bCs/>
              </w:rPr>
            </w:pPr>
            <w:r w:rsidRPr="009E5871">
              <w:rPr>
                <w:b/>
                <w:bCs/>
              </w:rPr>
              <w:t>Disadvantages</w:t>
            </w:r>
          </w:p>
        </w:tc>
      </w:tr>
      <w:tr w:rsidR="009E5871" w:rsidRPr="009E5871" w14:paraId="372F7D8C" w14:textId="77777777" w:rsidTr="00511BE2">
        <w:trPr>
          <w:jc w:val="center"/>
        </w:trPr>
        <w:tc>
          <w:tcPr>
            <w:tcW w:w="4968" w:type="dxa"/>
            <w:shd w:val="clear" w:color="auto" w:fill="E7F6FF"/>
          </w:tcPr>
          <w:p w14:paraId="5429BEDE" w14:textId="56AC58B4" w:rsidR="009E5871" w:rsidRPr="009E5871" w:rsidRDefault="00883A24" w:rsidP="00671917">
            <w:pPr>
              <w:numPr>
                <w:ilvl w:val="0"/>
                <w:numId w:val="33"/>
              </w:numPr>
              <w:ind w:left="216" w:hanging="216"/>
            </w:pPr>
            <w:r>
              <w:t>Clarifies</w:t>
            </w:r>
            <w:r w:rsidR="009E5871" w:rsidRPr="009E5871">
              <w:t xml:space="preserve"> cleaning responsibilities</w:t>
            </w:r>
          </w:p>
          <w:p w14:paraId="608C2FA6" w14:textId="27D2DA6C" w:rsidR="009E5871" w:rsidRPr="009E5871" w:rsidRDefault="00883A24" w:rsidP="00671917">
            <w:pPr>
              <w:numPr>
                <w:ilvl w:val="0"/>
                <w:numId w:val="33"/>
              </w:numPr>
              <w:ind w:left="216" w:hanging="216"/>
            </w:pPr>
            <w:r>
              <w:t xml:space="preserve">Shared sense of </w:t>
            </w:r>
            <w:r w:rsidR="009E5871" w:rsidRPr="009E5871">
              <w:t>accountability</w:t>
            </w:r>
          </w:p>
          <w:p w14:paraId="7D0CEDCF" w14:textId="34827394" w:rsidR="009E5871" w:rsidRPr="009E5871" w:rsidRDefault="00883A24" w:rsidP="00671917">
            <w:pPr>
              <w:numPr>
                <w:ilvl w:val="0"/>
                <w:numId w:val="33"/>
              </w:numPr>
              <w:ind w:left="216" w:hanging="216"/>
            </w:pPr>
            <w:r>
              <w:t>Two-way</w:t>
            </w:r>
            <w:r w:rsidR="009E5871" w:rsidRPr="009E5871">
              <w:t xml:space="preserve"> feedback</w:t>
            </w:r>
          </w:p>
        </w:tc>
        <w:tc>
          <w:tcPr>
            <w:tcW w:w="4896" w:type="dxa"/>
            <w:shd w:val="clear" w:color="auto" w:fill="FCFFDD"/>
          </w:tcPr>
          <w:p w14:paraId="740C1DB9" w14:textId="77777777" w:rsidR="009E5871" w:rsidRPr="009E5871" w:rsidRDefault="009E5871" w:rsidP="00671917">
            <w:pPr>
              <w:numPr>
                <w:ilvl w:val="0"/>
                <w:numId w:val="33"/>
              </w:numPr>
              <w:ind w:left="216" w:hanging="216"/>
            </w:pPr>
            <w:r w:rsidRPr="009E5871">
              <w:t>Can lead to lack of ownership</w:t>
            </w:r>
          </w:p>
          <w:p w14:paraId="0FDD4868" w14:textId="63A9BCDA" w:rsidR="009E5871" w:rsidRPr="009E5871" w:rsidRDefault="001861ED" w:rsidP="00671917">
            <w:pPr>
              <w:numPr>
                <w:ilvl w:val="0"/>
                <w:numId w:val="33"/>
              </w:numPr>
              <w:ind w:left="216" w:hanging="216"/>
            </w:pPr>
            <w:r>
              <w:t xml:space="preserve">Will need </w:t>
            </w:r>
            <w:r w:rsidR="009E5871" w:rsidRPr="009E5871">
              <w:t>to ensure respectful</w:t>
            </w:r>
            <w:r>
              <w:t xml:space="preserve"> and</w:t>
            </w:r>
            <w:r w:rsidR="009E5871" w:rsidRPr="009E5871">
              <w:t xml:space="preserve"> constructive feedback</w:t>
            </w:r>
            <w:r>
              <w:t xml:space="preserve"> exchange</w:t>
            </w:r>
          </w:p>
        </w:tc>
      </w:tr>
    </w:tbl>
    <w:p w14:paraId="36B68806" w14:textId="77777777" w:rsidR="004236C1" w:rsidRPr="004236C1" w:rsidRDefault="004236C1" w:rsidP="004236C1">
      <w:pPr>
        <w:spacing w:before="240"/>
        <w:contextualSpacing/>
        <w:jc w:val="right"/>
        <w:rPr>
          <w:sz w:val="16"/>
          <w:szCs w:val="16"/>
        </w:rPr>
      </w:pPr>
    </w:p>
    <w:p w14:paraId="287EE877" w14:textId="75FE4553" w:rsidR="009E5871" w:rsidRPr="004236C1" w:rsidRDefault="004236C1" w:rsidP="004236C1">
      <w:pPr>
        <w:spacing w:before="24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AHRQ Pub. No. 25-0007|October 2024</w:t>
      </w:r>
    </w:p>
    <w:sectPr w:rsidR="009E5871" w:rsidRPr="004236C1" w:rsidSect="00F80547"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C408" w14:textId="77777777" w:rsidR="00E94004" w:rsidRDefault="00E94004" w:rsidP="00B81F18">
      <w:r>
        <w:separator/>
      </w:r>
    </w:p>
    <w:p w14:paraId="15144A44" w14:textId="77777777" w:rsidR="00E94004" w:rsidRDefault="00E94004" w:rsidP="00B81F18"/>
  </w:endnote>
  <w:endnote w:type="continuationSeparator" w:id="0">
    <w:p w14:paraId="14F7EDF5" w14:textId="77777777" w:rsidR="00E94004" w:rsidRDefault="00E94004" w:rsidP="00B81F18">
      <w:r>
        <w:continuationSeparator/>
      </w:r>
    </w:p>
    <w:p w14:paraId="06708116" w14:textId="77777777" w:rsidR="00E94004" w:rsidRDefault="00E94004" w:rsidP="00B81F18"/>
  </w:endnote>
  <w:endnote w:type="continuationNotice" w:id="1">
    <w:p w14:paraId="2C355AF3" w14:textId="77777777" w:rsidR="00E94004" w:rsidRDefault="00E94004" w:rsidP="00B81F18"/>
    <w:p w14:paraId="15EEDE84" w14:textId="77777777" w:rsidR="00E94004" w:rsidRDefault="00E94004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3367" w14:textId="6CF68F91" w:rsidR="00F70D34" w:rsidRPr="007909A6" w:rsidRDefault="00E03D7D" w:rsidP="002031C1">
    <w:pPr>
      <w:pStyle w:val="FooterText"/>
      <w:tabs>
        <w:tab w:val="right" w:pos="10800"/>
      </w:tabs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2031C1" w:rsidRPr="002031C1">
      <w:t xml:space="preserve">Who Should Take on the Task of </w:t>
    </w:r>
    <w:r w:rsidR="002031C1">
      <w:t>EVC</w:t>
    </w:r>
    <w:r w:rsidR="002031C1" w:rsidRPr="002031C1">
      <w:t xml:space="preserve"> Monitoring?</w:t>
    </w:r>
    <w:r w:rsidRPr="00F91E7D">
      <w:rPr>
        <w:b/>
        <w:bCs w:val="0"/>
      </w:rPr>
      <w:t xml:space="preserve"> 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108E" w14:textId="77777777" w:rsidR="00E94004" w:rsidRDefault="00E94004" w:rsidP="00B81F18">
      <w:r>
        <w:separator/>
      </w:r>
    </w:p>
    <w:p w14:paraId="4046DA1F" w14:textId="77777777" w:rsidR="00E94004" w:rsidRDefault="00E94004" w:rsidP="00B81F18"/>
  </w:footnote>
  <w:footnote w:type="continuationSeparator" w:id="0">
    <w:p w14:paraId="778DF075" w14:textId="77777777" w:rsidR="00E94004" w:rsidRDefault="00E94004" w:rsidP="00B81F18">
      <w:r>
        <w:continuationSeparator/>
      </w:r>
    </w:p>
    <w:p w14:paraId="1B4EABD2" w14:textId="77777777" w:rsidR="00E94004" w:rsidRDefault="00E94004" w:rsidP="00B81F18"/>
  </w:footnote>
  <w:footnote w:type="continuationNotice" w:id="1">
    <w:p w14:paraId="25BFEEAA" w14:textId="77777777" w:rsidR="00E94004" w:rsidRDefault="00E94004" w:rsidP="00B81F18"/>
    <w:p w14:paraId="4F33C626" w14:textId="77777777" w:rsidR="00E94004" w:rsidRDefault="00E94004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359F" w14:textId="44413F56" w:rsidR="00CF1FF7" w:rsidRPr="00801286" w:rsidRDefault="00CF1FF7" w:rsidP="00424709">
    <w:pPr>
      <w:pStyle w:val="Title"/>
      <w:tabs>
        <w:tab w:val="clear" w:pos="10800"/>
      </w:tabs>
      <w:spacing w:before="0" w:line="216" w:lineRule="auto"/>
      <w:ind w:left="1627" w:right="1627"/>
      <w:jc w:val="center"/>
      <w:rPr>
        <w:sz w:val="44"/>
        <w:szCs w:val="44"/>
      </w:rPr>
    </w:pPr>
    <w:r w:rsidRPr="00063D2A">
      <w:rPr>
        <w:noProof/>
      </w:rPr>
      <w:drawing>
        <wp:anchor distT="0" distB="0" distL="114300" distR="114300" simplePos="0" relativeHeight="251658242" behindDoc="0" locked="0" layoutInCell="1" allowOverlap="1" wp14:anchorId="5B6CA10C" wp14:editId="716B3661">
          <wp:simplePos x="0" y="0"/>
          <wp:positionH relativeFrom="page">
            <wp:posOffset>274320</wp:posOffset>
          </wp:positionH>
          <wp:positionV relativeFrom="page">
            <wp:posOffset>182880</wp:posOffset>
          </wp:positionV>
          <wp:extent cx="914400" cy="914400"/>
          <wp:effectExtent l="0" t="0" r="0" b="0"/>
          <wp:wrapNone/>
          <wp:docPr id="110438710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4EE">
      <w:rPr>
        <w:noProof/>
      </w:rPr>
      <w:drawing>
        <wp:anchor distT="0" distB="0" distL="114300" distR="114300" simplePos="0" relativeHeight="251658240" behindDoc="0" locked="0" layoutInCell="1" allowOverlap="1" wp14:anchorId="39120C18" wp14:editId="0466BB15">
          <wp:simplePos x="0" y="0"/>
          <wp:positionH relativeFrom="page">
            <wp:posOffset>6309360</wp:posOffset>
          </wp:positionH>
          <wp:positionV relativeFrom="paragraph">
            <wp:posOffset>70339</wp:posOffset>
          </wp:positionV>
          <wp:extent cx="1078992" cy="448056"/>
          <wp:effectExtent l="0" t="0" r="6985" b="0"/>
          <wp:wrapNone/>
          <wp:docPr id="2072030335" name="Picture 20720303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709" w:rsidRPr="00801286">
      <w:rPr>
        <w:noProof/>
        <w:sz w:val="44"/>
        <w:szCs w:val="44"/>
      </w:rPr>
      <w:t>Who Should Take on the Task of Environmental Cleaning Monitoring?</w:t>
    </w:r>
  </w:p>
  <w:p w14:paraId="6B59EF3D" w14:textId="7225DCD2" w:rsidR="00F70D34" w:rsidRDefault="00CF1FF7" w:rsidP="007909A6">
    <w:pPr>
      <w:pStyle w:val="Subtitle"/>
      <w:spacing w:before="120" w:after="80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423B73E" wp14:editId="1939C2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14400"/>
          <wp:effectExtent l="0" t="0" r="0" b="0"/>
          <wp:wrapNone/>
          <wp:docPr id="140015477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286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3BF"/>
    <w:multiLevelType w:val="hybridMultilevel"/>
    <w:tmpl w:val="6718747A"/>
    <w:lvl w:ilvl="0" w:tplc="3814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25"/>
        <w:position w:val="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527F"/>
    <w:multiLevelType w:val="hybridMultilevel"/>
    <w:tmpl w:val="1300535C"/>
    <w:lvl w:ilvl="0" w:tplc="3814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25"/>
        <w:position w:val="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0915"/>
    <w:multiLevelType w:val="hybridMultilevel"/>
    <w:tmpl w:val="48F2F074"/>
    <w:lvl w:ilvl="0" w:tplc="3814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25"/>
        <w:position w:val="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6387"/>
    <w:multiLevelType w:val="hybridMultilevel"/>
    <w:tmpl w:val="16286000"/>
    <w:lvl w:ilvl="0" w:tplc="3814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25"/>
        <w:position w:val="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62493"/>
    <w:multiLevelType w:val="hybridMultilevel"/>
    <w:tmpl w:val="9B1E3F6E"/>
    <w:lvl w:ilvl="0" w:tplc="3814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25"/>
        <w:position w:val="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77DB"/>
    <w:multiLevelType w:val="hybridMultilevel"/>
    <w:tmpl w:val="ACF253EE"/>
    <w:lvl w:ilvl="0" w:tplc="3814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25"/>
        <w:position w:val="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8109D0"/>
    <w:multiLevelType w:val="hybridMultilevel"/>
    <w:tmpl w:val="57749798"/>
    <w:lvl w:ilvl="0" w:tplc="0748968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324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42158">
    <w:abstractNumId w:val="2"/>
  </w:num>
  <w:num w:numId="2" w16cid:durableId="964386636">
    <w:abstractNumId w:val="19"/>
  </w:num>
  <w:num w:numId="3" w16cid:durableId="1612324772">
    <w:abstractNumId w:val="15"/>
  </w:num>
  <w:num w:numId="4" w16cid:durableId="1610118098">
    <w:abstractNumId w:val="7"/>
  </w:num>
  <w:num w:numId="5" w16cid:durableId="965282052">
    <w:abstractNumId w:val="8"/>
  </w:num>
  <w:num w:numId="6" w16cid:durableId="1487550355">
    <w:abstractNumId w:val="16"/>
  </w:num>
  <w:num w:numId="7" w16cid:durableId="1607881260">
    <w:abstractNumId w:val="20"/>
  </w:num>
  <w:num w:numId="8" w16cid:durableId="64232993">
    <w:abstractNumId w:val="3"/>
  </w:num>
  <w:num w:numId="9" w16cid:durableId="514686567">
    <w:abstractNumId w:val="30"/>
  </w:num>
  <w:num w:numId="10" w16cid:durableId="390036818">
    <w:abstractNumId w:val="18"/>
  </w:num>
  <w:num w:numId="11" w16cid:durableId="520700836">
    <w:abstractNumId w:val="31"/>
  </w:num>
  <w:num w:numId="12" w16cid:durableId="1069108452">
    <w:abstractNumId w:val="10"/>
  </w:num>
  <w:num w:numId="13" w16cid:durableId="1677993966">
    <w:abstractNumId w:val="13"/>
  </w:num>
  <w:num w:numId="14" w16cid:durableId="650794716">
    <w:abstractNumId w:val="4"/>
  </w:num>
  <w:num w:numId="15" w16cid:durableId="2102558313">
    <w:abstractNumId w:val="5"/>
  </w:num>
  <w:num w:numId="16" w16cid:durableId="444083864">
    <w:abstractNumId w:val="22"/>
  </w:num>
  <w:num w:numId="17" w16cid:durableId="1123765670">
    <w:abstractNumId w:val="32"/>
  </w:num>
  <w:num w:numId="18" w16cid:durableId="412708243">
    <w:abstractNumId w:val="17"/>
  </w:num>
  <w:num w:numId="19" w16cid:durableId="1315262267">
    <w:abstractNumId w:val="21"/>
  </w:num>
  <w:num w:numId="20" w16cid:durableId="1467162012">
    <w:abstractNumId w:val="26"/>
  </w:num>
  <w:num w:numId="21" w16cid:durableId="1145045973">
    <w:abstractNumId w:val="0"/>
  </w:num>
  <w:num w:numId="22" w16cid:durableId="1826704735">
    <w:abstractNumId w:val="24"/>
  </w:num>
  <w:num w:numId="23" w16cid:durableId="1972199893">
    <w:abstractNumId w:val="28"/>
  </w:num>
  <w:num w:numId="24" w16cid:durableId="1373773576">
    <w:abstractNumId w:val="14"/>
  </w:num>
  <w:num w:numId="25" w16cid:durableId="1840274055">
    <w:abstractNumId w:val="9"/>
  </w:num>
  <w:num w:numId="26" w16cid:durableId="399136255">
    <w:abstractNumId w:val="23"/>
  </w:num>
  <w:num w:numId="27" w16cid:durableId="488641076">
    <w:abstractNumId w:val="29"/>
  </w:num>
  <w:num w:numId="28" w16cid:durableId="2094474888">
    <w:abstractNumId w:val="27"/>
  </w:num>
  <w:num w:numId="29" w16cid:durableId="759528448">
    <w:abstractNumId w:val="25"/>
  </w:num>
  <w:num w:numId="30" w16cid:durableId="1338728574">
    <w:abstractNumId w:val="1"/>
  </w:num>
  <w:num w:numId="31" w16cid:durableId="300890329">
    <w:abstractNumId w:val="12"/>
  </w:num>
  <w:num w:numId="32" w16cid:durableId="187179047">
    <w:abstractNumId w:val="6"/>
  </w:num>
  <w:num w:numId="33" w16cid:durableId="953904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3F47"/>
    <w:rsid w:val="00005293"/>
    <w:rsid w:val="00015744"/>
    <w:rsid w:val="00015BAC"/>
    <w:rsid w:val="0002506B"/>
    <w:rsid w:val="000325E8"/>
    <w:rsid w:val="00032EA5"/>
    <w:rsid w:val="00035D04"/>
    <w:rsid w:val="00046F5C"/>
    <w:rsid w:val="00047F1D"/>
    <w:rsid w:val="00061895"/>
    <w:rsid w:val="00063743"/>
    <w:rsid w:val="00065338"/>
    <w:rsid w:val="00076115"/>
    <w:rsid w:val="00076B59"/>
    <w:rsid w:val="00085186"/>
    <w:rsid w:val="000856D6"/>
    <w:rsid w:val="000937C2"/>
    <w:rsid w:val="000962B8"/>
    <w:rsid w:val="000A799B"/>
    <w:rsid w:val="000B1165"/>
    <w:rsid w:val="000B2076"/>
    <w:rsid w:val="000B4FBD"/>
    <w:rsid w:val="000C189C"/>
    <w:rsid w:val="000C2225"/>
    <w:rsid w:val="000C4154"/>
    <w:rsid w:val="000C60A4"/>
    <w:rsid w:val="000C79D3"/>
    <w:rsid w:val="000D609D"/>
    <w:rsid w:val="000D79E5"/>
    <w:rsid w:val="000E0D8E"/>
    <w:rsid w:val="000E4D54"/>
    <w:rsid w:val="000F403E"/>
    <w:rsid w:val="000F7DF1"/>
    <w:rsid w:val="00107B33"/>
    <w:rsid w:val="00114A92"/>
    <w:rsid w:val="00117754"/>
    <w:rsid w:val="001201A4"/>
    <w:rsid w:val="00121206"/>
    <w:rsid w:val="001250A8"/>
    <w:rsid w:val="00126F1C"/>
    <w:rsid w:val="00132E23"/>
    <w:rsid w:val="00140F4D"/>
    <w:rsid w:val="00143F41"/>
    <w:rsid w:val="00182814"/>
    <w:rsid w:val="00183382"/>
    <w:rsid w:val="0018404C"/>
    <w:rsid w:val="00185A3B"/>
    <w:rsid w:val="001861ED"/>
    <w:rsid w:val="0018747B"/>
    <w:rsid w:val="0018752C"/>
    <w:rsid w:val="001944C4"/>
    <w:rsid w:val="00195E0F"/>
    <w:rsid w:val="00196F20"/>
    <w:rsid w:val="001A77D5"/>
    <w:rsid w:val="001B1787"/>
    <w:rsid w:val="001C4737"/>
    <w:rsid w:val="001D0A44"/>
    <w:rsid w:val="001D7D40"/>
    <w:rsid w:val="001E0217"/>
    <w:rsid w:val="001E5673"/>
    <w:rsid w:val="001F0612"/>
    <w:rsid w:val="001F19E4"/>
    <w:rsid w:val="001F1C19"/>
    <w:rsid w:val="001F2578"/>
    <w:rsid w:val="001F5ECC"/>
    <w:rsid w:val="001F601C"/>
    <w:rsid w:val="00202F90"/>
    <w:rsid w:val="002031C1"/>
    <w:rsid w:val="00204422"/>
    <w:rsid w:val="0020771B"/>
    <w:rsid w:val="00207BB8"/>
    <w:rsid w:val="00213294"/>
    <w:rsid w:val="0021596F"/>
    <w:rsid w:val="00221664"/>
    <w:rsid w:val="00225DA3"/>
    <w:rsid w:val="00231D2C"/>
    <w:rsid w:val="00246E73"/>
    <w:rsid w:val="00257718"/>
    <w:rsid w:val="0026125E"/>
    <w:rsid w:val="00266BEC"/>
    <w:rsid w:val="00277FA7"/>
    <w:rsid w:val="0028510A"/>
    <w:rsid w:val="00291A85"/>
    <w:rsid w:val="002A1A1F"/>
    <w:rsid w:val="002A615C"/>
    <w:rsid w:val="002B1E8E"/>
    <w:rsid w:val="002B553E"/>
    <w:rsid w:val="002C7A88"/>
    <w:rsid w:val="002D0EAA"/>
    <w:rsid w:val="002E720F"/>
    <w:rsid w:val="002F0F47"/>
    <w:rsid w:val="002F3670"/>
    <w:rsid w:val="00302FC0"/>
    <w:rsid w:val="003151D8"/>
    <w:rsid w:val="003222AA"/>
    <w:rsid w:val="003318DD"/>
    <w:rsid w:val="00331C54"/>
    <w:rsid w:val="00337BDB"/>
    <w:rsid w:val="00343F56"/>
    <w:rsid w:val="003461E7"/>
    <w:rsid w:val="00357BC9"/>
    <w:rsid w:val="00370FA9"/>
    <w:rsid w:val="0038151B"/>
    <w:rsid w:val="00384CB9"/>
    <w:rsid w:val="00394CA5"/>
    <w:rsid w:val="003952FF"/>
    <w:rsid w:val="00395896"/>
    <w:rsid w:val="003B4C89"/>
    <w:rsid w:val="003C0A62"/>
    <w:rsid w:val="003C27B2"/>
    <w:rsid w:val="003C5CAC"/>
    <w:rsid w:val="003D017C"/>
    <w:rsid w:val="003D10C2"/>
    <w:rsid w:val="003D4B02"/>
    <w:rsid w:val="003E17B9"/>
    <w:rsid w:val="003F2511"/>
    <w:rsid w:val="00402F58"/>
    <w:rsid w:val="004157DD"/>
    <w:rsid w:val="004236C1"/>
    <w:rsid w:val="00423DC1"/>
    <w:rsid w:val="00424709"/>
    <w:rsid w:val="004266E3"/>
    <w:rsid w:val="004275EA"/>
    <w:rsid w:val="00434908"/>
    <w:rsid w:val="00434C61"/>
    <w:rsid w:val="00436E39"/>
    <w:rsid w:val="00440601"/>
    <w:rsid w:val="00440EFD"/>
    <w:rsid w:val="00443230"/>
    <w:rsid w:val="0044472D"/>
    <w:rsid w:val="004506C2"/>
    <w:rsid w:val="0045721E"/>
    <w:rsid w:val="004835BF"/>
    <w:rsid w:val="00492F08"/>
    <w:rsid w:val="004A6527"/>
    <w:rsid w:val="004B249C"/>
    <w:rsid w:val="004B362B"/>
    <w:rsid w:val="004B7E19"/>
    <w:rsid w:val="004C2030"/>
    <w:rsid w:val="004C3CCD"/>
    <w:rsid w:val="004C5ADD"/>
    <w:rsid w:val="004D0DF5"/>
    <w:rsid w:val="004E38A7"/>
    <w:rsid w:val="004F5A91"/>
    <w:rsid w:val="004F65AC"/>
    <w:rsid w:val="00511BE2"/>
    <w:rsid w:val="00513F32"/>
    <w:rsid w:val="0052132F"/>
    <w:rsid w:val="005213CB"/>
    <w:rsid w:val="00522BE2"/>
    <w:rsid w:val="0052593E"/>
    <w:rsid w:val="00526056"/>
    <w:rsid w:val="005405E1"/>
    <w:rsid w:val="005512E8"/>
    <w:rsid w:val="005521F9"/>
    <w:rsid w:val="005537E2"/>
    <w:rsid w:val="00557379"/>
    <w:rsid w:val="00564A4F"/>
    <w:rsid w:val="00564A73"/>
    <w:rsid w:val="005661AD"/>
    <w:rsid w:val="00580291"/>
    <w:rsid w:val="00583513"/>
    <w:rsid w:val="0058497F"/>
    <w:rsid w:val="005849A5"/>
    <w:rsid w:val="00584DE4"/>
    <w:rsid w:val="00587B2C"/>
    <w:rsid w:val="00595250"/>
    <w:rsid w:val="005959C9"/>
    <w:rsid w:val="005A4485"/>
    <w:rsid w:val="005A65B5"/>
    <w:rsid w:val="005C1DD7"/>
    <w:rsid w:val="005C64C1"/>
    <w:rsid w:val="005C6D51"/>
    <w:rsid w:val="005D1E02"/>
    <w:rsid w:val="005D44DD"/>
    <w:rsid w:val="005E2FA1"/>
    <w:rsid w:val="005F0FEA"/>
    <w:rsid w:val="005F194B"/>
    <w:rsid w:val="005F550E"/>
    <w:rsid w:val="006019EC"/>
    <w:rsid w:val="006044E4"/>
    <w:rsid w:val="00611928"/>
    <w:rsid w:val="00612C78"/>
    <w:rsid w:val="006154EE"/>
    <w:rsid w:val="0062188A"/>
    <w:rsid w:val="006260F9"/>
    <w:rsid w:val="006315EA"/>
    <w:rsid w:val="00633673"/>
    <w:rsid w:val="006355CC"/>
    <w:rsid w:val="006475DA"/>
    <w:rsid w:val="006561FC"/>
    <w:rsid w:val="00657436"/>
    <w:rsid w:val="006648B4"/>
    <w:rsid w:val="006649AE"/>
    <w:rsid w:val="00665AF1"/>
    <w:rsid w:val="0066745D"/>
    <w:rsid w:val="00671917"/>
    <w:rsid w:val="00674170"/>
    <w:rsid w:val="0067450F"/>
    <w:rsid w:val="0067587E"/>
    <w:rsid w:val="00680A48"/>
    <w:rsid w:val="00682AAA"/>
    <w:rsid w:val="006875D6"/>
    <w:rsid w:val="006921A2"/>
    <w:rsid w:val="00697517"/>
    <w:rsid w:val="006A048A"/>
    <w:rsid w:val="006A4B4A"/>
    <w:rsid w:val="006A6983"/>
    <w:rsid w:val="006B26F9"/>
    <w:rsid w:val="006C2461"/>
    <w:rsid w:val="006C3441"/>
    <w:rsid w:val="006C662F"/>
    <w:rsid w:val="006D185C"/>
    <w:rsid w:val="006D1A9C"/>
    <w:rsid w:val="006D2404"/>
    <w:rsid w:val="007007FD"/>
    <w:rsid w:val="00711C36"/>
    <w:rsid w:val="00714E3F"/>
    <w:rsid w:val="0071500F"/>
    <w:rsid w:val="007309E1"/>
    <w:rsid w:val="007325E8"/>
    <w:rsid w:val="00733265"/>
    <w:rsid w:val="0073750E"/>
    <w:rsid w:val="00737FEA"/>
    <w:rsid w:val="00743C60"/>
    <w:rsid w:val="007452EF"/>
    <w:rsid w:val="00747E45"/>
    <w:rsid w:val="00751F8D"/>
    <w:rsid w:val="00755FDC"/>
    <w:rsid w:val="007627F5"/>
    <w:rsid w:val="007630A4"/>
    <w:rsid w:val="00767A4B"/>
    <w:rsid w:val="00767AEE"/>
    <w:rsid w:val="0077282B"/>
    <w:rsid w:val="007778F9"/>
    <w:rsid w:val="00784B55"/>
    <w:rsid w:val="007909A6"/>
    <w:rsid w:val="0079205D"/>
    <w:rsid w:val="007923E9"/>
    <w:rsid w:val="007A5605"/>
    <w:rsid w:val="007A5F9A"/>
    <w:rsid w:val="007B029F"/>
    <w:rsid w:val="007B253A"/>
    <w:rsid w:val="007C32EA"/>
    <w:rsid w:val="007D20B3"/>
    <w:rsid w:val="007D2E9B"/>
    <w:rsid w:val="007D3309"/>
    <w:rsid w:val="007D397D"/>
    <w:rsid w:val="007D5A86"/>
    <w:rsid w:val="007E045C"/>
    <w:rsid w:val="007E5E96"/>
    <w:rsid w:val="007F6722"/>
    <w:rsid w:val="00801286"/>
    <w:rsid w:val="00804C83"/>
    <w:rsid w:val="00807883"/>
    <w:rsid w:val="00813280"/>
    <w:rsid w:val="00813A65"/>
    <w:rsid w:val="00822586"/>
    <w:rsid w:val="00823421"/>
    <w:rsid w:val="0082467C"/>
    <w:rsid w:val="00830F49"/>
    <w:rsid w:val="00831588"/>
    <w:rsid w:val="00854F5C"/>
    <w:rsid w:val="008607BB"/>
    <w:rsid w:val="00862B8C"/>
    <w:rsid w:val="008704B0"/>
    <w:rsid w:val="008743EB"/>
    <w:rsid w:val="00881F8D"/>
    <w:rsid w:val="00882D43"/>
    <w:rsid w:val="00883A24"/>
    <w:rsid w:val="00892697"/>
    <w:rsid w:val="00894A75"/>
    <w:rsid w:val="008A3F5A"/>
    <w:rsid w:val="008B0CB8"/>
    <w:rsid w:val="008B2181"/>
    <w:rsid w:val="008B29A0"/>
    <w:rsid w:val="008B53DC"/>
    <w:rsid w:val="008B65CB"/>
    <w:rsid w:val="008C1CCF"/>
    <w:rsid w:val="008C3333"/>
    <w:rsid w:val="008C41B2"/>
    <w:rsid w:val="008C6771"/>
    <w:rsid w:val="008D42BD"/>
    <w:rsid w:val="008D58E4"/>
    <w:rsid w:val="008D79DD"/>
    <w:rsid w:val="008E3802"/>
    <w:rsid w:val="008F2931"/>
    <w:rsid w:val="008F3C8F"/>
    <w:rsid w:val="008F5315"/>
    <w:rsid w:val="009039C3"/>
    <w:rsid w:val="0090483E"/>
    <w:rsid w:val="00910CF8"/>
    <w:rsid w:val="00910E38"/>
    <w:rsid w:val="00910F34"/>
    <w:rsid w:val="00911EC1"/>
    <w:rsid w:val="00913395"/>
    <w:rsid w:val="00917A88"/>
    <w:rsid w:val="0093582C"/>
    <w:rsid w:val="0093669F"/>
    <w:rsid w:val="00940DE6"/>
    <w:rsid w:val="00941DE7"/>
    <w:rsid w:val="009425C0"/>
    <w:rsid w:val="00946870"/>
    <w:rsid w:val="00950F6D"/>
    <w:rsid w:val="009517D9"/>
    <w:rsid w:val="00961B50"/>
    <w:rsid w:val="00965F68"/>
    <w:rsid w:val="009673C4"/>
    <w:rsid w:val="00975E3B"/>
    <w:rsid w:val="00976B21"/>
    <w:rsid w:val="00991E6D"/>
    <w:rsid w:val="0099422F"/>
    <w:rsid w:val="00996319"/>
    <w:rsid w:val="009A1926"/>
    <w:rsid w:val="009A23AB"/>
    <w:rsid w:val="009A3A74"/>
    <w:rsid w:val="009C03E9"/>
    <w:rsid w:val="009D052B"/>
    <w:rsid w:val="009D7766"/>
    <w:rsid w:val="009E088B"/>
    <w:rsid w:val="009E45A9"/>
    <w:rsid w:val="009E5871"/>
    <w:rsid w:val="009F19C2"/>
    <w:rsid w:val="00A0597C"/>
    <w:rsid w:val="00A22E39"/>
    <w:rsid w:val="00A3729E"/>
    <w:rsid w:val="00A44BD4"/>
    <w:rsid w:val="00A4591E"/>
    <w:rsid w:val="00A51D2B"/>
    <w:rsid w:val="00A55598"/>
    <w:rsid w:val="00A66E53"/>
    <w:rsid w:val="00A74DEB"/>
    <w:rsid w:val="00A77984"/>
    <w:rsid w:val="00A81332"/>
    <w:rsid w:val="00A83E36"/>
    <w:rsid w:val="00A86720"/>
    <w:rsid w:val="00AA095A"/>
    <w:rsid w:val="00AA7E4B"/>
    <w:rsid w:val="00AB0109"/>
    <w:rsid w:val="00AB5295"/>
    <w:rsid w:val="00AD1B2B"/>
    <w:rsid w:val="00AD381B"/>
    <w:rsid w:val="00AD46FC"/>
    <w:rsid w:val="00B0451E"/>
    <w:rsid w:val="00B0677A"/>
    <w:rsid w:val="00B23C5C"/>
    <w:rsid w:val="00B25C78"/>
    <w:rsid w:val="00B31154"/>
    <w:rsid w:val="00B40503"/>
    <w:rsid w:val="00B42931"/>
    <w:rsid w:val="00B4347F"/>
    <w:rsid w:val="00B60677"/>
    <w:rsid w:val="00B621DA"/>
    <w:rsid w:val="00B62ACE"/>
    <w:rsid w:val="00B664E9"/>
    <w:rsid w:val="00B77D74"/>
    <w:rsid w:val="00B813D9"/>
    <w:rsid w:val="00B81F18"/>
    <w:rsid w:val="00BA298A"/>
    <w:rsid w:val="00BA5C18"/>
    <w:rsid w:val="00BB2D45"/>
    <w:rsid w:val="00BB4D03"/>
    <w:rsid w:val="00BC2DC4"/>
    <w:rsid w:val="00BC7FB3"/>
    <w:rsid w:val="00BD4A9E"/>
    <w:rsid w:val="00BE3DEF"/>
    <w:rsid w:val="00BE6048"/>
    <w:rsid w:val="00BE7BE9"/>
    <w:rsid w:val="00C04A42"/>
    <w:rsid w:val="00C105B4"/>
    <w:rsid w:val="00C1343F"/>
    <w:rsid w:val="00C17618"/>
    <w:rsid w:val="00C17821"/>
    <w:rsid w:val="00C22DE6"/>
    <w:rsid w:val="00C230AB"/>
    <w:rsid w:val="00C23BD2"/>
    <w:rsid w:val="00C3287E"/>
    <w:rsid w:val="00C33A5D"/>
    <w:rsid w:val="00C40422"/>
    <w:rsid w:val="00C44ED6"/>
    <w:rsid w:val="00C52AC8"/>
    <w:rsid w:val="00C57E17"/>
    <w:rsid w:val="00C6139F"/>
    <w:rsid w:val="00C63731"/>
    <w:rsid w:val="00C674BC"/>
    <w:rsid w:val="00C71D12"/>
    <w:rsid w:val="00C75850"/>
    <w:rsid w:val="00C75FE3"/>
    <w:rsid w:val="00C8156B"/>
    <w:rsid w:val="00C86AFC"/>
    <w:rsid w:val="00C93DE7"/>
    <w:rsid w:val="00CA2226"/>
    <w:rsid w:val="00CA385C"/>
    <w:rsid w:val="00CA75B4"/>
    <w:rsid w:val="00CB7CFA"/>
    <w:rsid w:val="00CC77B5"/>
    <w:rsid w:val="00CD4AF9"/>
    <w:rsid w:val="00CD7148"/>
    <w:rsid w:val="00CE2AD1"/>
    <w:rsid w:val="00CF1FF7"/>
    <w:rsid w:val="00CF2CF5"/>
    <w:rsid w:val="00CF2F41"/>
    <w:rsid w:val="00CF7F49"/>
    <w:rsid w:val="00D03B21"/>
    <w:rsid w:val="00D04BDB"/>
    <w:rsid w:val="00D141B8"/>
    <w:rsid w:val="00D142DA"/>
    <w:rsid w:val="00D252FA"/>
    <w:rsid w:val="00D30F97"/>
    <w:rsid w:val="00D313C5"/>
    <w:rsid w:val="00D32718"/>
    <w:rsid w:val="00D41FFA"/>
    <w:rsid w:val="00D60CD0"/>
    <w:rsid w:val="00D60E16"/>
    <w:rsid w:val="00D61E39"/>
    <w:rsid w:val="00D64378"/>
    <w:rsid w:val="00D75D95"/>
    <w:rsid w:val="00D81114"/>
    <w:rsid w:val="00D85218"/>
    <w:rsid w:val="00D91D5A"/>
    <w:rsid w:val="00D934DA"/>
    <w:rsid w:val="00D93E62"/>
    <w:rsid w:val="00DA24E6"/>
    <w:rsid w:val="00DA45C9"/>
    <w:rsid w:val="00DB0619"/>
    <w:rsid w:val="00DB12A8"/>
    <w:rsid w:val="00DC014C"/>
    <w:rsid w:val="00DC49D2"/>
    <w:rsid w:val="00DD004C"/>
    <w:rsid w:val="00DD5740"/>
    <w:rsid w:val="00DE18CD"/>
    <w:rsid w:val="00DF5360"/>
    <w:rsid w:val="00E02968"/>
    <w:rsid w:val="00E03D7D"/>
    <w:rsid w:val="00E1018E"/>
    <w:rsid w:val="00E13AC8"/>
    <w:rsid w:val="00E25ECC"/>
    <w:rsid w:val="00E576CD"/>
    <w:rsid w:val="00E65233"/>
    <w:rsid w:val="00E66198"/>
    <w:rsid w:val="00E71F43"/>
    <w:rsid w:val="00E724E5"/>
    <w:rsid w:val="00E7594A"/>
    <w:rsid w:val="00E75F84"/>
    <w:rsid w:val="00E774F6"/>
    <w:rsid w:val="00E77546"/>
    <w:rsid w:val="00E80F26"/>
    <w:rsid w:val="00E81B83"/>
    <w:rsid w:val="00E865E0"/>
    <w:rsid w:val="00E919BA"/>
    <w:rsid w:val="00E938E3"/>
    <w:rsid w:val="00E94004"/>
    <w:rsid w:val="00E95D41"/>
    <w:rsid w:val="00EA12F5"/>
    <w:rsid w:val="00EB2208"/>
    <w:rsid w:val="00EB4830"/>
    <w:rsid w:val="00EB713A"/>
    <w:rsid w:val="00EC16C3"/>
    <w:rsid w:val="00ED11E7"/>
    <w:rsid w:val="00ED2A30"/>
    <w:rsid w:val="00EE572D"/>
    <w:rsid w:val="00EF27A6"/>
    <w:rsid w:val="00F06530"/>
    <w:rsid w:val="00F1330D"/>
    <w:rsid w:val="00F147DC"/>
    <w:rsid w:val="00F14B01"/>
    <w:rsid w:val="00F3047B"/>
    <w:rsid w:val="00F32291"/>
    <w:rsid w:val="00F359D3"/>
    <w:rsid w:val="00F37751"/>
    <w:rsid w:val="00F43E6F"/>
    <w:rsid w:val="00F46BBF"/>
    <w:rsid w:val="00F52187"/>
    <w:rsid w:val="00F57057"/>
    <w:rsid w:val="00F57183"/>
    <w:rsid w:val="00F70607"/>
    <w:rsid w:val="00F70D34"/>
    <w:rsid w:val="00F72892"/>
    <w:rsid w:val="00F730B1"/>
    <w:rsid w:val="00F80406"/>
    <w:rsid w:val="00F80547"/>
    <w:rsid w:val="00F80A93"/>
    <w:rsid w:val="00F95790"/>
    <w:rsid w:val="00F9769A"/>
    <w:rsid w:val="00F97FBC"/>
    <w:rsid w:val="00FA157B"/>
    <w:rsid w:val="00FA31A6"/>
    <w:rsid w:val="00FA4759"/>
    <w:rsid w:val="00FA5094"/>
    <w:rsid w:val="00FA7D39"/>
    <w:rsid w:val="00FC6EAF"/>
    <w:rsid w:val="00FD65F9"/>
    <w:rsid w:val="00FF251D"/>
    <w:rsid w:val="00FF2B23"/>
    <w:rsid w:val="00FF5A7B"/>
    <w:rsid w:val="496CD689"/>
    <w:rsid w:val="4DBB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18899705-D8E6-4987-BD29-CC096F11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EA"/>
    <w:pPr>
      <w:pBdr>
        <w:bottom w:val="single" w:sz="18" w:space="1" w:color="007DA3"/>
      </w:pBdr>
      <w:spacing w:after="12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9A6"/>
    <w:pPr>
      <w:keepNext/>
      <w:keepLines/>
      <w:spacing w:before="80" w:after="40"/>
      <w:outlineLvl w:val="1"/>
    </w:pPr>
    <w:rPr>
      <w:b/>
      <w:bCs/>
      <w:color w:val="007D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440EFD"/>
    <w:pPr>
      <w:numPr>
        <w:numId w:val="27"/>
      </w:numPr>
      <w:spacing w:after="60"/>
      <w:ind w:left="360"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C32EA"/>
    <w:rPr>
      <w:rFonts w:cstheme="minorHAns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09A6"/>
    <w:rPr>
      <w:rFonts w:cstheme="minorHAnsi"/>
      <w:b/>
      <w:bCs/>
      <w:color w:val="007DA3"/>
    </w:rPr>
  </w:style>
  <w:style w:type="paragraph" w:styleId="Title">
    <w:name w:val="Title"/>
    <w:basedOn w:val="Header"/>
    <w:next w:val="Normal"/>
    <w:link w:val="TitleChar"/>
    <w:uiPriority w:val="10"/>
    <w:qFormat/>
    <w:rsid w:val="00F97FBC"/>
    <w:pPr>
      <w:tabs>
        <w:tab w:val="clear" w:pos="4680"/>
        <w:tab w:val="clear" w:pos="9360"/>
        <w:tab w:val="center" w:pos="5400"/>
        <w:tab w:val="left" w:pos="8100"/>
        <w:tab w:val="right" w:pos="10800"/>
      </w:tabs>
      <w:spacing w:before="120"/>
      <w:ind w:left="14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FBC"/>
    <w:rPr>
      <w:rFonts w:cstheme="minorHAnsi"/>
      <w:b/>
      <w:bCs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paragraph" w:styleId="Revision">
    <w:name w:val="Revision"/>
    <w:hidden/>
    <w:uiPriority w:val="99"/>
    <w:semiHidden/>
    <w:rsid w:val="00911EC1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6B0E2-2AF5-4317-94EC-EC863007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0F6C5-9DAA-4F78-8A23-78B1B9F09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94</cp:revision>
  <dcterms:created xsi:type="dcterms:W3CDTF">2024-07-14T03:31:00Z</dcterms:created>
  <dcterms:modified xsi:type="dcterms:W3CDTF">2024-10-16T01:32:00Z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