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803F" w14:textId="3BB472FF" w:rsidR="002A418E" w:rsidRPr="00E36E18" w:rsidRDefault="0094631F" w:rsidP="002B3E87">
      <w:pPr>
        <w:pStyle w:val="Heading1"/>
        <w:jc w:val="center"/>
        <w:rPr>
          <w:rFonts w:ascii="Arial" w:hAnsi="Arial" w:cs="Arial"/>
          <w:color w:val="000000" w:themeColor="text1"/>
          <w:sz w:val="32"/>
          <w:szCs w:val="32"/>
        </w:rPr>
      </w:pPr>
      <w:bookmarkStart w:id="0" w:name="_Toc391555710"/>
      <w:r>
        <w:rPr>
          <w:noProof/>
        </w:rPr>
        <w:drawing>
          <wp:anchor distT="0" distB="0" distL="114300" distR="114300" simplePos="0" relativeHeight="251658240" behindDoc="0" locked="0" layoutInCell="1" allowOverlap="1" wp14:anchorId="2B96994E" wp14:editId="34484B91">
            <wp:simplePos x="0" y="0"/>
            <wp:positionH relativeFrom="column">
              <wp:posOffset>995</wp:posOffset>
            </wp:positionH>
            <wp:positionV relativeFrom="paragraph">
              <wp:posOffset>-152399</wp:posOffset>
            </wp:positionV>
            <wp:extent cx="7798904" cy="1583916"/>
            <wp:effectExtent l="0" t="0" r="0" b="0"/>
            <wp:wrapTopAndBottom/>
            <wp:docPr id="5" name="Picture 5" descr="Nursing Home Antimicrobial Stewardship Guide Implement, Monitor, &amp; Sustain a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ursing Home Antimicrobial Stewardship Guide Implement, Monitor, &amp; Sustain a Program"/>
                    <pic:cNvPicPr/>
                  </pic:nvPicPr>
                  <pic:blipFill>
                    <a:blip r:embed="rId8">
                      <a:extLst>
                        <a:ext uri="{28A0092B-C50C-407E-A947-70E740481C1C}">
                          <a14:useLocalDpi xmlns:a14="http://schemas.microsoft.com/office/drawing/2010/main" val="0"/>
                        </a:ext>
                      </a:extLst>
                    </a:blip>
                    <a:stretch>
                      <a:fillRect/>
                    </a:stretch>
                  </pic:blipFill>
                  <pic:spPr>
                    <a:xfrm>
                      <a:off x="0" y="0"/>
                      <a:ext cx="7872979" cy="1598960"/>
                    </a:xfrm>
                    <a:prstGeom prst="rect">
                      <a:avLst/>
                    </a:prstGeom>
                  </pic:spPr>
                </pic:pic>
              </a:graphicData>
            </a:graphic>
            <wp14:sizeRelH relativeFrom="margin">
              <wp14:pctWidth>0</wp14:pctWidth>
            </wp14:sizeRelH>
            <wp14:sizeRelV relativeFrom="margin">
              <wp14:pctHeight>0</wp14:pctHeight>
            </wp14:sizeRelV>
          </wp:anchor>
        </w:drawing>
      </w:r>
      <w:r w:rsidR="002A418E" w:rsidRPr="00E36E18">
        <w:rPr>
          <w:rFonts w:ascii="Arial" w:hAnsi="Arial" w:cs="Arial"/>
          <w:color w:val="000000" w:themeColor="text1"/>
          <w:sz w:val="32"/>
          <w:szCs w:val="32"/>
        </w:rPr>
        <w:t>Toolkit 1. Start an Antimicrobial Stewardship Program</w:t>
      </w:r>
    </w:p>
    <w:p w14:paraId="178758DD" w14:textId="219B34E9" w:rsidR="00340931" w:rsidRPr="00D122B6" w:rsidRDefault="00340931" w:rsidP="00340931">
      <w:pPr>
        <w:pStyle w:val="Heading1"/>
      </w:pPr>
      <w:r w:rsidRPr="00D122B6">
        <w:t>Tool 1. Gather a Team</w:t>
      </w:r>
      <w:bookmarkEnd w:id="0"/>
    </w:p>
    <w:p w14:paraId="178758DE" w14:textId="77777777" w:rsidR="00340931" w:rsidRPr="00531B83" w:rsidRDefault="00340931" w:rsidP="00340931">
      <w:pPr>
        <w:pStyle w:val="NHASListLevel1numbered"/>
        <w:tabs>
          <w:tab w:val="clear" w:pos="360"/>
        </w:tabs>
        <w:ind w:left="360" w:hanging="360"/>
        <w:rPr>
          <w:rFonts w:ascii="Arial" w:hAnsi="Arial" w:cs="Arial"/>
          <w:sz w:val="22"/>
        </w:rPr>
      </w:pPr>
      <w:r w:rsidRPr="00531B83">
        <w:rPr>
          <w:rFonts w:ascii="Arial" w:hAnsi="Arial" w:cs="Arial"/>
          <w:b/>
          <w:sz w:val="22"/>
        </w:rPr>
        <w:t xml:space="preserve">Choose members to serve on the antimicrobial stewardship program team. </w:t>
      </w:r>
      <w:r w:rsidRPr="00531B83">
        <w:rPr>
          <w:rFonts w:ascii="Arial" w:hAnsi="Arial" w:cs="Arial"/>
          <w:sz w:val="22"/>
        </w:rPr>
        <w:t xml:space="preserve">Depending on the size of the nursing home, the team may be very small (two or three members) or large (five or six members). At a minimum, the antimicrobial stewardship program team should include several individuals with different responsibilities in the nursing home, such as charge nurses, the director of nursing, the assistant director of nursing, the medical director, the infection preventionist, and possibly an information technology staff member (if the home uses electronic health records). If possible, include outside consultants such as a consultant pharmacist, prescribing clinician, and/or resident or family representative. Staff may already consult with these individuals and developing new relationships may not be required to start a program. Including nursing home leadership will help the program receive adequate support and </w:t>
      </w:r>
      <w:proofErr w:type="gramStart"/>
      <w:r w:rsidRPr="00531B83">
        <w:rPr>
          <w:rFonts w:ascii="Arial" w:hAnsi="Arial" w:cs="Arial"/>
          <w:sz w:val="22"/>
        </w:rPr>
        <w:t>attention, and</w:t>
      </w:r>
      <w:proofErr w:type="gramEnd"/>
      <w:r w:rsidRPr="00531B83">
        <w:rPr>
          <w:rFonts w:ascii="Arial" w:hAnsi="Arial" w:cs="Arial"/>
          <w:sz w:val="22"/>
        </w:rPr>
        <w:t xml:space="preserve"> improve the likelihood that it will succeed.</w:t>
      </w:r>
    </w:p>
    <w:p w14:paraId="178758DF" w14:textId="77777777" w:rsidR="00340931" w:rsidRPr="00531B83" w:rsidRDefault="00340931" w:rsidP="00340931">
      <w:pPr>
        <w:pStyle w:val="NHASListLevel1numbered"/>
        <w:tabs>
          <w:tab w:val="clear" w:pos="360"/>
        </w:tabs>
        <w:spacing w:after="120"/>
        <w:ind w:left="360" w:hanging="360"/>
        <w:rPr>
          <w:rFonts w:ascii="Arial" w:hAnsi="Arial" w:cs="Arial"/>
          <w:sz w:val="22"/>
        </w:rPr>
      </w:pPr>
      <w:r w:rsidRPr="00531B83">
        <w:rPr>
          <w:rFonts w:ascii="Arial" w:hAnsi="Arial" w:cs="Arial"/>
          <w:b/>
          <w:sz w:val="22"/>
        </w:rPr>
        <w:t>Familiarize the team with antimicrobial stewardship.</w:t>
      </w:r>
      <w:r w:rsidRPr="00531B83">
        <w:rPr>
          <w:rFonts w:ascii="Arial" w:hAnsi="Arial" w:cs="Arial"/>
          <w:sz w:val="22"/>
        </w:rPr>
        <w:t xml:space="preserve"> It is likely that many staff may be new to antimicrobial stewardship. The team must learn about antimicrobial stewardship and understand why it is important. There are many online resources that team members can review. The Centers for Disease Control and Prevention (CDC) Web site is a good place to start and includes links to many relevant resources, including the following:</w:t>
      </w:r>
    </w:p>
    <w:p w14:paraId="178758E0" w14:textId="79EB340A" w:rsidR="00340931" w:rsidRPr="00531B83" w:rsidRDefault="002B3E87" w:rsidP="00340931">
      <w:pPr>
        <w:pStyle w:val="NHASListLevel2-letters"/>
        <w:tabs>
          <w:tab w:val="clear" w:pos="360"/>
        </w:tabs>
        <w:rPr>
          <w:rFonts w:ascii="Arial" w:hAnsi="Arial" w:cs="Arial"/>
          <w:sz w:val="22"/>
        </w:rPr>
      </w:pPr>
      <w:hyperlink r:id="rId9" w:history="1">
        <w:r w:rsidR="00340931" w:rsidRPr="00531B83">
          <w:rPr>
            <w:rStyle w:val="Hyperlink"/>
            <w:rFonts w:ascii="Arial" w:hAnsi="Arial" w:cs="Arial"/>
            <w:sz w:val="22"/>
          </w:rPr>
          <w:t>CDC’s Core Elements of Antibiotic Stewardship in Nursing Homes</w:t>
        </w:r>
      </w:hyperlink>
    </w:p>
    <w:p w14:paraId="178758E1" w14:textId="3221E145" w:rsidR="00340931" w:rsidRPr="00531B83" w:rsidRDefault="002B3E87" w:rsidP="00340931">
      <w:pPr>
        <w:pStyle w:val="NHASListLevel2-letters"/>
        <w:tabs>
          <w:tab w:val="clear" w:pos="360"/>
        </w:tabs>
        <w:rPr>
          <w:rFonts w:ascii="Arial" w:hAnsi="Arial" w:cs="Arial"/>
          <w:sz w:val="22"/>
        </w:rPr>
      </w:pPr>
      <w:hyperlink r:id="rId10" w:history="1">
        <w:r w:rsidR="00340931" w:rsidRPr="00531B83">
          <w:rPr>
            <w:rStyle w:val="Hyperlink"/>
            <w:rFonts w:ascii="Arial" w:hAnsi="Arial" w:cs="Arial"/>
            <w:sz w:val="22"/>
          </w:rPr>
          <w:t>CDC’s About Antimicrobial Resistance</w:t>
        </w:r>
      </w:hyperlink>
    </w:p>
    <w:p w14:paraId="178758E3" w14:textId="63A7C712" w:rsidR="00340931" w:rsidRPr="00531B83" w:rsidRDefault="002B3E87" w:rsidP="00340931">
      <w:pPr>
        <w:pStyle w:val="NHASListLevel2-letters"/>
        <w:tabs>
          <w:tab w:val="clear" w:pos="360"/>
        </w:tabs>
        <w:rPr>
          <w:rFonts w:ascii="Arial" w:hAnsi="Arial" w:cs="Arial"/>
          <w:sz w:val="22"/>
        </w:rPr>
      </w:pPr>
      <w:hyperlink r:id="rId11" w:history="1">
        <w:r w:rsidR="00340931" w:rsidRPr="00531B83">
          <w:rPr>
            <w:rStyle w:val="Hyperlink"/>
            <w:rFonts w:ascii="Arial" w:hAnsi="Arial" w:cs="Arial"/>
            <w:sz w:val="22"/>
          </w:rPr>
          <w:t>CDC’s Antibiotic Resistance Threats in the United States</w:t>
        </w:r>
      </w:hyperlink>
    </w:p>
    <w:p w14:paraId="178758E4" w14:textId="77777777" w:rsidR="00340931" w:rsidRPr="00531B83" w:rsidRDefault="00340931" w:rsidP="00340931">
      <w:pPr>
        <w:pStyle w:val="NHASListLevel2-letters"/>
        <w:numPr>
          <w:ilvl w:val="0"/>
          <w:numId w:val="0"/>
        </w:numPr>
        <w:spacing w:after="0"/>
        <w:ind w:left="360"/>
        <w:rPr>
          <w:rStyle w:val="Hyperlink"/>
          <w:rFonts w:ascii="Arial" w:hAnsi="Arial" w:cs="Arial"/>
          <w:b/>
          <w:color w:val="auto"/>
          <w:sz w:val="22"/>
        </w:rPr>
      </w:pPr>
    </w:p>
    <w:p w14:paraId="178758E6" w14:textId="24DE1E63" w:rsidR="00340931" w:rsidRPr="00531B83" w:rsidRDefault="00340931" w:rsidP="00340931">
      <w:pPr>
        <w:pStyle w:val="NHASListLevel1numbered"/>
        <w:numPr>
          <w:ilvl w:val="0"/>
          <w:numId w:val="0"/>
        </w:numPr>
        <w:ind w:left="360"/>
        <w:rPr>
          <w:rFonts w:ascii="Arial" w:hAnsi="Arial" w:cs="Arial"/>
          <w:sz w:val="22"/>
        </w:rPr>
      </w:pPr>
      <w:r w:rsidRPr="00531B83">
        <w:rPr>
          <w:rFonts w:ascii="Arial" w:hAnsi="Arial" w:cs="Arial"/>
          <w:sz w:val="22"/>
        </w:rPr>
        <w:t>A bibliography of journal articles is also provided below.</w:t>
      </w:r>
    </w:p>
    <w:p w14:paraId="178758E7" w14:textId="77777777" w:rsidR="00340931" w:rsidRPr="00531B83" w:rsidRDefault="00340931" w:rsidP="00340931">
      <w:pPr>
        <w:pStyle w:val="NHASListLevel1numbered"/>
        <w:tabs>
          <w:tab w:val="clear" w:pos="360"/>
        </w:tabs>
        <w:spacing w:after="120"/>
        <w:ind w:left="360" w:hanging="360"/>
        <w:rPr>
          <w:rFonts w:ascii="Arial" w:hAnsi="Arial" w:cs="Arial"/>
          <w:sz w:val="22"/>
        </w:rPr>
      </w:pPr>
      <w:r w:rsidRPr="00531B83">
        <w:rPr>
          <w:rFonts w:ascii="Arial" w:hAnsi="Arial" w:cs="Arial"/>
          <w:b/>
          <w:sz w:val="22"/>
        </w:rPr>
        <w:t>Appoint two champions to promote the importance of an antimicrobial stewardship program in the nursing home</w:t>
      </w:r>
      <w:r w:rsidRPr="00531B83">
        <w:rPr>
          <w:rFonts w:ascii="Arial" w:hAnsi="Arial" w:cs="Arial"/>
          <w:sz w:val="22"/>
        </w:rPr>
        <w:t xml:space="preserve">. These individuals should </w:t>
      </w:r>
      <w:r w:rsidRPr="00531B83">
        <w:rPr>
          <w:rFonts w:ascii="Arial" w:hAnsi="Arial" w:cs="Arial"/>
          <w:color w:val="000000"/>
          <w:sz w:val="22"/>
        </w:rPr>
        <w:t xml:space="preserve">lead the effort and be responsible for program outcomes. Two champions are recommended to increase the chance that the antimicrobial stewardship program always has a leader through periods of staff change. </w:t>
      </w:r>
      <w:r w:rsidRPr="00531B83">
        <w:rPr>
          <w:rFonts w:ascii="Arial" w:hAnsi="Arial" w:cs="Arial"/>
          <w:sz w:val="22"/>
        </w:rPr>
        <w:t>These champions should have the following qualities:</w:t>
      </w:r>
    </w:p>
    <w:p w14:paraId="178758E8" w14:textId="77777777" w:rsidR="00340931" w:rsidRPr="00531B83" w:rsidRDefault="00340931" w:rsidP="00340931">
      <w:pPr>
        <w:pStyle w:val="NHASListLevel2-letters"/>
        <w:tabs>
          <w:tab w:val="clear" w:pos="360"/>
        </w:tabs>
        <w:rPr>
          <w:rFonts w:ascii="Arial" w:hAnsi="Arial" w:cs="Arial"/>
          <w:sz w:val="22"/>
        </w:rPr>
      </w:pPr>
      <w:r w:rsidRPr="00531B83">
        <w:rPr>
          <w:rFonts w:ascii="Arial" w:hAnsi="Arial" w:cs="Arial"/>
          <w:sz w:val="22"/>
        </w:rPr>
        <w:t>A basic knowledge of antibiotics</w:t>
      </w:r>
    </w:p>
    <w:p w14:paraId="178758E9" w14:textId="77777777" w:rsidR="00340931" w:rsidRPr="00531B83" w:rsidRDefault="00340931" w:rsidP="00340931">
      <w:pPr>
        <w:pStyle w:val="NHASListLevel2-letters"/>
        <w:tabs>
          <w:tab w:val="clear" w:pos="360"/>
        </w:tabs>
        <w:rPr>
          <w:rFonts w:ascii="Arial" w:hAnsi="Arial" w:cs="Arial"/>
          <w:sz w:val="22"/>
        </w:rPr>
      </w:pPr>
      <w:r w:rsidRPr="00531B83">
        <w:rPr>
          <w:rFonts w:ascii="Arial" w:hAnsi="Arial" w:cs="Arial"/>
          <w:sz w:val="22"/>
        </w:rPr>
        <w:t xml:space="preserve">An interest in playing a leadership role in the nursing </w:t>
      </w:r>
      <w:proofErr w:type="gramStart"/>
      <w:r w:rsidRPr="00531B83">
        <w:rPr>
          <w:rFonts w:ascii="Arial" w:hAnsi="Arial" w:cs="Arial"/>
          <w:sz w:val="22"/>
        </w:rPr>
        <w:t>home</w:t>
      </w:r>
      <w:proofErr w:type="gramEnd"/>
    </w:p>
    <w:p w14:paraId="178758EA" w14:textId="77777777" w:rsidR="00340931" w:rsidRPr="00531B83" w:rsidRDefault="00340931" w:rsidP="00340931">
      <w:pPr>
        <w:pStyle w:val="NHASListLevel2-letters"/>
        <w:tabs>
          <w:tab w:val="clear" w:pos="360"/>
        </w:tabs>
        <w:rPr>
          <w:rFonts w:ascii="Arial" w:hAnsi="Arial" w:cs="Arial"/>
          <w:sz w:val="22"/>
        </w:rPr>
      </w:pPr>
      <w:r w:rsidRPr="00531B83">
        <w:rPr>
          <w:rFonts w:ascii="Arial" w:hAnsi="Arial" w:cs="Arial"/>
          <w:sz w:val="22"/>
        </w:rPr>
        <w:t>The respect of his or her peers</w:t>
      </w:r>
    </w:p>
    <w:p w14:paraId="178758EB" w14:textId="77777777" w:rsidR="00340931" w:rsidRPr="00531B83" w:rsidRDefault="00340931" w:rsidP="00340931">
      <w:pPr>
        <w:pStyle w:val="NHASListLevel2-letters"/>
        <w:tabs>
          <w:tab w:val="clear" w:pos="360"/>
        </w:tabs>
        <w:rPr>
          <w:rFonts w:ascii="Arial" w:hAnsi="Arial" w:cs="Arial"/>
          <w:sz w:val="22"/>
        </w:rPr>
      </w:pPr>
      <w:r w:rsidRPr="00531B83">
        <w:rPr>
          <w:rFonts w:ascii="Arial" w:hAnsi="Arial" w:cs="Arial"/>
          <w:sz w:val="22"/>
        </w:rPr>
        <w:t>An understanding of how to be a good team player</w:t>
      </w:r>
    </w:p>
    <w:p w14:paraId="178758EC" w14:textId="77777777" w:rsidR="00E32D5F" w:rsidRPr="00531B83" w:rsidRDefault="00340931" w:rsidP="00340931">
      <w:pPr>
        <w:pStyle w:val="NHASListLevel2-letters"/>
        <w:tabs>
          <w:tab w:val="clear" w:pos="360"/>
        </w:tabs>
        <w:rPr>
          <w:rFonts w:ascii="Arial" w:hAnsi="Arial" w:cs="Arial"/>
          <w:sz w:val="22"/>
        </w:rPr>
      </w:pPr>
      <w:r w:rsidRPr="00531B83">
        <w:rPr>
          <w:rFonts w:ascii="Arial" w:hAnsi="Arial" w:cs="Arial"/>
          <w:sz w:val="22"/>
        </w:rPr>
        <w:t>An understanding of the importance of improving antibiotic use in nursing homes</w:t>
      </w:r>
    </w:p>
    <w:p w14:paraId="178758ED" w14:textId="77777777" w:rsidR="00340931" w:rsidRPr="00531B83" w:rsidRDefault="00340931" w:rsidP="00340931">
      <w:pPr>
        <w:pStyle w:val="NHASListLevel1numbered"/>
        <w:tabs>
          <w:tab w:val="clear" w:pos="360"/>
        </w:tabs>
        <w:spacing w:after="120"/>
        <w:ind w:left="360" w:hanging="360"/>
        <w:rPr>
          <w:rFonts w:ascii="Arial" w:hAnsi="Arial" w:cs="Arial"/>
          <w:sz w:val="22"/>
        </w:rPr>
      </w:pPr>
      <w:r w:rsidRPr="00531B83">
        <w:rPr>
          <w:rFonts w:ascii="Arial" w:hAnsi="Arial" w:cs="Arial"/>
          <w:b/>
          <w:sz w:val="22"/>
        </w:rPr>
        <w:lastRenderedPageBreak/>
        <w:t>Assign initial roles and responsibilities.</w:t>
      </w:r>
      <w:r w:rsidRPr="00531B83">
        <w:rPr>
          <w:rFonts w:ascii="Arial" w:hAnsi="Arial" w:cs="Arial"/>
          <w:sz w:val="22"/>
        </w:rPr>
        <w:t xml:space="preserve"> Assign roles and responsibilities within the team for initial tasks like scheduling meetings and conducting the readiness assessment, as well as long-term tasks like monitoring the program. Suggested roles include:</w:t>
      </w:r>
    </w:p>
    <w:p w14:paraId="178758EE" w14:textId="77777777" w:rsidR="00340931" w:rsidRPr="00531B83" w:rsidRDefault="00340931" w:rsidP="00340931">
      <w:pPr>
        <w:pStyle w:val="NHASListLevel2-letters"/>
        <w:tabs>
          <w:tab w:val="clear" w:pos="360"/>
        </w:tabs>
        <w:rPr>
          <w:rFonts w:ascii="Arial" w:hAnsi="Arial" w:cs="Arial"/>
          <w:sz w:val="22"/>
        </w:rPr>
      </w:pPr>
      <w:r w:rsidRPr="00531B83">
        <w:rPr>
          <w:rFonts w:ascii="Arial" w:hAnsi="Arial" w:cs="Arial"/>
          <w:sz w:val="22"/>
        </w:rPr>
        <w:t>Champions: develop agendas and policies, lead training, provide leadership and support</w:t>
      </w:r>
    </w:p>
    <w:p w14:paraId="178758EF" w14:textId="77777777" w:rsidR="00340931" w:rsidRPr="00531B83" w:rsidRDefault="00340931" w:rsidP="00340931">
      <w:pPr>
        <w:pStyle w:val="NHASListLevel2-letters"/>
        <w:tabs>
          <w:tab w:val="clear" w:pos="360"/>
        </w:tabs>
        <w:rPr>
          <w:rFonts w:ascii="Arial" w:hAnsi="Arial" w:cs="Arial"/>
          <w:sz w:val="22"/>
        </w:rPr>
      </w:pPr>
      <w:r w:rsidRPr="00531B83">
        <w:rPr>
          <w:rFonts w:ascii="Arial" w:hAnsi="Arial" w:cs="Arial"/>
          <w:sz w:val="22"/>
        </w:rPr>
        <w:t xml:space="preserve">Stewardship staff: Help develop training, review use of tools, remind staff to use tools, help solve problems with </w:t>
      </w:r>
      <w:proofErr w:type="gramStart"/>
      <w:r w:rsidRPr="00531B83">
        <w:rPr>
          <w:rFonts w:ascii="Arial" w:hAnsi="Arial" w:cs="Arial"/>
          <w:sz w:val="22"/>
        </w:rPr>
        <w:t>implementation</w:t>
      </w:r>
      <w:proofErr w:type="gramEnd"/>
    </w:p>
    <w:p w14:paraId="178758F0" w14:textId="77777777" w:rsidR="00340931" w:rsidRPr="00531B83" w:rsidRDefault="00340931" w:rsidP="00340931">
      <w:pPr>
        <w:pStyle w:val="NHASListLevel2-letters"/>
        <w:tabs>
          <w:tab w:val="clear" w:pos="360"/>
        </w:tabs>
        <w:spacing w:after="120"/>
        <w:rPr>
          <w:rFonts w:ascii="Arial" w:hAnsi="Arial" w:cs="Arial"/>
          <w:sz w:val="22"/>
        </w:rPr>
      </w:pPr>
      <w:r w:rsidRPr="00531B83">
        <w:rPr>
          <w:rFonts w:ascii="Arial" w:hAnsi="Arial" w:cs="Arial"/>
          <w:sz w:val="22"/>
        </w:rPr>
        <w:t xml:space="preserve">Monitoring staff: Abstract data for monitoring, develop findings and communicate </w:t>
      </w:r>
      <w:proofErr w:type="gramStart"/>
      <w:r w:rsidRPr="00531B83">
        <w:rPr>
          <w:rFonts w:ascii="Arial" w:hAnsi="Arial" w:cs="Arial"/>
          <w:sz w:val="22"/>
        </w:rPr>
        <w:t>them</w:t>
      </w:r>
      <w:proofErr w:type="gramEnd"/>
    </w:p>
    <w:p w14:paraId="178758F1" w14:textId="77777777" w:rsidR="00833CE3" w:rsidRPr="00531B83" w:rsidRDefault="00340931" w:rsidP="00340931">
      <w:pPr>
        <w:pStyle w:val="NHASListLevel1numbered"/>
        <w:numPr>
          <w:ilvl w:val="0"/>
          <w:numId w:val="0"/>
        </w:numPr>
        <w:ind w:left="360"/>
        <w:rPr>
          <w:rFonts w:ascii="Arial" w:hAnsi="Arial" w:cs="Arial"/>
          <w:sz w:val="22"/>
        </w:rPr>
      </w:pPr>
      <w:r w:rsidRPr="00531B83">
        <w:rPr>
          <w:rFonts w:ascii="Arial" w:hAnsi="Arial" w:cs="Arial"/>
          <w:sz w:val="22"/>
        </w:rPr>
        <w:t>Tool 2 provides further suggestions and can be used to track assigned roles and responsibilities.</w:t>
      </w:r>
    </w:p>
    <w:p w14:paraId="178758F2" w14:textId="77777777" w:rsidR="00340931" w:rsidRPr="00B403F9" w:rsidRDefault="00340931" w:rsidP="00340931">
      <w:pPr>
        <w:pStyle w:val="NHASListLevel1numbered"/>
        <w:numPr>
          <w:ilvl w:val="0"/>
          <w:numId w:val="0"/>
        </w:numPr>
        <w:ind w:left="360"/>
        <w:rPr>
          <w:rFonts w:ascii="Arial" w:hAnsi="Arial" w:cs="Arial"/>
        </w:rPr>
        <w:sectPr w:rsidR="00340931" w:rsidRPr="00B403F9" w:rsidSect="0014676E">
          <w:headerReference w:type="even" r:id="rId12"/>
          <w:headerReference w:type="default" r:id="rId13"/>
          <w:footerReference w:type="default" r:id="rId14"/>
          <w:headerReference w:type="first" r:id="rId15"/>
          <w:pgSz w:w="12240" w:h="15840"/>
          <w:pgMar w:top="1440" w:right="1440" w:bottom="1440" w:left="1440" w:header="720" w:footer="648" w:gutter="0"/>
          <w:cols w:space="720"/>
          <w:docGrid w:linePitch="360"/>
        </w:sectPr>
      </w:pPr>
    </w:p>
    <w:p w14:paraId="178758F3" w14:textId="77777777" w:rsidR="00340931" w:rsidRPr="00B403F9" w:rsidRDefault="00340931" w:rsidP="00340931">
      <w:pPr>
        <w:pStyle w:val="Heading2"/>
        <w:spacing w:before="240" w:after="120"/>
        <w:rPr>
          <w:rFonts w:ascii="Arial" w:eastAsia="Calibri" w:hAnsi="Arial" w:cs="Arial"/>
          <w:bCs w:val="0"/>
          <w:color w:val="auto"/>
          <w:sz w:val="22"/>
          <w:szCs w:val="22"/>
          <w:u w:val="single"/>
        </w:rPr>
      </w:pPr>
      <w:r w:rsidRPr="00B403F9">
        <w:rPr>
          <w:rFonts w:ascii="Arial" w:eastAsia="Calibri" w:hAnsi="Arial" w:cs="Arial"/>
          <w:bCs w:val="0"/>
          <w:color w:val="auto"/>
          <w:sz w:val="22"/>
          <w:szCs w:val="22"/>
          <w:u w:val="single"/>
        </w:rPr>
        <w:lastRenderedPageBreak/>
        <w:t>Bibliography</w:t>
      </w:r>
    </w:p>
    <w:p w14:paraId="178758F4" w14:textId="77777777" w:rsidR="00340931" w:rsidRPr="00531B83" w:rsidRDefault="00340931" w:rsidP="00340931">
      <w:pPr>
        <w:pStyle w:val="BodyText"/>
        <w:rPr>
          <w:rFonts w:ascii="Arial" w:hAnsi="Arial" w:cs="Arial"/>
          <w:sz w:val="22"/>
          <w:szCs w:val="22"/>
        </w:rPr>
      </w:pPr>
      <w:proofErr w:type="spellStart"/>
      <w:r w:rsidRPr="00531B83">
        <w:rPr>
          <w:rFonts w:ascii="Arial" w:hAnsi="Arial" w:cs="Arial"/>
          <w:sz w:val="22"/>
          <w:szCs w:val="22"/>
        </w:rPr>
        <w:t>Crnich</w:t>
      </w:r>
      <w:proofErr w:type="spellEnd"/>
      <w:r w:rsidRPr="00531B83">
        <w:rPr>
          <w:rFonts w:ascii="Arial" w:hAnsi="Arial" w:cs="Arial"/>
          <w:sz w:val="22"/>
          <w:szCs w:val="22"/>
        </w:rPr>
        <w:t xml:space="preserve"> CJ, </w:t>
      </w:r>
      <w:proofErr w:type="spellStart"/>
      <w:r w:rsidRPr="00531B83">
        <w:rPr>
          <w:rFonts w:ascii="Arial" w:hAnsi="Arial" w:cs="Arial"/>
          <w:sz w:val="22"/>
          <w:szCs w:val="22"/>
        </w:rPr>
        <w:t>Drinka</w:t>
      </w:r>
      <w:proofErr w:type="spellEnd"/>
      <w:r w:rsidRPr="00531B83">
        <w:rPr>
          <w:rFonts w:ascii="Arial" w:hAnsi="Arial" w:cs="Arial"/>
          <w:sz w:val="22"/>
          <w:szCs w:val="22"/>
        </w:rPr>
        <w:t xml:space="preserve"> P. </w:t>
      </w:r>
      <w:hyperlink r:id="rId16" w:history="1">
        <w:r w:rsidRPr="00531B83">
          <w:rPr>
            <w:rStyle w:val="Hyperlink"/>
            <w:rFonts w:ascii="Arial" w:hAnsi="Arial" w:cs="Arial"/>
            <w:sz w:val="22"/>
            <w:szCs w:val="22"/>
          </w:rPr>
          <w:t>Improving the management of urinary tract infections in nursing homes: it’s time to stop the tail from wagging the dog</w:t>
        </w:r>
      </w:hyperlink>
      <w:r w:rsidRPr="00531B83">
        <w:rPr>
          <w:rFonts w:ascii="Arial" w:hAnsi="Arial" w:cs="Arial"/>
          <w:sz w:val="22"/>
          <w:szCs w:val="22"/>
        </w:rPr>
        <w:t xml:space="preserve">. Ann </w:t>
      </w:r>
      <w:proofErr w:type="spellStart"/>
      <w:r w:rsidRPr="00531B83">
        <w:rPr>
          <w:rFonts w:ascii="Arial" w:hAnsi="Arial" w:cs="Arial"/>
          <w:sz w:val="22"/>
          <w:szCs w:val="22"/>
        </w:rPr>
        <w:t>Longterm</w:t>
      </w:r>
      <w:proofErr w:type="spellEnd"/>
      <w:r w:rsidRPr="00531B83">
        <w:rPr>
          <w:rFonts w:ascii="Arial" w:hAnsi="Arial" w:cs="Arial"/>
          <w:sz w:val="22"/>
          <w:szCs w:val="22"/>
        </w:rPr>
        <w:t xml:space="preserve"> Care 22(9).</w:t>
      </w:r>
    </w:p>
    <w:p w14:paraId="178758F5" w14:textId="77777777" w:rsidR="00340931" w:rsidRPr="00531B83" w:rsidRDefault="00340931" w:rsidP="00340931">
      <w:pPr>
        <w:pStyle w:val="BodyText"/>
        <w:rPr>
          <w:rFonts w:ascii="Arial" w:hAnsi="Arial" w:cs="Arial"/>
          <w:sz w:val="22"/>
          <w:szCs w:val="22"/>
        </w:rPr>
      </w:pPr>
      <w:proofErr w:type="spellStart"/>
      <w:r w:rsidRPr="00531B83">
        <w:rPr>
          <w:rFonts w:ascii="Arial" w:hAnsi="Arial" w:cs="Arial"/>
          <w:sz w:val="22"/>
          <w:szCs w:val="22"/>
        </w:rPr>
        <w:t>Crnich</w:t>
      </w:r>
      <w:proofErr w:type="spellEnd"/>
      <w:r w:rsidRPr="00531B83">
        <w:rPr>
          <w:rFonts w:ascii="Arial" w:hAnsi="Arial" w:cs="Arial"/>
          <w:sz w:val="22"/>
          <w:szCs w:val="22"/>
        </w:rPr>
        <w:t xml:space="preserve"> CJ, Duster M, Hess T, et al. </w:t>
      </w:r>
      <w:hyperlink r:id="rId17" w:history="1">
        <w:r w:rsidRPr="00531B83">
          <w:rPr>
            <w:rStyle w:val="Hyperlink"/>
            <w:rFonts w:ascii="Arial" w:hAnsi="Arial" w:cs="Arial"/>
            <w:sz w:val="22"/>
            <w:szCs w:val="22"/>
          </w:rPr>
          <w:t>Antibiotic resistance in non-major metropolitan skilled nursing facilities: prevalence and interfacility variation</w:t>
        </w:r>
      </w:hyperlink>
      <w:r w:rsidRPr="00531B83">
        <w:rPr>
          <w:rFonts w:ascii="Arial" w:hAnsi="Arial" w:cs="Arial"/>
          <w:sz w:val="22"/>
          <w:szCs w:val="22"/>
        </w:rPr>
        <w:t>. Infect Control Hosp Epidemiol. 2012 Nov;33(11):1172-4.</w:t>
      </w:r>
    </w:p>
    <w:p w14:paraId="178758F6" w14:textId="77777777" w:rsidR="00340931" w:rsidRPr="00531B83" w:rsidRDefault="00340931" w:rsidP="00340931">
      <w:pPr>
        <w:pStyle w:val="BodyText"/>
        <w:rPr>
          <w:rFonts w:ascii="Arial" w:hAnsi="Arial" w:cs="Arial"/>
          <w:sz w:val="22"/>
          <w:szCs w:val="22"/>
        </w:rPr>
      </w:pPr>
      <w:proofErr w:type="spellStart"/>
      <w:r w:rsidRPr="00531B83">
        <w:rPr>
          <w:rFonts w:ascii="Arial" w:hAnsi="Arial" w:cs="Arial"/>
          <w:sz w:val="22"/>
          <w:szCs w:val="22"/>
        </w:rPr>
        <w:t>Dellit</w:t>
      </w:r>
      <w:proofErr w:type="spellEnd"/>
      <w:r w:rsidRPr="00531B83">
        <w:rPr>
          <w:rFonts w:ascii="Arial" w:hAnsi="Arial" w:cs="Arial"/>
          <w:sz w:val="22"/>
          <w:szCs w:val="22"/>
        </w:rPr>
        <w:t xml:space="preserve"> TH, Owens RC, McGowan JE Jr, et al. </w:t>
      </w:r>
      <w:hyperlink r:id="rId18" w:history="1">
        <w:r w:rsidRPr="00531B83">
          <w:rPr>
            <w:rStyle w:val="Hyperlink"/>
            <w:rFonts w:ascii="Arial" w:hAnsi="Arial" w:cs="Arial"/>
            <w:sz w:val="22"/>
            <w:szCs w:val="22"/>
          </w:rPr>
          <w:t>Infectious Diseases Society of America and the Society for Healthcare Epidemiology of America guidelines for developing an institutional program to enhance antimicrobial stewardship</w:t>
        </w:r>
      </w:hyperlink>
      <w:r w:rsidRPr="00531B83">
        <w:rPr>
          <w:rFonts w:ascii="Arial" w:hAnsi="Arial" w:cs="Arial"/>
          <w:sz w:val="22"/>
          <w:szCs w:val="22"/>
        </w:rPr>
        <w:t>. Clin Infect Dis. 2007 Jan 15;44(2):159-77.</w:t>
      </w:r>
    </w:p>
    <w:p w14:paraId="178758F7" w14:textId="77777777" w:rsidR="00340931" w:rsidRPr="00531B83" w:rsidRDefault="00340931" w:rsidP="00340931">
      <w:pPr>
        <w:pStyle w:val="BodyText"/>
        <w:rPr>
          <w:rFonts w:ascii="Arial" w:hAnsi="Arial" w:cs="Arial"/>
          <w:sz w:val="22"/>
          <w:szCs w:val="22"/>
        </w:rPr>
      </w:pPr>
      <w:proofErr w:type="spellStart"/>
      <w:r w:rsidRPr="00531B83">
        <w:rPr>
          <w:rFonts w:ascii="Arial" w:hAnsi="Arial" w:cs="Arial"/>
          <w:sz w:val="22"/>
          <w:szCs w:val="22"/>
        </w:rPr>
        <w:t>Drinka</w:t>
      </w:r>
      <w:proofErr w:type="spellEnd"/>
      <w:r w:rsidRPr="00531B83">
        <w:rPr>
          <w:rFonts w:ascii="Arial" w:hAnsi="Arial" w:cs="Arial"/>
          <w:sz w:val="22"/>
          <w:szCs w:val="22"/>
        </w:rPr>
        <w:t xml:space="preserve"> PJ, </w:t>
      </w:r>
      <w:proofErr w:type="spellStart"/>
      <w:r w:rsidRPr="00531B83">
        <w:rPr>
          <w:rFonts w:ascii="Arial" w:hAnsi="Arial" w:cs="Arial"/>
          <w:sz w:val="22"/>
          <w:szCs w:val="22"/>
        </w:rPr>
        <w:t>Crnich</w:t>
      </w:r>
      <w:proofErr w:type="spellEnd"/>
      <w:r w:rsidRPr="00531B83">
        <w:rPr>
          <w:rFonts w:ascii="Arial" w:hAnsi="Arial" w:cs="Arial"/>
          <w:sz w:val="22"/>
          <w:szCs w:val="22"/>
        </w:rPr>
        <w:t xml:space="preserve"> CJ, </w:t>
      </w:r>
      <w:proofErr w:type="spellStart"/>
      <w:r w:rsidRPr="00531B83">
        <w:rPr>
          <w:rFonts w:ascii="Arial" w:hAnsi="Arial" w:cs="Arial"/>
          <w:sz w:val="22"/>
          <w:szCs w:val="22"/>
        </w:rPr>
        <w:t>Nace</w:t>
      </w:r>
      <w:proofErr w:type="spellEnd"/>
      <w:r w:rsidRPr="00531B83">
        <w:rPr>
          <w:rFonts w:ascii="Arial" w:hAnsi="Arial" w:cs="Arial"/>
          <w:sz w:val="22"/>
          <w:szCs w:val="22"/>
        </w:rPr>
        <w:t xml:space="preserve"> DA. </w:t>
      </w:r>
      <w:hyperlink r:id="rId19" w:history="1">
        <w:r w:rsidRPr="00531B83">
          <w:rPr>
            <w:rStyle w:val="Hyperlink"/>
            <w:rFonts w:ascii="Arial" w:hAnsi="Arial" w:cs="Arial"/>
            <w:sz w:val="22"/>
            <w:szCs w:val="22"/>
          </w:rPr>
          <w:t>An antibiotic prescription induces resistance at the individual level more than the group level</w:t>
        </w:r>
      </w:hyperlink>
      <w:r w:rsidRPr="00531B83">
        <w:rPr>
          <w:rFonts w:ascii="Arial" w:hAnsi="Arial" w:cs="Arial"/>
          <w:sz w:val="22"/>
          <w:szCs w:val="22"/>
        </w:rPr>
        <w:t>. J Am Med Dir Assoc. 2013 Sep;14(9):707-8.</w:t>
      </w:r>
    </w:p>
    <w:p w14:paraId="178758F8" w14:textId="77777777" w:rsidR="00340931" w:rsidRPr="00531B83" w:rsidRDefault="00340931" w:rsidP="00340931">
      <w:pPr>
        <w:pStyle w:val="BodyText"/>
        <w:rPr>
          <w:rFonts w:ascii="Arial" w:hAnsi="Arial" w:cs="Arial"/>
          <w:sz w:val="22"/>
          <w:szCs w:val="22"/>
        </w:rPr>
      </w:pPr>
      <w:proofErr w:type="spellStart"/>
      <w:r w:rsidRPr="00531B83">
        <w:rPr>
          <w:rFonts w:ascii="Arial" w:hAnsi="Arial" w:cs="Arial"/>
          <w:sz w:val="22"/>
          <w:szCs w:val="22"/>
        </w:rPr>
        <w:t>Drinka</w:t>
      </w:r>
      <w:proofErr w:type="spellEnd"/>
      <w:r w:rsidRPr="00531B83">
        <w:rPr>
          <w:rFonts w:ascii="Arial" w:hAnsi="Arial" w:cs="Arial"/>
          <w:sz w:val="22"/>
          <w:szCs w:val="22"/>
        </w:rPr>
        <w:t xml:space="preserve"> P, </w:t>
      </w:r>
      <w:proofErr w:type="spellStart"/>
      <w:r w:rsidRPr="00531B83">
        <w:rPr>
          <w:rFonts w:ascii="Arial" w:hAnsi="Arial" w:cs="Arial"/>
          <w:sz w:val="22"/>
          <w:szCs w:val="22"/>
        </w:rPr>
        <w:t>Podzorski</w:t>
      </w:r>
      <w:proofErr w:type="spellEnd"/>
      <w:r w:rsidRPr="00531B83">
        <w:rPr>
          <w:rFonts w:ascii="Arial" w:hAnsi="Arial" w:cs="Arial"/>
          <w:sz w:val="22"/>
          <w:szCs w:val="22"/>
        </w:rPr>
        <w:t xml:space="preserve"> RP, Griffin V, et al. </w:t>
      </w:r>
      <w:hyperlink r:id="rId20" w:history="1">
        <w:r w:rsidRPr="00531B83">
          <w:rPr>
            <w:rStyle w:val="Hyperlink"/>
            <w:rFonts w:ascii="Arial" w:hAnsi="Arial" w:cs="Arial"/>
            <w:sz w:val="22"/>
            <w:szCs w:val="22"/>
          </w:rPr>
          <w:t>Antibiogram of urinary isolates</w:t>
        </w:r>
      </w:hyperlink>
      <w:r w:rsidRPr="00531B83">
        <w:rPr>
          <w:rFonts w:ascii="Arial" w:hAnsi="Arial" w:cs="Arial"/>
          <w:sz w:val="22"/>
          <w:szCs w:val="22"/>
        </w:rPr>
        <w:t>. J Am Med Dir Assoc. 14(6):443.</w:t>
      </w:r>
    </w:p>
    <w:p w14:paraId="178758F9" w14:textId="77777777" w:rsidR="00340931" w:rsidRPr="00531B83" w:rsidRDefault="00340931" w:rsidP="00340931">
      <w:pPr>
        <w:pStyle w:val="BodyText"/>
        <w:rPr>
          <w:rFonts w:ascii="Arial" w:hAnsi="Arial" w:cs="Arial"/>
          <w:sz w:val="22"/>
          <w:szCs w:val="22"/>
        </w:rPr>
      </w:pPr>
      <w:proofErr w:type="spellStart"/>
      <w:r w:rsidRPr="00531B83">
        <w:rPr>
          <w:rFonts w:ascii="Arial" w:hAnsi="Arial" w:cs="Arial"/>
          <w:sz w:val="22"/>
          <w:szCs w:val="22"/>
        </w:rPr>
        <w:t>Gugkaeva</w:t>
      </w:r>
      <w:proofErr w:type="spellEnd"/>
      <w:r w:rsidRPr="00531B83">
        <w:rPr>
          <w:rFonts w:ascii="Arial" w:hAnsi="Arial" w:cs="Arial"/>
          <w:sz w:val="22"/>
          <w:szCs w:val="22"/>
        </w:rPr>
        <w:t xml:space="preserve"> Z, </w:t>
      </w:r>
      <w:proofErr w:type="spellStart"/>
      <w:r w:rsidRPr="00531B83">
        <w:rPr>
          <w:rFonts w:ascii="Arial" w:hAnsi="Arial" w:cs="Arial"/>
          <w:sz w:val="22"/>
          <w:szCs w:val="22"/>
        </w:rPr>
        <w:t>Franson</w:t>
      </w:r>
      <w:proofErr w:type="spellEnd"/>
      <w:r w:rsidRPr="00531B83">
        <w:rPr>
          <w:rFonts w:ascii="Arial" w:hAnsi="Arial" w:cs="Arial"/>
          <w:sz w:val="22"/>
          <w:szCs w:val="22"/>
        </w:rPr>
        <w:t xml:space="preserve"> M. </w:t>
      </w:r>
      <w:hyperlink r:id="rId21" w:history="1">
        <w:r w:rsidRPr="00531B83">
          <w:rPr>
            <w:rStyle w:val="Hyperlink"/>
            <w:rFonts w:ascii="Arial" w:hAnsi="Arial" w:cs="Arial"/>
            <w:sz w:val="22"/>
            <w:szCs w:val="22"/>
          </w:rPr>
          <w:t>Pharmacist-led model of antibiotic stewardship in a long-term care facility</w:t>
        </w:r>
      </w:hyperlink>
      <w:r w:rsidRPr="00531B83">
        <w:rPr>
          <w:rFonts w:ascii="Arial" w:hAnsi="Arial" w:cs="Arial"/>
          <w:sz w:val="22"/>
          <w:szCs w:val="22"/>
        </w:rPr>
        <w:t xml:space="preserve">. Ann </w:t>
      </w:r>
      <w:proofErr w:type="spellStart"/>
      <w:r w:rsidRPr="00531B83">
        <w:rPr>
          <w:rFonts w:ascii="Arial" w:hAnsi="Arial" w:cs="Arial"/>
          <w:sz w:val="22"/>
          <w:szCs w:val="22"/>
        </w:rPr>
        <w:t>Longterm</w:t>
      </w:r>
      <w:proofErr w:type="spellEnd"/>
      <w:r w:rsidRPr="00531B83">
        <w:rPr>
          <w:rFonts w:ascii="Arial" w:hAnsi="Arial" w:cs="Arial"/>
          <w:sz w:val="22"/>
          <w:szCs w:val="22"/>
        </w:rPr>
        <w:t xml:space="preserve"> Care. 2012;20(10):22-6.</w:t>
      </w:r>
    </w:p>
    <w:p w14:paraId="178758FA" w14:textId="77777777" w:rsidR="00340931" w:rsidRPr="00531B83" w:rsidRDefault="00340931" w:rsidP="00340931">
      <w:pPr>
        <w:pStyle w:val="BodyText"/>
        <w:rPr>
          <w:rFonts w:ascii="Arial" w:hAnsi="Arial" w:cs="Arial"/>
          <w:sz w:val="22"/>
          <w:szCs w:val="22"/>
        </w:rPr>
      </w:pPr>
      <w:r w:rsidRPr="00531B83">
        <w:rPr>
          <w:rFonts w:ascii="Arial" w:hAnsi="Arial" w:cs="Arial"/>
          <w:sz w:val="22"/>
          <w:szCs w:val="22"/>
        </w:rPr>
        <w:t xml:space="preserve">Jump RL, Olds DM, </w:t>
      </w:r>
      <w:proofErr w:type="spellStart"/>
      <w:r w:rsidRPr="00531B83">
        <w:rPr>
          <w:rFonts w:ascii="Arial" w:hAnsi="Arial" w:cs="Arial"/>
          <w:sz w:val="22"/>
          <w:szCs w:val="22"/>
        </w:rPr>
        <w:t>Seifi</w:t>
      </w:r>
      <w:proofErr w:type="spellEnd"/>
      <w:r w:rsidRPr="00531B83">
        <w:rPr>
          <w:rFonts w:ascii="Arial" w:hAnsi="Arial" w:cs="Arial"/>
          <w:sz w:val="22"/>
          <w:szCs w:val="22"/>
        </w:rPr>
        <w:t xml:space="preserve"> N, et al. </w:t>
      </w:r>
      <w:hyperlink r:id="rId22" w:history="1">
        <w:r w:rsidRPr="00531B83">
          <w:rPr>
            <w:rStyle w:val="Hyperlink"/>
            <w:rFonts w:ascii="Arial" w:hAnsi="Arial" w:cs="Arial"/>
            <w:sz w:val="22"/>
            <w:szCs w:val="22"/>
          </w:rPr>
          <w:t>Effective antimicrobial stewardship in a long-term care facility through an infectious disease consultation service: keeping a LID on antibiotic use</w:t>
        </w:r>
      </w:hyperlink>
      <w:r w:rsidRPr="00531B83">
        <w:rPr>
          <w:rFonts w:ascii="Arial" w:hAnsi="Arial" w:cs="Arial"/>
          <w:sz w:val="22"/>
          <w:szCs w:val="22"/>
        </w:rPr>
        <w:t>. Infect Control Hosp Epidemiol. 2012;33(12):1185-92.</w:t>
      </w:r>
    </w:p>
    <w:p w14:paraId="178758FB" w14:textId="77777777" w:rsidR="00340931" w:rsidRPr="00531B83" w:rsidRDefault="00340931" w:rsidP="00340931">
      <w:pPr>
        <w:pStyle w:val="BodyText"/>
        <w:rPr>
          <w:rFonts w:ascii="Arial" w:hAnsi="Arial" w:cs="Arial"/>
          <w:sz w:val="22"/>
          <w:szCs w:val="22"/>
        </w:rPr>
      </w:pPr>
      <w:proofErr w:type="spellStart"/>
      <w:r w:rsidRPr="00531B83">
        <w:rPr>
          <w:rFonts w:ascii="Arial" w:hAnsi="Arial" w:cs="Arial"/>
          <w:sz w:val="22"/>
          <w:szCs w:val="22"/>
        </w:rPr>
        <w:t>Nace</w:t>
      </w:r>
      <w:proofErr w:type="spellEnd"/>
      <w:r w:rsidRPr="00531B83">
        <w:rPr>
          <w:rFonts w:ascii="Arial" w:hAnsi="Arial" w:cs="Arial"/>
          <w:sz w:val="22"/>
          <w:szCs w:val="22"/>
        </w:rPr>
        <w:t xml:space="preserve"> DA, </w:t>
      </w:r>
      <w:proofErr w:type="spellStart"/>
      <w:r w:rsidRPr="00531B83">
        <w:rPr>
          <w:rFonts w:ascii="Arial" w:hAnsi="Arial" w:cs="Arial"/>
          <w:sz w:val="22"/>
          <w:szCs w:val="22"/>
        </w:rPr>
        <w:t>Drinka</w:t>
      </w:r>
      <w:proofErr w:type="spellEnd"/>
      <w:r w:rsidRPr="00531B83">
        <w:rPr>
          <w:rFonts w:ascii="Arial" w:hAnsi="Arial" w:cs="Arial"/>
          <w:sz w:val="22"/>
          <w:szCs w:val="22"/>
        </w:rPr>
        <w:t xml:space="preserve"> PJ, </w:t>
      </w:r>
      <w:proofErr w:type="spellStart"/>
      <w:r w:rsidRPr="00531B83">
        <w:rPr>
          <w:rFonts w:ascii="Arial" w:hAnsi="Arial" w:cs="Arial"/>
          <w:sz w:val="22"/>
          <w:szCs w:val="22"/>
        </w:rPr>
        <w:t>Crnich</w:t>
      </w:r>
      <w:proofErr w:type="spellEnd"/>
      <w:r w:rsidRPr="00531B83">
        <w:rPr>
          <w:rFonts w:ascii="Arial" w:hAnsi="Arial" w:cs="Arial"/>
          <w:sz w:val="22"/>
          <w:szCs w:val="22"/>
        </w:rPr>
        <w:t xml:space="preserve"> CJ. </w:t>
      </w:r>
      <w:hyperlink r:id="rId23" w:history="1">
        <w:r w:rsidRPr="00531B83">
          <w:rPr>
            <w:rStyle w:val="Hyperlink"/>
            <w:rFonts w:ascii="Arial" w:hAnsi="Arial" w:cs="Arial"/>
            <w:sz w:val="22"/>
            <w:szCs w:val="22"/>
          </w:rPr>
          <w:t>Clinical uncertainties in the approach to LTC residents with possible UTI</w:t>
        </w:r>
      </w:hyperlink>
      <w:r w:rsidRPr="00531B83">
        <w:rPr>
          <w:rFonts w:ascii="Arial" w:hAnsi="Arial" w:cs="Arial"/>
          <w:sz w:val="22"/>
          <w:szCs w:val="22"/>
        </w:rPr>
        <w:t>. J Am Med Dir Assoc 2014 Feb; 15: 133-139.</w:t>
      </w:r>
    </w:p>
    <w:p w14:paraId="178758FC" w14:textId="77777777" w:rsidR="00340931" w:rsidRPr="00531B83" w:rsidRDefault="00340931" w:rsidP="00340931">
      <w:pPr>
        <w:pStyle w:val="BodyText"/>
        <w:rPr>
          <w:rFonts w:ascii="Arial" w:hAnsi="Arial" w:cs="Arial"/>
          <w:sz w:val="22"/>
          <w:szCs w:val="22"/>
        </w:rPr>
      </w:pPr>
      <w:r w:rsidRPr="00531B83">
        <w:rPr>
          <w:rFonts w:ascii="Arial" w:hAnsi="Arial" w:cs="Arial"/>
          <w:sz w:val="22"/>
          <w:szCs w:val="22"/>
        </w:rPr>
        <w:t xml:space="preserve">Smith, PW, Watkins K, Miller H, et al. </w:t>
      </w:r>
      <w:hyperlink r:id="rId24" w:history="1">
        <w:r w:rsidRPr="00531B83">
          <w:rPr>
            <w:rStyle w:val="Hyperlink"/>
            <w:rFonts w:ascii="Arial" w:hAnsi="Arial" w:cs="Arial"/>
            <w:sz w:val="22"/>
            <w:szCs w:val="22"/>
          </w:rPr>
          <w:t>Antibiotic stewardship programs in long-term care facilities</w:t>
        </w:r>
      </w:hyperlink>
      <w:r w:rsidRPr="00531B83">
        <w:rPr>
          <w:rFonts w:ascii="Arial" w:hAnsi="Arial" w:cs="Arial"/>
          <w:sz w:val="22"/>
          <w:szCs w:val="22"/>
        </w:rPr>
        <w:t xml:space="preserve">. Ann </w:t>
      </w:r>
      <w:proofErr w:type="spellStart"/>
      <w:r w:rsidRPr="00531B83">
        <w:rPr>
          <w:rFonts w:ascii="Arial" w:hAnsi="Arial" w:cs="Arial"/>
          <w:sz w:val="22"/>
          <w:szCs w:val="22"/>
        </w:rPr>
        <w:t>Longterm</w:t>
      </w:r>
      <w:proofErr w:type="spellEnd"/>
      <w:r w:rsidRPr="00531B83">
        <w:rPr>
          <w:rFonts w:ascii="Arial" w:hAnsi="Arial" w:cs="Arial"/>
          <w:sz w:val="22"/>
          <w:szCs w:val="22"/>
        </w:rPr>
        <w:t xml:space="preserve"> Care.  2011;19(4):20-25.</w:t>
      </w:r>
    </w:p>
    <w:p w14:paraId="178758FD" w14:textId="77777777" w:rsidR="00340931" w:rsidRPr="00531B83" w:rsidRDefault="00340931" w:rsidP="00340931">
      <w:pPr>
        <w:pStyle w:val="BodyText"/>
        <w:rPr>
          <w:rFonts w:ascii="Arial" w:hAnsi="Arial" w:cs="Arial"/>
          <w:sz w:val="22"/>
          <w:szCs w:val="22"/>
        </w:rPr>
      </w:pPr>
      <w:r w:rsidRPr="00531B83">
        <w:rPr>
          <w:rFonts w:ascii="Arial" w:hAnsi="Arial" w:cs="Arial"/>
          <w:sz w:val="22"/>
          <w:szCs w:val="22"/>
        </w:rPr>
        <w:t xml:space="preserve">Wisconsin Department of Health Services, Division of Quality Assurance. Antibiotic use in nursing homes. 2014 Oct. Publication P-00886. Accessed from </w:t>
      </w:r>
      <w:hyperlink r:id="rId25" w:history="1">
        <w:r w:rsidRPr="00531B83">
          <w:rPr>
            <w:rStyle w:val="Hyperlink"/>
            <w:rFonts w:ascii="Arial" w:hAnsi="Arial" w:cs="Arial"/>
            <w:sz w:val="22"/>
            <w:szCs w:val="22"/>
          </w:rPr>
          <w:t>https://www.dhs.wisconsin.gov/publication/p00886.pdf</w:t>
        </w:r>
      </w:hyperlink>
    </w:p>
    <w:sectPr w:rsidR="00340931" w:rsidRPr="00531B83" w:rsidSect="006B7B32">
      <w:headerReference w:type="default" r:id="rId26"/>
      <w:footerReference w:type="default" r:id="rId27"/>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B1D3" w14:textId="77777777" w:rsidR="00371CCE" w:rsidRDefault="00371CCE" w:rsidP="00E32D5F">
      <w:pPr>
        <w:spacing w:after="0" w:line="240" w:lineRule="auto"/>
      </w:pPr>
      <w:r>
        <w:separator/>
      </w:r>
    </w:p>
  </w:endnote>
  <w:endnote w:type="continuationSeparator" w:id="0">
    <w:p w14:paraId="018A5618" w14:textId="77777777" w:rsidR="00371CCE" w:rsidRDefault="00371CCE"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590A" w14:textId="77777777" w:rsidR="00833CE3" w:rsidRDefault="00833CE3">
    <w:pPr>
      <w:pStyle w:val="Footer"/>
      <w:rPr>
        <w:rFonts w:ascii="Arial" w:hAnsi="Arial" w:cs="Arial"/>
      </w:rPr>
    </w:pPr>
    <w:r w:rsidRPr="004A60C0">
      <w:rPr>
        <w:rFonts w:ascii="Arial" w:hAnsi="Arial" w:cs="Arial"/>
      </w:rPr>
      <w:t>Nursing Home Antimicrobial Stewardship Guid</w:t>
    </w:r>
    <w:r w:rsidR="00AC6652">
      <w:rPr>
        <w:noProof/>
      </w:rPr>
      <w:drawing>
        <wp:anchor distT="0" distB="0" distL="114300" distR="114300" simplePos="0" relativeHeight="251658240" behindDoc="1" locked="0" layoutInCell="1" allowOverlap="1" wp14:anchorId="17875914" wp14:editId="5F643046">
          <wp:simplePos x="914400" y="9267825"/>
          <wp:positionH relativeFrom="page">
            <wp:align>right</wp:align>
          </wp:positionH>
          <wp:positionV relativeFrom="page">
            <wp:align>bottom</wp:align>
          </wp:positionV>
          <wp:extent cx="4334256" cy="103327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e</w:t>
    </w:r>
  </w:p>
  <w:p w14:paraId="1787590B" w14:textId="77777777" w:rsidR="00E32D5F" w:rsidRPr="00833CE3" w:rsidRDefault="00833CE3" w:rsidP="00833CE3">
    <w:pPr>
      <w:pStyle w:val="Footer"/>
      <w:tabs>
        <w:tab w:val="clear" w:pos="4680"/>
        <w:tab w:val="clear" w:pos="9360"/>
        <w:tab w:val="left" w:pos="7380"/>
        <w:tab w:val="right" w:pos="10080"/>
      </w:tabs>
      <w:rPr>
        <w:rFonts w:ascii="Arial" w:hAnsi="Arial" w:cs="Arial"/>
        <w:color w:val="FFFFFF" w:themeColor="background1"/>
      </w:rPr>
    </w:pPr>
    <w:r>
      <w:rPr>
        <w:rFonts w:ascii="Arial" w:hAnsi="Arial" w:cs="Arial"/>
      </w:rPr>
      <w:t>Implement, Monitor, &amp; Sustain a Program</w:t>
    </w:r>
    <w:r>
      <w:rPr>
        <w:rFonts w:ascii="Arial" w:hAnsi="Arial" w:cs="Arial"/>
      </w:rPr>
      <w:tab/>
    </w:r>
    <w:r>
      <w:rPr>
        <w:rFonts w:ascii="Arial" w:hAnsi="Arial" w:cs="Arial"/>
        <w:color w:val="FFFFFF" w:themeColor="background1"/>
      </w:rPr>
      <w:t>Toolkit 1/Tool 1</w:t>
    </w:r>
    <w:r>
      <w:rPr>
        <w:rFonts w:ascii="Arial" w:hAnsi="Arial" w:cs="Arial"/>
        <w:color w:val="FFFFFF" w:themeColor="background1"/>
      </w:rPr>
      <w:tab/>
    </w:r>
    <w:r w:rsidRPr="004A60C0">
      <w:rPr>
        <w:rFonts w:ascii="Arial" w:hAnsi="Arial" w:cs="Arial"/>
        <w:color w:val="FFFFFF" w:themeColor="background1"/>
      </w:rPr>
      <w:fldChar w:fldCharType="begin"/>
    </w:r>
    <w:r w:rsidRPr="004A60C0">
      <w:rPr>
        <w:rFonts w:ascii="Arial" w:hAnsi="Arial" w:cs="Arial"/>
        <w:color w:val="FFFFFF" w:themeColor="background1"/>
      </w:rPr>
      <w:instrText xml:space="preserve"> PAGE   \* MERGEFORMAT </w:instrText>
    </w:r>
    <w:r w:rsidRPr="004A60C0">
      <w:rPr>
        <w:rFonts w:ascii="Arial" w:hAnsi="Arial" w:cs="Arial"/>
        <w:color w:val="FFFFFF" w:themeColor="background1"/>
      </w:rPr>
      <w:fldChar w:fldCharType="separate"/>
    </w:r>
    <w:r w:rsidR="00A45CD2">
      <w:rPr>
        <w:rFonts w:ascii="Arial" w:hAnsi="Arial" w:cs="Arial"/>
        <w:noProof/>
        <w:color w:val="FFFFFF" w:themeColor="background1"/>
      </w:rPr>
      <w:t>2</w:t>
    </w:r>
    <w:r w:rsidRPr="004A60C0">
      <w:rPr>
        <w:rFonts w:ascii="Arial" w:hAnsi="Arial" w:cs="Arial"/>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590E" w14:textId="77777777" w:rsidR="00CF7567" w:rsidRDefault="00F231E8" w:rsidP="00AD1027">
    <w:pPr>
      <w:pStyle w:val="Footer"/>
      <w:tabs>
        <w:tab w:val="clear" w:pos="4680"/>
      </w:tabs>
      <w:jc w:val="right"/>
      <w:rPr>
        <w:rFonts w:ascii="Arial" w:hAnsi="Arial" w:cs="Arial"/>
      </w:rPr>
    </w:pPr>
    <w:r>
      <w:rPr>
        <w:rFonts w:ascii="Arial" w:hAnsi="Arial" w:cs="Arial"/>
      </w:rPr>
      <w:t>AHRQ Pub. No. 17-0006-1-EF</w:t>
    </w:r>
  </w:p>
  <w:p w14:paraId="1787590F" w14:textId="77777777" w:rsidR="00CF7567" w:rsidRDefault="00F231E8" w:rsidP="00554F8E">
    <w:pPr>
      <w:pStyle w:val="Footer"/>
      <w:tabs>
        <w:tab w:val="clear" w:pos="4680"/>
      </w:tabs>
      <w:spacing w:after="440"/>
      <w:jc w:val="right"/>
      <w:rPr>
        <w:rFonts w:ascii="Arial" w:hAnsi="Arial" w:cs="Arial"/>
      </w:rPr>
    </w:pPr>
    <w:r>
      <w:rPr>
        <w:rFonts w:ascii="Arial" w:hAnsi="Arial" w:cs="Arial"/>
      </w:rPr>
      <w:t>October 2016</w:t>
    </w:r>
  </w:p>
  <w:p w14:paraId="17875910" w14:textId="77777777" w:rsidR="00CF7567" w:rsidRDefault="00F231E8" w:rsidP="00AD1027">
    <w:pPr>
      <w:pStyle w:val="Footer"/>
      <w:tabs>
        <w:tab w:val="clear" w:pos="4680"/>
        <w:tab w:val="clear" w:pos="9360"/>
        <w:tab w:val="left" w:pos="7387"/>
        <w:tab w:val="right" w:pos="10080"/>
      </w:tabs>
      <w:rPr>
        <w:rFonts w:ascii="Arial" w:hAnsi="Arial" w:cs="Arial"/>
      </w:rPr>
    </w:pPr>
    <w:r w:rsidRPr="004A60C0">
      <w:rPr>
        <w:rFonts w:ascii="Arial" w:hAnsi="Arial" w:cs="Arial"/>
        <w:noProof/>
      </w:rPr>
      <w:drawing>
        <wp:anchor distT="0" distB="0" distL="114300" distR="114300" simplePos="0" relativeHeight="251663360" behindDoc="1" locked="0" layoutInCell="1" allowOverlap="1" wp14:anchorId="17875916" wp14:editId="219CDA9A">
          <wp:simplePos x="914400" y="0"/>
          <wp:positionH relativeFrom="page">
            <wp:align>right</wp:align>
          </wp:positionH>
          <wp:positionV relativeFrom="page">
            <wp:posOffset>9144000</wp:posOffset>
          </wp:positionV>
          <wp:extent cx="4105656" cy="71323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7503" t="92947"/>
                  <a:stretch/>
                </pic:blipFill>
                <pic:spPr bwMode="auto">
                  <a:xfrm>
                    <a:off x="0" y="0"/>
                    <a:ext cx="4105656" cy="713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60C0">
      <w:rPr>
        <w:rFonts w:ascii="Arial" w:hAnsi="Arial" w:cs="Arial"/>
      </w:rPr>
      <w:t>Nursing Home Antimicrobial Stewardship Guide</w:t>
    </w:r>
  </w:p>
  <w:p w14:paraId="17875911" w14:textId="77777777" w:rsidR="00CF7567" w:rsidRPr="004A60C0" w:rsidRDefault="00F231E8" w:rsidP="00AD1027">
    <w:pPr>
      <w:pStyle w:val="Footer"/>
      <w:tabs>
        <w:tab w:val="clear" w:pos="4680"/>
        <w:tab w:val="clear" w:pos="9360"/>
        <w:tab w:val="left" w:pos="7387"/>
        <w:tab w:val="right" w:pos="10080"/>
      </w:tabs>
      <w:rPr>
        <w:rFonts w:ascii="Arial" w:hAnsi="Arial" w:cs="Arial"/>
        <w:color w:val="FFFFFF" w:themeColor="background1"/>
      </w:rPr>
    </w:pPr>
    <w:r>
      <w:rPr>
        <w:rFonts w:ascii="Arial" w:hAnsi="Arial" w:cs="Arial"/>
      </w:rPr>
      <w:t>Implement, Monitor, &amp; Sustain a Program</w:t>
    </w:r>
    <w:r>
      <w:rPr>
        <w:rFonts w:ascii="Arial" w:hAnsi="Arial" w:cs="Arial"/>
      </w:rPr>
      <w:tab/>
    </w:r>
    <w:r w:rsidRPr="004A60C0">
      <w:rPr>
        <w:rFonts w:ascii="Arial" w:hAnsi="Arial" w:cs="Arial"/>
        <w:color w:val="FFFFFF" w:themeColor="background1"/>
      </w:rPr>
      <w:t>Toolkit</w:t>
    </w:r>
    <w:r>
      <w:rPr>
        <w:rFonts w:ascii="Arial" w:hAnsi="Arial" w:cs="Arial"/>
        <w:color w:val="FFFFFF" w:themeColor="background1"/>
      </w:rPr>
      <w:t xml:space="preserve"> 1/Tool 1</w:t>
    </w:r>
    <w:r>
      <w:rPr>
        <w:rFonts w:ascii="Arial" w:hAnsi="Arial" w:cs="Arial"/>
        <w:color w:val="FFFFFF" w:themeColor="background1"/>
      </w:rPr>
      <w:tab/>
    </w:r>
    <w:r w:rsidRPr="004A60C0">
      <w:rPr>
        <w:rFonts w:ascii="Arial" w:hAnsi="Arial" w:cs="Arial"/>
        <w:color w:val="FFFFFF" w:themeColor="background1"/>
      </w:rPr>
      <w:fldChar w:fldCharType="begin"/>
    </w:r>
    <w:r w:rsidRPr="004A60C0">
      <w:rPr>
        <w:rFonts w:ascii="Arial" w:hAnsi="Arial" w:cs="Arial"/>
        <w:color w:val="FFFFFF" w:themeColor="background1"/>
      </w:rPr>
      <w:instrText xml:space="preserve"> PAGE   \* MERGEFORMAT </w:instrText>
    </w:r>
    <w:r w:rsidRPr="004A60C0">
      <w:rPr>
        <w:rFonts w:ascii="Arial" w:hAnsi="Arial" w:cs="Arial"/>
        <w:color w:val="FFFFFF" w:themeColor="background1"/>
      </w:rPr>
      <w:fldChar w:fldCharType="separate"/>
    </w:r>
    <w:r w:rsidR="00A45CD2">
      <w:rPr>
        <w:rFonts w:ascii="Arial" w:hAnsi="Arial" w:cs="Arial"/>
        <w:noProof/>
        <w:color w:val="FFFFFF" w:themeColor="background1"/>
      </w:rPr>
      <w:t>3</w:t>
    </w:r>
    <w:r w:rsidRPr="004A60C0">
      <w:rPr>
        <w:rFonts w:ascii="Arial" w:hAnsi="Arial" w:cs="Arial"/>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E32D" w14:textId="77777777" w:rsidR="00371CCE" w:rsidRDefault="00371CCE" w:rsidP="00E32D5F">
      <w:pPr>
        <w:spacing w:after="0" w:line="240" w:lineRule="auto"/>
      </w:pPr>
      <w:r>
        <w:separator/>
      </w:r>
    </w:p>
  </w:footnote>
  <w:footnote w:type="continuationSeparator" w:id="0">
    <w:p w14:paraId="701E86C6" w14:textId="77777777" w:rsidR="00371CCE" w:rsidRDefault="00371CCE"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5908" w14:textId="77777777" w:rsidR="00E32D5F" w:rsidRDefault="00E32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040589"/>
      <w:docPartObj>
        <w:docPartGallery w:val="Watermarks"/>
        <w:docPartUnique/>
      </w:docPartObj>
    </w:sdtPr>
    <w:sdtEndPr/>
    <w:sdtContent>
      <w:p w14:paraId="17875909" w14:textId="77777777" w:rsidR="00E32D5F" w:rsidRPr="00BB75BB" w:rsidRDefault="002B3E87">
        <w:pPr>
          <w:pStyle w:val="Header"/>
          <w:rPr>
            <w:rFonts w:ascii="Arial" w:hAnsi="Arial" w:cs="Arial"/>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590C" w14:textId="77777777" w:rsidR="00E32D5F" w:rsidRDefault="00E32D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25631"/>
      <w:docPartObj>
        <w:docPartGallery w:val="Watermarks"/>
        <w:docPartUnique/>
      </w:docPartObj>
    </w:sdtPr>
    <w:sdtEndPr/>
    <w:sdtContent>
      <w:p w14:paraId="1787590D" w14:textId="77777777" w:rsidR="00CF7567" w:rsidRDefault="002B3E87">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FE1"/>
    <w:multiLevelType w:val="hybridMultilevel"/>
    <w:tmpl w:val="1126400A"/>
    <w:lvl w:ilvl="0" w:tplc="2E30607E">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84393"/>
    <w:multiLevelType w:val="multilevel"/>
    <w:tmpl w:val="C3960AE0"/>
    <w:lvl w:ilvl="0">
      <w:start w:val="1"/>
      <w:numFmt w:val="decimal"/>
      <w:pStyle w:val="NHASListLevel1numbered"/>
      <w:lvlText w:val="%1."/>
      <w:lvlJc w:val="left"/>
      <w:pPr>
        <w:ind w:left="360" w:hanging="360"/>
      </w:pPr>
      <w:rPr>
        <w:rFonts w:hint="default"/>
        <w:color w:val="auto"/>
      </w:rPr>
    </w:lvl>
    <w:lvl w:ilvl="1">
      <w:start w:val="1"/>
      <w:numFmt w:val="lowerLetter"/>
      <w:pStyle w:val="NHASListLevel2-letters"/>
      <w:lvlText w:val="%2."/>
      <w:lvlJc w:val="left"/>
      <w:pPr>
        <w:ind w:left="72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567643530">
    <w:abstractNumId w:val="1"/>
  </w:num>
  <w:num w:numId="2" w16cid:durableId="143335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31"/>
    <w:rsid w:val="00020604"/>
    <w:rsid w:val="00092DD3"/>
    <w:rsid w:val="0014676E"/>
    <w:rsid w:val="001C0612"/>
    <w:rsid w:val="002A418E"/>
    <w:rsid w:val="002B3E87"/>
    <w:rsid w:val="002D142E"/>
    <w:rsid w:val="00340931"/>
    <w:rsid w:val="00371CCE"/>
    <w:rsid w:val="00372611"/>
    <w:rsid w:val="003C2895"/>
    <w:rsid w:val="00501880"/>
    <w:rsid w:val="00531B83"/>
    <w:rsid w:val="006B7A85"/>
    <w:rsid w:val="006C2885"/>
    <w:rsid w:val="007C4BED"/>
    <w:rsid w:val="007D2AE2"/>
    <w:rsid w:val="008248DE"/>
    <w:rsid w:val="00833CE3"/>
    <w:rsid w:val="008443D1"/>
    <w:rsid w:val="00845077"/>
    <w:rsid w:val="008D5557"/>
    <w:rsid w:val="009060A8"/>
    <w:rsid w:val="0094631F"/>
    <w:rsid w:val="009777F7"/>
    <w:rsid w:val="009C01AD"/>
    <w:rsid w:val="00A45CD2"/>
    <w:rsid w:val="00AC6652"/>
    <w:rsid w:val="00B0733D"/>
    <w:rsid w:val="00B16BDE"/>
    <w:rsid w:val="00B403F9"/>
    <w:rsid w:val="00BB75BB"/>
    <w:rsid w:val="00CD1F2F"/>
    <w:rsid w:val="00CE4F6F"/>
    <w:rsid w:val="00CF7567"/>
    <w:rsid w:val="00E106FB"/>
    <w:rsid w:val="00E32D5F"/>
    <w:rsid w:val="00E36E18"/>
    <w:rsid w:val="00F231E8"/>
    <w:rsid w:val="00FC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58DD"/>
  <w15:docId w15:val="{3D7EFC90-72BA-4FA9-9F5E-07A4491A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931"/>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2">
    <w:name w:val="heading 2"/>
    <w:basedOn w:val="Normal"/>
    <w:next w:val="Normal"/>
    <w:link w:val="Heading2Char"/>
    <w:uiPriority w:val="9"/>
    <w:unhideWhenUsed/>
    <w:qFormat/>
    <w:rsid w:val="003409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409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1Char">
    <w:name w:val="Heading 1 Char"/>
    <w:basedOn w:val="DefaultParagraphFont"/>
    <w:link w:val="Heading1"/>
    <w:uiPriority w:val="9"/>
    <w:rsid w:val="00340931"/>
    <w:rPr>
      <w:rFonts w:ascii="Arial Bold" w:eastAsia="Times New Roman" w:hAnsi="Arial Bold" w:cs="Times New Roman"/>
      <w:b/>
      <w:bCs/>
      <w:iCs/>
      <w:color w:val="49176D"/>
      <w:sz w:val="26"/>
    </w:rPr>
  </w:style>
  <w:style w:type="character" w:styleId="Hyperlink">
    <w:name w:val="Hyperlink"/>
    <w:basedOn w:val="DefaultParagraphFont"/>
    <w:uiPriority w:val="99"/>
    <w:unhideWhenUsed/>
    <w:rsid w:val="00340931"/>
    <w:rPr>
      <w:color w:val="0000FF"/>
      <w:u w:val="single"/>
    </w:rPr>
  </w:style>
  <w:style w:type="paragraph" w:customStyle="1" w:styleId="NHASListLevel1numbered">
    <w:name w:val="NHAS_List Level 1_numbered"/>
    <w:basedOn w:val="ListParagraph"/>
    <w:qFormat/>
    <w:rsid w:val="00340931"/>
    <w:pPr>
      <w:numPr>
        <w:numId w:val="1"/>
      </w:numPr>
      <w:tabs>
        <w:tab w:val="num" w:pos="360"/>
      </w:tabs>
      <w:spacing w:after="240" w:line="240" w:lineRule="auto"/>
      <w:ind w:left="720" w:firstLine="0"/>
      <w:contextualSpacing w:val="0"/>
    </w:pPr>
    <w:rPr>
      <w:rFonts w:ascii="Times New Roman" w:eastAsia="Calibri" w:hAnsi="Times New Roman" w:cs="Times New Roman"/>
      <w:sz w:val="24"/>
    </w:rPr>
  </w:style>
  <w:style w:type="paragraph" w:customStyle="1" w:styleId="NHASListLevel2-letters">
    <w:name w:val="NHAS_List Level 2-letters"/>
    <w:basedOn w:val="NHASListLevel1numbered"/>
    <w:qFormat/>
    <w:rsid w:val="00340931"/>
    <w:pPr>
      <w:numPr>
        <w:ilvl w:val="1"/>
      </w:numPr>
      <w:tabs>
        <w:tab w:val="num" w:pos="360"/>
      </w:tabs>
      <w:contextualSpacing/>
    </w:pPr>
  </w:style>
  <w:style w:type="paragraph" w:styleId="ListParagraph">
    <w:name w:val="List Paragraph"/>
    <w:basedOn w:val="Normal"/>
    <w:uiPriority w:val="34"/>
    <w:qFormat/>
    <w:rsid w:val="00340931"/>
    <w:pPr>
      <w:ind w:left="720"/>
      <w:contextualSpacing/>
    </w:pPr>
  </w:style>
  <w:style w:type="character" w:customStyle="1" w:styleId="Heading2Char">
    <w:name w:val="Heading 2 Char"/>
    <w:basedOn w:val="DefaultParagraphFont"/>
    <w:link w:val="Heading2"/>
    <w:uiPriority w:val="9"/>
    <w:rsid w:val="00340931"/>
    <w:rPr>
      <w:rFonts w:asciiTheme="majorHAnsi" w:eastAsiaTheme="majorEastAsia" w:hAnsiTheme="majorHAnsi" w:cstheme="majorBidi"/>
      <w:b/>
      <w:bCs/>
      <w:color w:val="4F81BD" w:themeColor="accent1"/>
      <w:sz w:val="26"/>
      <w:szCs w:val="26"/>
    </w:rPr>
  </w:style>
  <w:style w:type="paragraph" w:styleId="BodyText">
    <w:name w:val="Body Text"/>
    <w:basedOn w:val="Heading5"/>
    <w:link w:val="BodyTextChar"/>
    <w:uiPriority w:val="99"/>
    <w:unhideWhenUsed/>
    <w:rsid w:val="00340931"/>
    <w:pPr>
      <w:keepNext w:val="0"/>
      <w:keepLines w:val="0"/>
      <w:spacing w:after="120" w:line="240" w:lineRule="auto"/>
      <w:outlineLvl w:val="9"/>
    </w:pPr>
    <w:rPr>
      <w:rFonts w:ascii="Times New Roman" w:eastAsiaTheme="minorHAnsi" w:hAnsi="Times New Roman" w:cs="Times New Roman"/>
      <w:color w:val="auto"/>
      <w:sz w:val="24"/>
      <w:szCs w:val="24"/>
    </w:rPr>
  </w:style>
  <w:style w:type="character" w:customStyle="1" w:styleId="BodyTextChar">
    <w:name w:val="Body Text Char"/>
    <w:basedOn w:val="DefaultParagraphFont"/>
    <w:link w:val="BodyText"/>
    <w:uiPriority w:val="99"/>
    <w:rsid w:val="00340931"/>
    <w:rPr>
      <w:rFonts w:ascii="Times New Roman" w:hAnsi="Times New Roman" w:cs="Times New Roman"/>
      <w:sz w:val="24"/>
      <w:szCs w:val="24"/>
    </w:rPr>
  </w:style>
  <w:style w:type="paragraph" w:customStyle="1" w:styleId="NumberedList">
    <w:name w:val="Numbered List"/>
    <w:qFormat/>
    <w:rsid w:val="00340931"/>
    <w:pPr>
      <w:numPr>
        <w:numId w:val="2"/>
      </w:numPr>
      <w:autoSpaceDE w:val="0"/>
      <w:autoSpaceDN w:val="0"/>
      <w:spacing w:after="0"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340931"/>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7C4BED"/>
    <w:rPr>
      <w:color w:val="605E5C"/>
      <w:shd w:val="clear" w:color="auto" w:fill="E1DFDD"/>
    </w:rPr>
  </w:style>
  <w:style w:type="character" w:styleId="FollowedHyperlink">
    <w:name w:val="FollowedHyperlink"/>
    <w:basedOn w:val="DefaultParagraphFont"/>
    <w:uiPriority w:val="99"/>
    <w:semiHidden/>
    <w:unhideWhenUsed/>
    <w:rsid w:val="007C4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cid.oxfordjournals.org/content/44/2/159.lon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annalsoflongtermcare.com/article/pharmacist-led-model-antibiotic-stewardship-long-term-care-facility"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ncbi.nlm.nih.gov/pmc/articles/PMC3557526/" TargetMode="External"/><Relationship Id="rId25" Type="http://schemas.openxmlformats.org/officeDocument/2006/relationships/hyperlink" Target="https://www.dhs.wisconsin.gov/publication/p00886.pdf" TargetMode="External"/><Relationship Id="rId2" Type="http://schemas.openxmlformats.org/officeDocument/2006/relationships/numbering" Target="numbering.xml"/><Relationship Id="rId16" Type="http://schemas.openxmlformats.org/officeDocument/2006/relationships/hyperlink" Target="http://www.annalsoflongtermcare.com/article/improving-management-urinary-tract-infections-nursing-homes-it%E2%80%99s-time-stop-tail-wagging-dog" TargetMode="External"/><Relationship Id="rId20" Type="http://schemas.openxmlformats.org/officeDocument/2006/relationships/hyperlink" Target="http://www.jamda.com/article/S1525-8610(13)00099-6/fullte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antimicrobial-resistance/data-research/threats/index.html" TargetMode="External"/><Relationship Id="rId24" Type="http://schemas.openxmlformats.org/officeDocument/2006/relationships/hyperlink" Target="http://www.annalsoflongtermcare.com/article/antibiotic-stewardship-programs-long-term-care-faciliti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medicine.wisc.edu/sites/default/files/clinical_uncertainties_in_the_approach_crnich.pdf" TargetMode="External"/><Relationship Id="rId28" Type="http://schemas.openxmlformats.org/officeDocument/2006/relationships/fontTable" Target="fontTable.xml"/><Relationship Id="rId10" Type="http://schemas.openxmlformats.org/officeDocument/2006/relationships/hyperlink" Target="https://www.cdc.gov/antimicrobial-resistance/about/?CDC" TargetMode="External"/><Relationship Id="rId19" Type="http://schemas.openxmlformats.org/officeDocument/2006/relationships/hyperlink" Target="http://www.medicine.wisc.edu/sites/default/files/antibiotic_perscription_resistance_crnich.pdf" TargetMode="External"/><Relationship Id="rId4" Type="http://schemas.openxmlformats.org/officeDocument/2006/relationships/settings" Target="settings.xml"/><Relationship Id="rId9" Type="http://schemas.openxmlformats.org/officeDocument/2006/relationships/hyperlink" Target="https://www.cdc.gov/antibiotic-use/hcp/core-elements/nursing-homes-antibiotic-stewardship.html" TargetMode="External"/><Relationship Id="rId14" Type="http://schemas.openxmlformats.org/officeDocument/2006/relationships/footer" Target="footer1.xml"/><Relationship Id="rId22" Type="http://schemas.openxmlformats.org/officeDocument/2006/relationships/hyperlink" Target="http://www.ncbi.nlm.nih.gov/pmc/articles/PMC4370223/"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FFA4-9516-4544-9E9A-7C7FA64D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Home Antimicrobial Stewardship Guide Implement, Monitor, &amp; Sustain a Program</dc:title>
  <dc:subject>Nursing Home Antimicrobial Stewardship</dc:subject>
  <dc:creator>Agency for Healthcare Research and Quality (AHRQ)</dc:creator>
  <cp:lastModifiedBy>Ramage, Kathryn (AHRQ/OC) (CTR)</cp:lastModifiedBy>
  <cp:revision>27</cp:revision>
  <dcterms:created xsi:type="dcterms:W3CDTF">2016-10-17T20:20:00Z</dcterms:created>
  <dcterms:modified xsi:type="dcterms:W3CDTF">2024-11-22T18:31:00Z</dcterms:modified>
</cp:coreProperties>
</file>