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47" w:rsidRDefault="00557547" w:rsidP="00557547">
      <w:pPr>
        <w:pStyle w:val="Heading4"/>
      </w:pPr>
      <w:bookmarkStart w:id="0" w:name="_Toc386985193"/>
      <w:bookmarkStart w:id="1" w:name="_Toc391451028"/>
      <w:bookmarkStart w:id="2" w:name="_GoBack"/>
      <w:bookmarkEnd w:id="2"/>
      <w:proofErr w:type="gramStart"/>
      <w:r w:rsidRPr="006A2E34">
        <w:t>Tool 2</w:t>
      </w:r>
      <w:r>
        <w:t>.</w:t>
      </w:r>
      <w:proofErr w:type="gramEnd"/>
      <w:r w:rsidRPr="006A2E34">
        <w:t xml:space="preserve"> </w:t>
      </w:r>
      <w:r w:rsidRPr="00B108AF">
        <w:t>Clinician</w:t>
      </w:r>
      <w:r w:rsidRPr="006A2E34">
        <w:t xml:space="preserve"> Letter</w:t>
      </w:r>
      <w:bookmarkEnd w:id="0"/>
      <w:bookmarkEnd w:id="1"/>
    </w:p>
    <w:p w:rsidR="00557547" w:rsidRPr="00E50845" w:rsidRDefault="00557547" w:rsidP="00557547">
      <w:pPr>
        <w:pStyle w:val="NHASBodyText"/>
        <w:tabs>
          <w:tab w:val="left" w:pos="1440"/>
        </w:tabs>
        <w:spacing w:before="240"/>
        <w:jc w:val="center"/>
        <w:rPr>
          <w:rFonts w:eastAsia="Calibri"/>
        </w:rPr>
      </w:pPr>
      <w:r w:rsidRPr="00E50845">
        <w:rPr>
          <w:rFonts w:eastAsia="Calibri"/>
        </w:rPr>
        <w:t>[PRINTED ON NURSING HOME OR MEDICAL DIRECTOR’S STATIONERY]</w:t>
      </w:r>
    </w:p>
    <w:p w:rsidR="00557547" w:rsidRPr="00E50845" w:rsidRDefault="00557547" w:rsidP="00557547">
      <w:pPr>
        <w:pStyle w:val="NHASBodyText"/>
        <w:tabs>
          <w:tab w:val="left" w:pos="1440"/>
        </w:tabs>
        <w:rPr>
          <w:rFonts w:eastAsia="Calibri"/>
        </w:rPr>
      </w:pPr>
      <w:r w:rsidRPr="00E50845">
        <w:rPr>
          <w:rFonts w:eastAsia="Calibri"/>
        </w:rPr>
        <w:t>[Date]</w:t>
      </w:r>
    </w:p>
    <w:p w:rsidR="00557547" w:rsidRPr="00E50845" w:rsidRDefault="00557547" w:rsidP="00557547">
      <w:pPr>
        <w:pStyle w:val="NHASBodyText"/>
        <w:tabs>
          <w:tab w:val="left" w:pos="1440"/>
        </w:tabs>
        <w:rPr>
          <w:rFonts w:eastAsia="Calibri"/>
        </w:rPr>
      </w:pPr>
      <w:r w:rsidRPr="00E50845">
        <w:rPr>
          <w:rFonts w:eastAsia="Calibri"/>
        </w:rPr>
        <w:t>[Prescribing Clinician Name</w:t>
      </w:r>
      <w:r>
        <w:rPr>
          <w:rFonts w:eastAsia="Calibri"/>
        </w:rPr>
        <w:t>]</w:t>
      </w:r>
      <w:r>
        <w:rPr>
          <w:rFonts w:eastAsia="Calibri"/>
        </w:rPr>
        <w:br/>
      </w:r>
      <w:r w:rsidRPr="00E50845">
        <w:rPr>
          <w:rFonts w:eastAsia="Calibri"/>
        </w:rPr>
        <w:t>Recipient Address</w:t>
      </w:r>
      <w:r>
        <w:rPr>
          <w:rFonts w:eastAsia="Calibri"/>
        </w:rPr>
        <w:br/>
      </w:r>
      <w:r w:rsidRPr="00E50845">
        <w:rPr>
          <w:rFonts w:eastAsia="Calibri"/>
        </w:rPr>
        <w:t>City, State Zip]</w:t>
      </w:r>
    </w:p>
    <w:p w:rsidR="00557547" w:rsidRPr="00E50845" w:rsidRDefault="00557547" w:rsidP="00557547">
      <w:pPr>
        <w:pStyle w:val="NHASBodyText"/>
        <w:tabs>
          <w:tab w:val="left" w:pos="1080"/>
        </w:tabs>
        <w:ind w:right="-144"/>
        <w:rPr>
          <w:rFonts w:eastAsia="Calibri"/>
        </w:rPr>
      </w:pPr>
      <w:r w:rsidRPr="00E50845">
        <w:rPr>
          <w:rFonts w:eastAsia="Calibri"/>
        </w:rPr>
        <w:t>Re:</w:t>
      </w:r>
      <w:r w:rsidRPr="00E50845">
        <w:rPr>
          <w:rFonts w:eastAsia="Calibri"/>
        </w:rPr>
        <w:tab/>
        <w:t>Change in protocol regarding urinalyses to improve quality of care and antibiotic use</w:t>
      </w:r>
    </w:p>
    <w:p w:rsidR="00557547" w:rsidRPr="00E50845" w:rsidRDefault="00557547" w:rsidP="00557547">
      <w:pPr>
        <w:pStyle w:val="NHASBodyTextPreBullet"/>
        <w:rPr>
          <w:rFonts w:eastAsia="Calibri"/>
        </w:rPr>
      </w:pPr>
      <w:r w:rsidRPr="00E50845">
        <w:rPr>
          <w:rFonts w:eastAsia="Calibri"/>
        </w:rPr>
        <w:t>Dear [insert name],</w:t>
      </w:r>
    </w:p>
    <w:p w:rsidR="00557547" w:rsidRPr="00E50845" w:rsidRDefault="00557547" w:rsidP="00557547">
      <w:pPr>
        <w:pStyle w:val="NHASBodyText"/>
        <w:tabs>
          <w:tab w:val="left" w:pos="1440"/>
        </w:tabs>
        <w:rPr>
          <w:rFonts w:eastAsia="Calibri"/>
        </w:rPr>
      </w:pPr>
      <w:r w:rsidRPr="00E50845">
        <w:rPr>
          <w:rFonts w:eastAsia="Calibri"/>
        </w:rPr>
        <w:t xml:space="preserve">Based on clinical practice guidelines developed by nursing home, infectious disease, and geriatric experts, our facility has decided to modify its protocol around urinalyses to optimize antibiotic use for urinary tract infections (UTIs). We will use a </w:t>
      </w:r>
      <w:r>
        <w:rPr>
          <w:rFonts w:eastAsia="Calibri"/>
        </w:rPr>
        <w:t xml:space="preserve">research-based and effective Toolkit, the </w:t>
      </w:r>
      <w:r w:rsidRPr="00E50845">
        <w:rPr>
          <w:rFonts w:eastAsia="Calibri"/>
        </w:rPr>
        <w:t xml:space="preserve">Suspected Urinary Tract Infection (UTI) Situation, Background, Assessment, and </w:t>
      </w:r>
      <w:r>
        <w:rPr>
          <w:rFonts w:eastAsia="Calibri"/>
        </w:rPr>
        <w:t>Request</w:t>
      </w:r>
      <w:r w:rsidRPr="00E50845">
        <w:rPr>
          <w:rFonts w:eastAsia="Calibri"/>
        </w:rPr>
        <w:t xml:space="preserve"> (SBAR) form to facilitate gathering critical information by nurses to communicate to prescribing clinicians. The Suspected UTI SBAR form is intended to enhance communication and provide guidance regarding managing potential UTIs and indications for ordering urinalyses and cultures. The SBAR communication style has been shown to promote better communication by addressing the specific types of information that clinicians are likely to need for </w:t>
      </w:r>
      <w:proofErr w:type="spellStart"/>
      <w:r w:rsidRPr="00E50845">
        <w:rPr>
          <w:rFonts w:eastAsia="Calibri"/>
        </w:rPr>
        <w:t>decisionmaking</w:t>
      </w:r>
      <w:proofErr w:type="spellEnd"/>
      <w:r w:rsidRPr="00E50845">
        <w:rPr>
          <w:rFonts w:eastAsia="Calibri"/>
        </w:rPr>
        <w:t>.</w:t>
      </w:r>
    </w:p>
    <w:p w:rsidR="00E32D5F" w:rsidRDefault="00557547" w:rsidP="00557547">
      <w:pPr>
        <w:pStyle w:val="NHASBodyText"/>
        <w:tabs>
          <w:tab w:val="left" w:pos="1440"/>
        </w:tabs>
      </w:pPr>
      <w:r w:rsidRPr="00E50845">
        <w:rPr>
          <w:rFonts w:eastAsia="Calibri"/>
        </w:rPr>
        <w:t>As you know, UTIs are the most commonly treated infection among nursing home residents, but proper diagnosis and treatment pose significant and distinctive challenges. Although residents with specific UTI symptoms like dysuria usually need treatment, urinalyses and cultures may be obtained for a variety of reasons, and their results may lead to a prescription for an antibiotic when only ba</w:t>
      </w:r>
      <w:r>
        <w:rPr>
          <w:rFonts w:eastAsia="Calibri"/>
        </w:rPr>
        <w:t>cteriuria or pyuria is present.</w:t>
      </w:r>
    </w:p>
    <w:p w:rsidR="003C2895" w:rsidRDefault="003C2895">
      <w:pPr>
        <w:sectPr w:rsidR="003C2895" w:rsidSect="00833CE3">
          <w:headerReference w:type="default" r:id="rId8"/>
          <w:pgSz w:w="12240" w:h="15840"/>
          <w:pgMar w:top="2880" w:right="1440" w:bottom="1440" w:left="1440" w:header="0" w:footer="0" w:gutter="0"/>
          <w:cols w:space="720"/>
          <w:docGrid w:linePitch="360"/>
        </w:sectPr>
      </w:pPr>
    </w:p>
    <w:p w:rsidR="00557547" w:rsidRPr="00E50845" w:rsidRDefault="00557547" w:rsidP="00557547">
      <w:pPr>
        <w:pStyle w:val="NHASBodyText"/>
        <w:tabs>
          <w:tab w:val="left" w:pos="1440"/>
        </w:tabs>
        <w:rPr>
          <w:rFonts w:eastAsia="Calibri"/>
        </w:rPr>
      </w:pPr>
      <w:r w:rsidRPr="00E50845">
        <w:rPr>
          <w:rFonts w:eastAsia="Calibri"/>
        </w:rPr>
        <w:lastRenderedPageBreak/>
        <w:t xml:space="preserve">However, research provides no evidence that treating asymptomatic bacteriuria in older adults is of benefit. Antimicrobial treatments do not affect the prevalence of bacteriuria, the frequency of symptomatic urinary infections, morbidity, or </w:t>
      </w:r>
      <w:r w:rsidRPr="00996CD9">
        <w:rPr>
          <w:rFonts w:eastAsia="Calibri"/>
        </w:rPr>
        <w:t>mortality</w:t>
      </w:r>
      <w:r w:rsidR="00EA1955">
        <w:rPr>
          <w:rFonts w:eastAsia="Calibri"/>
        </w:rPr>
        <w:t>.</w:t>
      </w:r>
      <w:r w:rsidRPr="00996CD9">
        <w:rPr>
          <w:rStyle w:val="FootnoteReference"/>
          <w:rFonts w:eastAsia="Calibri"/>
        </w:rPr>
        <w:footnoteReference w:id="1"/>
      </w:r>
      <w:bookmarkStart w:id="3" w:name="_Ref390844261"/>
      <w:r w:rsidRPr="00996CD9">
        <w:rPr>
          <w:rFonts w:eastAsia="Calibri"/>
          <w:vertAlign w:val="superscript"/>
        </w:rPr>
        <w:t>,</w:t>
      </w:r>
      <w:bookmarkStart w:id="4" w:name="_Ref391637573"/>
      <w:r w:rsidRPr="00996CD9">
        <w:rPr>
          <w:rStyle w:val="FootnoteReference"/>
          <w:rFonts w:eastAsia="Calibri"/>
        </w:rPr>
        <w:footnoteReference w:id="2"/>
      </w:r>
      <w:bookmarkEnd w:id="3"/>
      <w:bookmarkEnd w:id="4"/>
      <w:r w:rsidRPr="00996CD9">
        <w:rPr>
          <w:rFonts w:eastAsia="Calibri"/>
          <w:vertAlign w:val="superscript"/>
        </w:rPr>
        <w:t>,</w:t>
      </w:r>
      <w:r w:rsidRPr="00996CD9">
        <w:rPr>
          <w:rStyle w:val="FootnoteReference"/>
          <w:rFonts w:eastAsia="Calibri"/>
        </w:rPr>
        <w:footnoteReference w:id="3"/>
      </w:r>
      <w:r w:rsidRPr="00996CD9">
        <w:rPr>
          <w:rFonts w:eastAsia="Calibri"/>
        </w:rPr>
        <w:t xml:space="preserve"> Asymptomatic</w:t>
      </w:r>
      <w:r w:rsidRPr="00E50845">
        <w:rPr>
          <w:rFonts w:eastAsia="Calibri"/>
        </w:rPr>
        <w:t xml:space="preserve"> bacteriuria applies to a positive result from any routinely collected culture without corresponding urinary symptoms, such as one obtained after a course of antibiotics used to treat </w:t>
      </w:r>
      <w:r w:rsidR="008A6266">
        <w:rPr>
          <w:rFonts w:eastAsia="Calibri"/>
        </w:rPr>
        <w:t>an infection (“test for cure”</w:t>
      </w:r>
      <w:r w:rsidR="00EA1955">
        <w:rPr>
          <w:rFonts w:eastAsia="Calibri"/>
        </w:rPr>
        <w:t>).</w:t>
      </w:r>
    </w:p>
    <w:p w:rsidR="00557547" w:rsidRDefault="00557547" w:rsidP="00EA1955">
      <w:pPr>
        <w:pStyle w:val="NHASBodyText"/>
        <w:tabs>
          <w:tab w:val="left" w:pos="1440"/>
        </w:tabs>
        <w:rPr>
          <w:rFonts w:eastAsia="Calibri"/>
        </w:rPr>
      </w:pPr>
      <w:r w:rsidRPr="00E50845">
        <w:rPr>
          <w:rFonts w:eastAsia="Calibri"/>
        </w:rPr>
        <w:t>Moreover, research has shown that such treatments are potentially harmful. Nursing homes serve as one of our most fertile breeding grounds for antibiotic-resistant strains of bacteria—a very high rate of ant</w:t>
      </w:r>
      <w:r w:rsidR="00EA1955">
        <w:rPr>
          <w:rFonts w:eastAsia="Calibri"/>
        </w:rPr>
        <w:t>ibiotic use gives rise to multidrug</w:t>
      </w:r>
      <w:r w:rsidR="00EA1955">
        <w:rPr>
          <w:rFonts w:eastAsia="Calibri"/>
        </w:rPr>
        <w:noBreakHyphen/>
        <w:t>resistant organisms</w:t>
      </w:r>
      <w:r w:rsidRPr="00E50845">
        <w:rPr>
          <w:rFonts w:eastAsia="Calibri"/>
        </w:rPr>
        <w:t xml:space="preserve">, including </w:t>
      </w:r>
      <w:r w:rsidR="00EA1955" w:rsidRPr="00E50845">
        <w:rPr>
          <w:rFonts w:eastAsia="Calibri"/>
        </w:rPr>
        <w:t>methicillin</w:t>
      </w:r>
      <w:r w:rsidR="007263FA">
        <w:rPr>
          <w:rFonts w:eastAsia="Calibri"/>
        </w:rPr>
        <w:noBreakHyphen/>
      </w:r>
      <w:r w:rsidRPr="00E50845">
        <w:rPr>
          <w:rFonts w:eastAsia="Calibri"/>
        </w:rPr>
        <w:t xml:space="preserve">resistant </w:t>
      </w:r>
      <w:r w:rsidRPr="00C942EE">
        <w:rPr>
          <w:rFonts w:eastAsia="Calibri"/>
          <w:i/>
        </w:rPr>
        <w:t>Staphylococcus aureus</w:t>
      </w:r>
      <w:r w:rsidRPr="00E50845">
        <w:rPr>
          <w:rFonts w:eastAsia="Calibri"/>
        </w:rPr>
        <w:t xml:space="preserve"> (MRSA), </w:t>
      </w:r>
      <w:r w:rsidR="00EA1955" w:rsidRPr="00E50845">
        <w:rPr>
          <w:rFonts w:eastAsia="Calibri"/>
        </w:rPr>
        <w:t>vancom</w:t>
      </w:r>
      <w:r w:rsidR="00EA1955">
        <w:rPr>
          <w:rFonts w:eastAsia="Calibri"/>
        </w:rPr>
        <w:t>ycin-resistant enterococci</w:t>
      </w:r>
      <w:r w:rsidRPr="00E50845">
        <w:rPr>
          <w:rFonts w:eastAsia="Calibri"/>
        </w:rPr>
        <w:t xml:space="preserve">, and fluoroquinolone-resistant strains of a variety of </w:t>
      </w:r>
      <w:r w:rsidRPr="00996CD9">
        <w:rPr>
          <w:rFonts w:eastAsia="Calibri"/>
        </w:rPr>
        <w:t>bacteria</w:t>
      </w:r>
      <w:r w:rsidR="00EA1955">
        <w:rPr>
          <w:rFonts w:eastAsia="Calibri"/>
        </w:rPr>
        <w:t>.</w:t>
      </w:r>
      <w:r w:rsidRPr="00996CD9">
        <w:rPr>
          <w:rStyle w:val="FootnoteReference"/>
          <w:rFonts w:eastAsia="Calibri"/>
        </w:rPr>
        <w:footnoteReference w:id="4"/>
      </w:r>
      <w:r w:rsidRPr="00996CD9">
        <w:rPr>
          <w:rFonts w:eastAsia="Calibri"/>
          <w:vertAlign w:val="superscript"/>
        </w:rPr>
        <w:t>,</w:t>
      </w:r>
      <w:r w:rsidRPr="00996CD9">
        <w:rPr>
          <w:rStyle w:val="FootnoteReference"/>
          <w:rFonts w:eastAsia="Calibri"/>
        </w:rPr>
        <w:footnoteReference w:id="5"/>
      </w:r>
      <w:r w:rsidRPr="00996CD9">
        <w:rPr>
          <w:rFonts w:eastAsia="Calibri"/>
          <w:vertAlign w:val="superscript"/>
        </w:rPr>
        <w:t>,</w:t>
      </w:r>
      <w:r w:rsidRPr="00996CD9">
        <w:rPr>
          <w:rStyle w:val="FootnoteReference"/>
          <w:rFonts w:eastAsia="Calibri"/>
        </w:rPr>
        <w:footnoteReference w:id="6"/>
      </w:r>
      <w:r w:rsidRPr="00996CD9">
        <w:rPr>
          <w:rFonts w:eastAsia="Calibri"/>
          <w:vertAlign w:val="superscript"/>
        </w:rPr>
        <w:t>,</w:t>
      </w:r>
      <w:r w:rsidRPr="00996CD9">
        <w:rPr>
          <w:rStyle w:val="FootnoteReference"/>
          <w:rFonts w:eastAsia="Calibri"/>
        </w:rPr>
        <w:footnoteReference w:id="7"/>
      </w:r>
      <w:r w:rsidRPr="00996CD9">
        <w:rPr>
          <w:rFonts w:eastAsia="Calibri"/>
        </w:rPr>
        <w:t xml:space="preserve"> In addition</w:t>
      </w:r>
      <w:r w:rsidRPr="00E50845">
        <w:rPr>
          <w:rFonts w:eastAsia="Calibri"/>
        </w:rPr>
        <w:t xml:space="preserve">, residents with asymptomatic bacteriuria who were treated with an antibiotic have been found to be 8.5 times more likely to develop </w:t>
      </w:r>
      <w:r w:rsidRPr="00C942EE">
        <w:rPr>
          <w:rFonts w:eastAsia="Calibri"/>
          <w:i/>
        </w:rPr>
        <w:t>Clostridium difficile</w:t>
      </w:r>
      <w:r w:rsidRPr="00E50845">
        <w:rPr>
          <w:rFonts w:eastAsia="Calibri"/>
        </w:rPr>
        <w:t xml:space="preserve"> infection within the 3 months following their course of antibiotics</w:t>
      </w:r>
      <w:r w:rsidR="00EA1955">
        <w:rPr>
          <w:rFonts w:eastAsia="Calibri"/>
        </w:rPr>
        <w:t>.</w:t>
      </w:r>
      <w:r>
        <w:rPr>
          <w:rStyle w:val="FootnoteReference"/>
          <w:rFonts w:eastAsia="Calibri"/>
        </w:rPr>
        <w:footnoteReference w:id="8"/>
      </w:r>
    </w:p>
    <w:p w:rsidR="00EA1955" w:rsidRDefault="008A6266" w:rsidP="008A6266">
      <w:pPr>
        <w:pStyle w:val="NHASBodyText"/>
        <w:tabs>
          <w:tab w:val="left" w:pos="1440"/>
        </w:tabs>
      </w:pPr>
      <w:r w:rsidRPr="00E50845">
        <w:rPr>
          <w:rFonts w:eastAsia="Calibri"/>
        </w:rPr>
        <w:t>Embedded in the Suspected UTI SBAR form is our new protocol</w:t>
      </w:r>
      <w:r>
        <w:rPr>
          <w:rFonts w:eastAsia="Calibri"/>
        </w:rPr>
        <w:t xml:space="preserve"> for initiating antibiotics for </w:t>
      </w:r>
      <w:r w:rsidRPr="00E50845">
        <w:rPr>
          <w:rFonts w:eastAsia="Calibri"/>
        </w:rPr>
        <w:t xml:space="preserve">UTIs. In addition to providing standardized information to help with </w:t>
      </w:r>
      <w:proofErr w:type="spellStart"/>
      <w:r w:rsidRPr="00E50845">
        <w:rPr>
          <w:rFonts w:eastAsia="Calibri"/>
        </w:rPr>
        <w:t>decisionmaking</w:t>
      </w:r>
      <w:proofErr w:type="spellEnd"/>
      <w:r w:rsidRPr="00E50845">
        <w:rPr>
          <w:rFonts w:eastAsia="Calibri"/>
        </w:rPr>
        <w:t>, a</w:t>
      </w:r>
      <w:r>
        <w:rPr>
          <w:rFonts w:eastAsia="Calibri"/>
        </w:rPr>
        <w:t xml:space="preserve"> prescribing</w:t>
      </w:r>
      <w:r w:rsidRPr="00E50845">
        <w:rPr>
          <w:rFonts w:eastAsia="Calibri"/>
        </w:rPr>
        <w:t xml:space="preserve"> clinician will be provided with recommendations from the nursing home’s </w:t>
      </w:r>
      <w:r>
        <w:rPr>
          <w:rFonts w:eastAsia="Calibri"/>
        </w:rPr>
        <w:t>criteria</w:t>
      </w:r>
      <w:r w:rsidRPr="00E50845">
        <w:rPr>
          <w:rFonts w:eastAsia="Calibri"/>
        </w:rPr>
        <w:t xml:space="preserve"> for initiating antibiotics. Th</w:t>
      </w:r>
      <w:r>
        <w:rPr>
          <w:rFonts w:eastAsia="Calibri"/>
        </w:rPr>
        <w:t>ese</w:t>
      </w:r>
      <w:r w:rsidRPr="00E50845">
        <w:rPr>
          <w:rFonts w:eastAsia="Calibri"/>
        </w:rPr>
        <w:t xml:space="preserve"> recommendation</w:t>
      </w:r>
      <w:r>
        <w:rPr>
          <w:rFonts w:eastAsia="Calibri"/>
        </w:rPr>
        <w:t>s</w:t>
      </w:r>
      <w:r w:rsidRPr="00E50845">
        <w:rPr>
          <w:rFonts w:eastAsia="Calibri"/>
        </w:rPr>
        <w:t xml:space="preserve"> will be based on current best practices and clinical guidelines</w:t>
      </w:r>
      <w:r>
        <w:rPr>
          <w:rFonts w:eastAsia="Calibri"/>
        </w:rPr>
        <w:t xml:space="preserve"> developed by Loeb et al.,</w:t>
      </w:r>
      <w:r>
        <w:rPr>
          <w:rStyle w:val="FootnoteReference"/>
          <w:rFonts w:eastAsia="Calibri"/>
        </w:rPr>
        <w:footnoteReference w:id="9"/>
      </w:r>
      <w:r>
        <w:rPr>
          <w:rStyle w:val="CommentReference"/>
          <w:rFonts w:ascii="Calibri" w:hAnsi="Calibri" w:cs="Times New Roman"/>
        </w:rPr>
        <w:t xml:space="preserve"> </w:t>
      </w:r>
      <w:r>
        <w:rPr>
          <w:rFonts w:eastAsia="Calibri"/>
        </w:rPr>
        <w:t>and include newer surveillance information by Stone et al.</w:t>
      </w:r>
      <w:r>
        <w:rPr>
          <w:rStyle w:val="FootnoteReference"/>
          <w:rFonts w:eastAsia="Calibri"/>
        </w:rPr>
        <w:footnoteReference w:id="10"/>
      </w:r>
      <w:r>
        <w:rPr>
          <w:rFonts w:eastAsia="Calibri"/>
        </w:rPr>
        <w:t xml:space="preserve"> </w:t>
      </w:r>
      <w:r w:rsidRPr="00E50845">
        <w:rPr>
          <w:rFonts w:eastAsia="Calibri"/>
        </w:rPr>
        <w:t>Nonetheless, prescribing decisions ultimately rest with the prescribing clinician. As with any guideline, unusual circumstances requiring exceptional tr</w:t>
      </w:r>
      <w:r>
        <w:rPr>
          <w:rFonts w:eastAsia="Calibri"/>
        </w:rPr>
        <w:t>eatment will occur.</w:t>
      </w:r>
    </w:p>
    <w:p w:rsidR="008A6266" w:rsidRDefault="008A6266" w:rsidP="00557547">
      <w:pPr>
        <w:pStyle w:val="NHASBodyText"/>
        <w:sectPr w:rsidR="008A6266" w:rsidSect="00833CE3">
          <w:headerReference w:type="even" r:id="rId9"/>
          <w:headerReference w:type="default" r:id="rId10"/>
          <w:footerReference w:type="default" r:id="rId11"/>
          <w:headerReference w:type="first" r:id="rId12"/>
          <w:pgSz w:w="12240" w:h="15840"/>
          <w:pgMar w:top="1440" w:right="1440" w:bottom="1440" w:left="1440" w:header="720" w:footer="648" w:gutter="0"/>
          <w:cols w:space="720"/>
          <w:docGrid w:linePitch="360"/>
        </w:sectPr>
      </w:pPr>
    </w:p>
    <w:p w:rsidR="00557547" w:rsidRPr="00E50845" w:rsidRDefault="00557547" w:rsidP="00557547">
      <w:pPr>
        <w:pStyle w:val="NHASBodyText"/>
        <w:tabs>
          <w:tab w:val="left" w:pos="1440"/>
        </w:tabs>
        <w:rPr>
          <w:rFonts w:eastAsia="Calibri"/>
        </w:rPr>
      </w:pPr>
      <w:r w:rsidRPr="00E50845">
        <w:rPr>
          <w:rFonts w:eastAsia="Calibri"/>
        </w:rPr>
        <w:lastRenderedPageBreak/>
        <w:t xml:space="preserve">In preparation for implementing the form, please find enclosed a copy </w:t>
      </w:r>
      <w:r w:rsidR="007263FA">
        <w:rPr>
          <w:rFonts w:eastAsia="Calibri"/>
        </w:rPr>
        <w:t>of the Suspected UTI </w:t>
      </w:r>
      <w:r w:rsidR="00EA1955">
        <w:rPr>
          <w:rFonts w:eastAsia="Calibri"/>
        </w:rPr>
        <w:t>SBAR form.</w:t>
      </w:r>
    </w:p>
    <w:p w:rsidR="00557547" w:rsidRPr="00E50845" w:rsidRDefault="00557547" w:rsidP="00557547">
      <w:pPr>
        <w:pStyle w:val="NHASBodyText"/>
        <w:tabs>
          <w:tab w:val="left" w:pos="1440"/>
        </w:tabs>
        <w:rPr>
          <w:rFonts w:eastAsia="Calibri"/>
        </w:rPr>
      </w:pPr>
      <w:r w:rsidRPr="00E50845">
        <w:rPr>
          <w:rFonts w:eastAsia="Calibri"/>
        </w:rPr>
        <w:t>Your cooperation with our new protocol is greatly appreciated. We deeply appreciate your assistance in making this a success. If you have any questions, pl</w:t>
      </w:r>
      <w:r w:rsidR="007263FA">
        <w:rPr>
          <w:rFonts w:eastAsia="Calibri"/>
        </w:rPr>
        <w:t>ease feel free to contact me at </w:t>
      </w:r>
      <w:r w:rsidRPr="00E50845">
        <w:rPr>
          <w:rFonts w:eastAsia="Calibri"/>
        </w:rPr>
        <w:t>your convenience at [insert contact information].</w:t>
      </w:r>
    </w:p>
    <w:p w:rsidR="00557547" w:rsidRPr="00E50845" w:rsidRDefault="00557547" w:rsidP="00557547">
      <w:pPr>
        <w:pStyle w:val="NHASBodyText"/>
        <w:tabs>
          <w:tab w:val="left" w:pos="1440"/>
        </w:tabs>
        <w:spacing w:after="840"/>
        <w:rPr>
          <w:rFonts w:eastAsia="Calibri"/>
        </w:rPr>
      </w:pPr>
      <w:r w:rsidRPr="00E50845">
        <w:rPr>
          <w:rFonts w:eastAsia="Calibri"/>
        </w:rPr>
        <w:t>Sincerely,</w:t>
      </w:r>
    </w:p>
    <w:p w:rsidR="006B7A85" w:rsidRPr="00557547" w:rsidRDefault="00557547" w:rsidP="00557547">
      <w:pPr>
        <w:pStyle w:val="NHASBodyText"/>
        <w:tabs>
          <w:tab w:val="left" w:pos="1440"/>
        </w:tabs>
        <w:rPr>
          <w:rFonts w:eastAsia="Calibri"/>
        </w:rPr>
      </w:pPr>
      <w:r w:rsidRPr="00E50845">
        <w:rPr>
          <w:rFonts w:eastAsia="Calibri"/>
        </w:rPr>
        <w:t>[Insert name, title, and address]</w:t>
      </w:r>
    </w:p>
    <w:sectPr w:rsidR="006B7A85" w:rsidRPr="00557547" w:rsidSect="007C18FF">
      <w:headerReference w:type="default" r:id="rId13"/>
      <w:footerReference w:type="default" r:id="rId14"/>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47" w:rsidRDefault="00557547" w:rsidP="00E32D5F">
      <w:pPr>
        <w:spacing w:after="0" w:line="240" w:lineRule="auto"/>
      </w:pPr>
      <w:r>
        <w:separator/>
      </w:r>
    </w:p>
  </w:endnote>
  <w:endnote w:type="continuationSeparator" w:id="0">
    <w:p w:rsidR="00557547" w:rsidRDefault="00557547"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Footer"/>
      <w:rPr>
        <w:rFonts w:ascii="Arial" w:hAnsi="Arial" w:cs="Arial"/>
      </w:rPr>
    </w:pPr>
    <w:r w:rsidRPr="004A60C0">
      <w:rPr>
        <w:rFonts w:ascii="Arial" w:hAnsi="Arial" w:cs="Arial"/>
      </w:rPr>
      <w:t>Nursing Home Antimicrobial Stewardship Guid</w:t>
    </w:r>
    <w:r w:rsidR="00AC6652">
      <w:rPr>
        <w:noProof/>
      </w:rPr>
      <w:drawing>
        <wp:anchor distT="0" distB="0" distL="114300" distR="114300" simplePos="0" relativeHeight="251658240" behindDoc="1" locked="0" layoutInCell="1" allowOverlap="1" wp14:anchorId="321A6779" wp14:editId="3A004C46">
          <wp:simplePos x="914400" y="9267825"/>
          <wp:positionH relativeFrom="page">
            <wp:align>right</wp:align>
          </wp:positionH>
          <wp:positionV relativeFrom="page">
            <wp:align>bottom</wp:align>
          </wp:positionV>
          <wp:extent cx="4334256" cy="10332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e</w:t>
    </w:r>
  </w:p>
  <w:p w:rsidR="00E32D5F" w:rsidRPr="00833CE3" w:rsidRDefault="00557547" w:rsidP="00833CE3">
    <w:pPr>
      <w:pStyle w:val="Footer"/>
      <w:tabs>
        <w:tab w:val="clear" w:pos="4680"/>
        <w:tab w:val="clear" w:pos="9360"/>
        <w:tab w:val="left" w:pos="7380"/>
        <w:tab w:val="right" w:pos="10080"/>
      </w:tabs>
      <w:rPr>
        <w:rFonts w:ascii="Arial" w:hAnsi="Arial" w:cs="Arial"/>
        <w:color w:val="FFFFFF" w:themeColor="background1"/>
      </w:rPr>
    </w:pPr>
    <w:r>
      <w:rPr>
        <w:rFonts w:ascii="Arial" w:hAnsi="Arial" w:cs="Arial"/>
      </w:rPr>
      <w:t>Determine Whether To Treat</w:t>
    </w:r>
    <w:r w:rsidR="00833CE3">
      <w:rPr>
        <w:rFonts w:ascii="Arial" w:hAnsi="Arial" w:cs="Arial"/>
      </w:rPr>
      <w:tab/>
    </w:r>
    <w:r>
      <w:rPr>
        <w:rFonts w:ascii="Arial" w:hAnsi="Arial" w:cs="Arial"/>
        <w:color w:val="FFFFFF" w:themeColor="background1"/>
      </w:rPr>
      <w:t>Toolkit 1/Tool 2</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343503">
      <w:rPr>
        <w:rFonts w:ascii="Arial" w:hAnsi="Arial" w:cs="Arial"/>
        <w:noProof/>
        <w:color w:val="FFFFFF" w:themeColor="background1"/>
      </w:rPr>
      <w:t>2</w:t>
    </w:r>
    <w:r w:rsidR="00833CE3"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55" w:rsidRDefault="00EA1955" w:rsidP="00EA1955">
    <w:pPr>
      <w:pStyle w:val="Footer"/>
      <w:tabs>
        <w:tab w:val="clear" w:pos="4680"/>
      </w:tabs>
      <w:jc w:val="right"/>
      <w:rPr>
        <w:rFonts w:ascii="Arial" w:hAnsi="Arial" w:cs="Arial"/>
      </w:rPr>
    </w:pPr>
    <w:r>
      <w:rPr>
        <w:rFonts w:ascii="Arial" w:hAnsi="Arial" w:cs="Arial"/>
      </w:rPr>
      <w:t>AHRQ Pub. No. 17-0006-3-EF</w:t>
    </w:r>
  </w:p>
  <w:p w:rsidR="00EA1955" w:rsidRDefault="00EA1955" w:rsidP="00EA1955">
    <w:pPr>
      <w:pStyle w:val="Footer"/>
      <w:tabs>
        <w:tab w:val="clear" w:pos="4680"/>
      </w:tabs>
      <w:spacing w:after="440"/>
      <w:jc w:val="right"/>
      <w:rPr>
        <w:rFonts w:ascii="Arial" w:hAnsi="Arial" w:cs="Arial"/>
      </w:rPr>
    </w:pPr>
    <w:r>
      <w:rPr>
        <w:rFonts w:ascii="Arial" w:hAnsi="Arial" w:cs="Arial"/>
      </w:rPr>
      <w:t>October 2016</w:t>
    </w:r>
  </w:p>
  <w:p w:rsidR="00557547" w:rsidRDefault="00557547">
    <w:pPr>
      <w:pStyle w:val="Footer"/>
      <w:rPr>
        <w:rFonts w:ascii="Arial" w:hAnsi="Arial" w:cs="Arial"/>
      </w:rPr>
    </w:pPr>
    <w:r w:rsidRPr="004A60C0">
      <w:rPr>
        <w:rFonts w:ascii="Arial" w:hAnsi="Arial" w:cs="Arial"/>
      </w:rPr>
      <w:t>Nursing Home Antimicrobial Stewardship Guid</w:t>
    </w:r>
    <w:r>
      <w:rPr>
        <w:noProof/>
      </w:rPr>
      <w:drawing>
        <wp:anchor distT="0" distB="0" distL="114300" distR="114300" simplePos="0" relativeHeight="251661312" behindDoc="1" locked="0" layoutInCell="1" allowOverlap="1" wp14:anchorId="22DFEB92" wp14:editId="035CFAC9">
          <wp:simplePos x="914400" y="9267825"/>
          <wp:positionH relativeFrom="page">
            <wp:align>right</wp:align>
          </wp:positionH>
          <wp:positionV relativeFrom="page">
            <wp:align>bottom</wp:align>
          </wp:positionV>
          <wp:extent cx="4334256" cy="10332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e</w:t>
    </w:r>
  </w:p>
  <w:p w:rsidR="00557547" w:rsidRPr="00833CE3" w:rsidRDefault="00557547" w:rsidP="00833CE3">
    <w:pPr>
      <w:pStyle w:val="Footer"/>
      <w:tabs>
        <w:tab w:val="clear" w:pos="4680"/>
        <w:tab w:val="clear" w:pos="9360"/>
        <w:tab w:val="left" w:pos="7380"/>
        <w:tab w:val="right" w:pos="10080"/>
      </w:tabs>
      <w:rPr>
        <w:rFonts w:ascii="Arial" w:hAnsi="Arial" w:cs="Arial"/>
        <w:color w:val="FFFFFF" w:themeColor="background1"/>
      </w:rPr>
    </w:pPr>
    <w:r>
      <w:rPr>
        <w:rFonts w:ascii="Arial" w:hAnsi="Arial" w:cs="Arial"/>
      </w:rPr>
      <w:t>Determine Whether To Treat</w:t>
    </w:r>
    <w:r>
      <w:rPr>
        <w:rFonts w:ascii="Arial" w:hAnsi="Arial" w:cs="Arial"/>
      </w:rPr>
      <w:tab/>
    </w:r>
    <w:r>
      <w:rPr>
        <w:rFonts w:ascii="Arial" w:hAnsi="Arial" w:cs="Arial"/>
        <w:color w:val="FFFFFF" w:themeColor="background1"/>
      </w:rPr>
      <w:t>Toolkit 1/Tool 2</w:t>
    </w:r>
    <w:r>
      <w:rPr>
        <w:rFonts w:ascii="Arial" w:hAnsi="Arial" w:cs="Arial"/>
        <w:color w:val="FFFFFF" w:themeColor="background1"/>
      </w:rPr>
      <w:tab/>
    </w:r>
    <w:r w:rsidRPr="004A60C0">
      <w:rPr>
        <w:rFonts w:ascii="Arial" w:hAnsi="Arial" w:cs="Arial"/>
        <w:color w:val="FFFFFF" w:themeColor="background1"/>
      </w:rPr>
      <w:fldChar w:fldCharType="begin"/>
    </w:r>
    <w:r w:rsidRPr="004A60C0">
      <w:rPr>
        <w:rFonts w:ascii="Arial" w:hAnsi="Arial" w:cs="Arial"/>
        <w:color w:val="FFFFFF" w:themeColor="background1"/>
      </w:rPr>
      <w:instrText xml:space="preserve"> PAGE   \* MERGEFORMAT </w:instrText>
    </w:r>
    <w:r w:rsidRPr="004A60C0">
      <w:rPr>
        <w:rFonts w:ascii="Arial" w:hAnsi="Arial" w:cs="Arial"/>
        <w:color w:val="FFFFFF" w:themeColor="background1"/>
      </w:rPr>
      <w:fldChar w:fldCharType="separate"/>
    </w:r>
    <w:r w:rsidR="00343503">
      <w:rPr>
        <w:rFonts w:ascii="Arial" w:hAnsi="Arial" w:cs="Arial"/>
        <w:noProof/>
        <w:color w:val="FFFFFF" w:themeColor="background1"/>
      </w:rPr>
      <w:t>3</w:t>
    </w:r>
    <w:r w:rsidRPr="004A60C0">
      <w:rPr>
        <w:rFonts w:ascii="Arial" w:hAnsi="Arial" w:cs="Arial"/>
        <w:noProof/>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47" w:rsidRDefault="00557547" w:rsidP="00E32D5F">
      <w:pPr>
        <w:spacing w:after="0" w:line="240" w:lineRule="auto"/>
      </w:pPr>
      <w:r>
        <w:separator/>
      </w:r>
    </w:p>
  </w:footnote>
  <w:footnote w:type="continuationSeparator" w:id="0">
    <w:p w:rsidR="00557547" w:rsidRDefault="00557547" w:rsidP="00E32D5F">
      <w:pPr>
        <w:spacing w:after="0" w:line="240" w:lineRule="auto"/>
      </w:pPr>
      <w:r>
        <w:continuationSeparator/>
      </w:r>
    </w:p>
  </w:footnote>
  <w:footnote w:id="1">
    <w:p w:rsidR="00557547" w:rsidRDefault="00557547" w:rsidP="00557547">
      <w:pPr>
        <w:pStyle w:val="NHASReference"/>
      </w:pPr>
      <w:r>
        <w:rPr>
          <w:rStyle w:val="FootnoteReference"/>
        </w:rPr>
        <w:footnoteRef/>
      </w:r>
      <w:r>
        <w:tab/>
      </w:r>
      <w:r w:rsidRPr="00AB6DA5">
        <w:t>Nicolle LE. Asymptomatic bacteriuria–Important or not? N Engl J Med</w:t>
      </w:r>
      <w:r w:rsidRPr="00AB6DA5">
        <w:rPr>
          <w:i/>
        </w:rPr>
        <w:t>.</w:t>
      </w:r>
      <w:r w:rsidRPr="00AB6DA5">
        <w:t xml:space="preserve"> 2000;343(14):1037-9. PMID: 11018172.</w:t>
      </w:r>
    </w:p>
  </w:footnote>
  <w:footnote w:id="2">
    <w:p w:rsidR="00557547" w:rsidRDefault="00557547" w:rsidP="00557547">
      <w:pPr>
        <w:pStyle w:val="NHASReference"/>
      </w:pPr>
      <w:r w:rsidRPr="00AB6DA5">
        <w:rPr>
          <w:rStyle w:val="FootnoteReference"/>
        </w:rPr>
        <w:footnoteRef/>
      </w:r>
      <w:r>
        <w:tab/>
      </w:r>
      <w:r w:rsidRPr="00AB6DA5">
        <w:t>Colgan R, Nicolle LE, McGlone A, et al. Asymptomatic bacteriuria in</w:t>
      </w:r>
      <w:r w:rsidR="008A6266">
        <w:t xml:space="preserve"> adults. Am Fam Physician. 2006 </w:t>
      </w:r>
      <w:r w:rsidRPr="00AB6DA5">
        <w:t>Sep;74(6):985-90. PMID: 17002033.</w:t>
      </w:r>
    </w:p>
  </w:footnote>
  <w:footnote w:id="3">
    <w:p w:rsidR="00557547" w:rsidRPr="00B92AB2" w:rsidRDefault="00557547" w:rsidP="00557547">
      <w:pPr>
        <w:pStyle w:val="NHASReference"/>
      </w:pPr>
      <w:r w:rsidRPr="00B92AB2">
        <w:rPr>
          <w:rStyle w:val="FootnoteReference"/>
        </w:rPr>
        <w:footnoteRef/>
      </w:r>
      <w:r w:rsidRPr="00B92AB2">
        <w:tab/>
        <w:t>U.S. Preventive Services Task Force. Screening for asymptomatic bacteriuria in adults: U.S. Preventive Services Task Force reaffirmation recommendation statement. Ann Intern Med. 2008 Jul;149(1):43-7. PMID: 18591636.</w:t>
      </w:r>
    </w:p>
  </w:footnote>
  <w:footnote w:id="4">
    <w:p w:rsidR="00557547" w:rsidRPr="00B92AB2" w:rsidRDefault="00557547" w:rsidP="00557547">
      <w:pPr>
        <w:pStyle w:val="NHASReference"/>
      </w:pPr>
      <w:r w:rsidRPr="00B92AB2">
        <w:rPr>
          <w:rStyle w:val="FootnoteReference"/>
        </w:rPr>
        <w:footnoteRef/>
      </w:r>
      <w:r w:rsidRPr="00B92AB2">
        <w:tab/>
        <w:t xml:space="preserve">Denis O, Jans B, Deplano A, et al. Epidemiology of methicillin-resistant </w:t>
      </w:r>
      <w:r w:rsidRPr="00B92AB2">
        <w:rPr>
          <w:i/>
        </w:rPr>
        <w:t>Staphylococcus aureus</w:t>
      </w:r>
      <w:r w:rsidRPr="00B92AB2">
        <w:t xml:space="preserve"> (MRSA) among residents of nursing homes in Belgium. J Antimicrob Chemother. 2009 Dec;64(6):1299-306. PMID: 19808236.</w:t>
      </w:r>
    </w:p>
  </w:footnote>
  <w:footnote w:id="5">
    <w:p w:rsidR="00557547" w:rsidRPr="00B92AB2" w:rsidRDefault="00557547" w:rsidP="00557547">
      <w:pPr>
        <w:pStyle w:val="NHASReference"/>
      </w:pPr>
      <w:r w:rsidRPr="00B92AB2">
        <w:rPr>
          <w:rStyle w:val="FootnoteReference"/>
        </w:rPr>
        <w:footnoteRef/>
      </w:r>
      <w:r w:rsidRPr="00B92AB2">
        <w:tab/>
        <w:t>Lautenbach E, Marsicano R, Tolomeo P, et al. Epidemiology of antimicrobial resistance among gram-negative organisms recovered from patients in a multistate network of long-term care facilities. Infect Control Hosp Epidemiol. 2009 Aug;30(8):790-3. PMID: 19566445.</w:t>
      </w:r>
    </w:p>
  </w:footnote>
  <w:footnote w:id="6">
    <w:p w:rsidR="00557547" w:rsidRPr="00B92AB2" w:rsidRDefault="00557547" w:rsidP="00557547">
      <w:pPr>
        <w:pStyle w:val="NHASReference"/>
      </w:pPr>
      <w:r w:rsidRPr="00B92AB2">
        <w:rPr>
          <w:rStyle w:val="FootnoteReference"/>
        </w:rPr>
        <w:footnoteRef/>
      </w:r>
      <w:r w:rsidRPr="00B92AB2">
        <w:tab/>
        <w:t>Matheï C, Niclaes L, Suetens C, et al. Infections in residents of nursing homes. Infect Dis Clin N Am. 2007;21:761</w:t>
      </w:r>
      <w:r>
        <w:t>-</w:t>
      </w:r>
      <w:r w:rsidRPr="00B92AB2">
        <w:t>2</w:t>
      </w:r>
      <w:r>
        <w:t>.</w:t>
      </w:r>
    </w:p>
  </w:footnote>
  <w:footnote w:id="7">
    <w:p w:rsidR="00557547" w:rsidRPr="00B92AB2" w:rsidRDefault="00557547" w:rsidP="00557547">
      <w:pPr>
        <w:pStyle w:val="NHASReference"/>
      </w:pPr>
      <w:r w:rsidRPr="00B92AB2">
        <w:rPr>
          <w:rStyle w:val="FootnoteReference"/>
        </w:rPr>
        <w:footnoteRef/>
      </w:r>
      <w:r w:rsidRPr="008A6266">
        <w:tab/>
      </w:r>
      <w:r w:rsidRPr="00B92AB2">
        <w:t xml:space="preserve">Sandoval C, Walter SD, McGeer A, et al. Nursing home residents and </w:t>
      </w:r>
      <w:r w:rsidRPr="00B92AB2">
        <w:rPr>
          <w:i/>
        </w:rPr>
        <w:t>Enterobacteriaceae</w:t>
      </w:r>
      <w:r w:rsidR="008A6266">
        <w:t xml:space="preserve"> resistant to third</w:t>
      </w:r>
      <w:r w:rsidR="008A6266">
        <w:noBreakHyphen/>
      </w:r>
      <w:r w:rsidRPr="00B92AB2">
        <w:t>generation cephalosporins. Emerg Infect Dis. 2004 June;10(6):1050-5. PMCID: PMC3323163.</w:t>
      </w:r>
    </w:p>
  </w:footnote>
  <w:footnote w:id="8">
    <w:p w:rsidR="00557547" w:rsidRDefault="00557547" w:rsidP="00557547">
      <w:pPr>
        <w:pStyle w:val="NHASReference"/>
      </w:pPr>
      <w:r w:rsidRPr="00B92AB2">
        <w:rPr>
          <w:rStyle w:val="FootnoteReference"/>
        </w:rPr>
        <w:footnoteRef/>
      </w:r>
      <w:r w:rsidRPr="00B92AB2">
        <w:tab/>
        <w:t>Rotjanapan P, Dosa D, Thomas KS. Potentially inappropriate treatment of urinar</w:t>
      </w:r>
      <w:r w:rsidR="008A6266">
        <w:t>y tract infections in two Rhode </w:t>
      </w:r>
      <w:r w:rsidRPr="00B92AB2">
        <w:t>Island nursing homes. Arch Intern Med. 2011 Mar;171(5):438-43. PMID: 21403040.</w:t>
      </w:r>
    </w:p>
  </w:footnote>
  <w:footnote w:id="9">
    <w:p w:rsidR="008A6266" w:rsidRDefault="008A6266" w:rsidP="008A6266">
      <w:pPr>
        <w:pStyle w:val="FootnoteText"/>
      </w:pPr>
      <w:r>
        <w:rPr>
          <w:rStyle w:val="FootnoteReference"/>
        </w:rPr>
        <w:footnoteRef/>
      </w:r>
      <w:r>
        <w:tab/>
        <w:t xml:space="preserve">Loeb M, Bentley DW, Bradley S, Crossley K, Garibaldi R, </w:t>
      </w:r>
      <w:proofErr w:type="spellStart"/>
      <w:r>
        <w:t>Gantz</w:t>
      </w:r>
      <w:proofErr w:type="spellEnd"/>
      <w:r>
        <w:t xml:space="preserve"> N, </w:t>
      </w:r>
      <w:proofErr w:type="spellStart"/>
      <w:r>
        <w:t>McGeer</w:t>
      </w:r>
      <w:proofErr w:type="spellEnd"/>
      <w:r>
        <w:t xml:space="preserve"> A, </w:t>
      </w:r>
      <w:proofErr w:type="spellStart"/>
      <w:r>
        <w:t>Muder</w:t>
      </w:r>
      <w:proofErr w:type="spellEnd"/>
      <w:r>
        <w:t xml:space="preserve"> RR, </w:t>
      </w:r>
      <w:proofErr w:type="spellStart"/>
      <w:r>
        <w:t>Mylotte</w:t>
      </w:r>
      <w:proofErr w:type="spellEnd"/>
      <w:r>
        <w:t xml:space="preserve"> J, Nicolle LE, Nurse B, Paton S, </w:t>
      </w:r>
      <w:proofErr w:type="spellStart"/>
      <w:r>
        <w:t>Simor</w:t>
      </w:r>
      <w:proofErr w:type="spellEnd"/>
      <w:r>
        <w:t xml:space="preserve"> AE, Smith P, </w:t>
      </w:r>
      <w:proofErr w:type="spellStart"/>
      <w:r>
        <w:t>Strausbaugh</w:t>
      </w:r>
      <w:proofErr w:type="spellEnd"/>
      <w:r>
        <w:t xml:space="preserve"> L. Development of minimum criteria for the initiation of antibiotics in residents of long-term-care facilities: results of a consensus conference. Infect Control </w:t>
      </w:r>
      <w:proofErr w:type="spellStart"/>
      <w:r>
        <w:t>Hosp</w:t>
      </w:r>
      <w:proofErr w:type="spellEnd"/>
      <w:r>
        <w:t xml:space="preserve"> </w:t>
      </w:r>
      <w:proofErr w:type="spellStart"/>
      <w:r>
        <w:t>Epidemiol</w:t>
      </w:r>
      <w:proofErr w:type="spellEnd"/>
      <w:r>
        <w:t>. 2001 Feb</w:t>
      </w:r>
      <w:proofErr w:type="gramStart"/>
      <w:r>
        <w:t>;22</w:t>
      </w:r>
      <w:proofErr w:type="gramEnd"/>
      <w:r>
        <w:t xml:space="preserve">(2):120-4. </w:t>
      </w:r>
      <w:proofErr w:type="gramStart"/>
      <w:r>
        <w:t>Review.</w:t>
      </w:r>
      <w:proofErr w:type="gramEnd"/>
      <w:r>
        <w:t xml:space="preserve"> PubMed PMID: 11232875.</w:t>
      </w:r>
    </w:p>
  </w:footnote>
  <w:footnote w:id="10">
    <w:p w:rsidR="008A6266" w:rsidRDefault="008A6266" w:rsidP="008A6266">
      <w:pPr>
        <w:pStyle w:val="FootnoteText"/>
      </w:pPr>
      <w:r>
        <w:rPr>
          <w:rStyle w:val="FootnoteReference"/>
        </w:rPr>
        <w:footnoteRef/>
      </w:r>
      <w:r>
        <w:tab/>
      </w:r>
      <w:r w:rsidRPr="00FD4462">
        <w:t xml:space="preserve">Stone ND, Ashraf MS, Calder J, </w:t>
      </w:r>
      <w:proofErr w:type="spellStart"/>
      <w:r w:rsidRPr="00FD4462">
        <w:t>Crnich</w:t>
      </w:r>
      <w:proofErr w:type="spellEnd"/>
      <w:r w:rsidRPr="00FD4462">
        <w:t xml:space="preserve"> CJ, Crossley K, </w:t>
      </w:r>
      <w:proofErr w:type="spellStart"/>
      <w:r w:rsidRPr="00FD4462">
        <w:t>Drinka</w:t>
      </w:r>
      <w:proofErr w:type="spellEnd"/>
      <w:r w:rsidRPr="00FD4462">
        <w:t xml:space="preserve"> PJ, Gould CV,</w:t>
      </w:r>
      <w:r>
        <w:t xml:space="preserve"> </w:t>
      </w:r>
      <w:proofErr w:type="spellStart"/>
      <w:r w:rsidRPr="00FD4462">
        <w:t>Juthani</w:t>
      </w:r>
      <w:proofErr w:type="spellEnd"/>
      <w:r w:rsidRPr="00FD4462">
        <w:t xml:space="preserve">-Mehta M, </w:t>
      </w:r>
      <w:proofErr w:type="spellStart"/>
      <w:r w:rsidRPr="00FD4462">
        <w:t>Lautenbach</w:t>
      </w:r>
      <w:proofErr w:type="spellEnd"/>
      <w:r w:rsidRPr="00FD4462">
        <w:t xml:space="preserve"> E, Loeb M, </w:t>
      </w:r>
      <w:proofErr w:type="spellStart"/>
      <w:r w:rsidRPr="00FD4462">
        <w:t>Maccannell</w:t>
      </w:r>
      <w:proofErr w:type="spellEnd"/>
      <w:r w:rsidRPr="00FD4462">
        <w:t xml:space="preserve"> T, </w:t>
      </w:r>
      <w:proofErr w:type="spellStart"/>
      <w:r w:rsidRPr="00FD4462">
        <w:t>Malani</w:t>
      </w:r>
      <w:proofErr w:type="spellEnd"/>
      <w:r w:rsidRPr="00FD4462">
        <w:t xml:space="preserve"> PN, </w:t>
      </w:r>
      <w:proofErr w:type="spellStart"/>
      <w:r w:rsidRPr="00FD4462">
        <w:t>Mody</w:t>
      </w:r>
      <w:proofErr w:type="spellEnd"/>
      <w:r w:rsidRPr="00FD4462">
        <w:t xml:space="preserve"> L, </w:t>
      </w:r>
      <w:proofErr w:type="spellStart"/>
      <w:r w:rsidRPr="00FD4462">
        <w:t>Mylotte</w:t>
      </w:r>
      <w:proofErr w:type="spellEnd"/>
      <w:r>
        <w:t xml:space="preserve"> </w:t>
      </w:r>
      <w:r w:rsidRPr="00FD4462">
        <w:t xml:space="preserve">JM, Nicolle LE, </w:t>
      </w:r>
      <w:proofErr w:type="spellStart"/>
      <w:r w:rsidRPr="00FD4462">
        <w:t>Roghmann</w:t>
      </w:r>
      <w:proofErr w:type="spellEnd"/>
      <w:r w:rsidRPr="00FD4462">
        <w:t xml:space="preserve"> MC, </w:t>
      </w:r>
      <w:proofErr w:type="spellStart"/>
      <w:r w:rsidRPr="00FD4462">
        <w:t>Schweon</w:t>
      </w:r>
      <w:proofErr w:type="spellEnd"/>
      <w:r w:rsidRPr="00FD4462">
        <w:t xml:space="preserve"> SJ, </w:t>
      </w:r>
      <w:proofErr w:type="spellStart"/>
      <w:r w:rsidRPr="00FD4462">
        <w:t>Simor</w:t>
      </w:r>
      <w:proofErr w:type="spellEnd"/>
      <w:r w:rsidRPr="00FD4462">
        <w:t xml:space="preserve"> AE, Smith PW, Stevenson KB,</w:t>
      </w:r>
      <w:r>
        <w:t xml:space="preserve"> </w:t>
      </w:r>
      <w:r w:rsidRPr="00FD4462">
        <w:t>Bradley SF; Society for Healthcare Epidemiology Long-Term Care Special Interest</w:t>
      </w:r>
      <w:r>
        <w:t xml:space="preserve"> </w:t>
      </w:r>
      <w:r w:rsidRPr="00FD4462">
        <w:t>Group. Surveillance definitions of infections in long-term care facilities:</w:t>
      </w:r>
      <w:r>
        <w:t xml:space="preserve"> </w:t>
      </w:r>
      <w:r w:rsidRPr="00FD4462">
        <w:t xml:space="preserve">revisiting the </w:t>
      </w:r>
      <w:proofErr w:type="spellStart"/>
      <w:r w:rsidRPr="00FD4462">
        <w:t>McGeer</w:t>
      </w:r>
      <w:proofErr w:type="spellEnd"/>
      <w:r w:rsidRPr="00FD4462">
        <w:t xml:space="preserve"> criteria. Infect Control </w:t>
      </w:r>
      <w:proofErr w:type="spellStart"/>
      <w:r w:rsidRPr="00FD4462">
        <w:t>Hosp</w:t>
      </w:r>
      <w:proofErr w:type="spellEnd"/>
      <w:r w:rsidRPr="00FD4462">
        <w:t xml:space="preserve"> </w:t>
      </w:r>
      <w:proofErr w:type="spellStart"/>
      <w:r w:rsidRPr="00FD4462">
        <w:t>Epidemiol</w:t>
      </w:r>
      <w:proofErr w:type="spellEnd"/>
      <w:r w:rsidRPr="00FD4462">
        <w:t>. 2012</w:t>
      </w:r>
      <w:r>
        <w:t xml:space="preserve"> </w:t>
      </w:r>
      <w:r w:rsidRPr="00FD4462">
        <w:t>Oct</w:t>
      </w:r>
      <w:proofErr w:type="gramStart"/>
      <w:r w:rsidRPr="00FD4462">
        <w:t>;33</w:t>
      </w:r>
      <w:proofErr w:type="gramEnd"/>
      <w:r w:rsidRPr="00FD4462">
        <w:t xml:space="preserve">(10):965-77. </w:t>
      </w:r>
      <w:proofErr w:type="spellStart"/>
      <w:proofErr w:type="gramStart"/>
      <w:r w:rsidRPr="00FD4462">
        <w:t>doi</w:t>
      </w:r>
      <w:proofErr w:type="spellEnd"/>
      <w:proofErr w:type="gramEnd"/>
      <w:r w:rsidRPr="00FD4462">
        <w:t>: 10.1086/667743. PubMed PMID: 22961014; PubMed Central</w:t>
      </w:r>
      <w:r>
        <w:t xml:space="preserve"> </w:t>
      </w:r>
      <w:r w:rsidRPr="00FD4462">
        <w:t>PMCID: PMC3538836.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08A27EF4" wp14:editId="5CED173A">
          <wp:simplePos x="0" y="0"/>
          <wp:positionH relativeFrom="page">
            <wp:posOffset>-45720</wp:posOffset>
          </wp:positionH>
          <wp:positionV relativeFrom="page">
            <wp:posOffset>-8890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557547"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Determine Whether To Treat</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33CE3" w:rsidP="00BB75BB">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sidR="00557547">
      <w:rPr>
        <w:rFonts w:ascii="Arial" w:hAnsi="Arial" w:cs="Arial"/>
        <w:sz w:val="32"/>
        <w:szCs w:val="32"/>
      </w:rPr>
      <w:t>Suspected UTI SBAR Toolkit</w:t>
    </w:r>
  </w:p>
  <w:p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310440"/>
      <w:docPartObj>
        <w:docPartGallery w:val="Watermarks"/>
        <w:docPartUnique/>
      </w:docPartObj>
    </w:sdtPr>
    <w:sdtEndPr/>
    <w:sdtContent>
      <w:p w:rsidR="00E32D5F" w:rsidRPr="00BB75BB" w:rsidRDefault="00623AC0">
        <w:pPr>
          <w:pStyle w:val="Header"/>
          <w:rPr>
            <w:rFonts w:ascii="Arial" w:hAnsi="Arial" w:cs="Arial"/>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92941"/>
      <w:docPartObj>
        <w:docPartGallery w:val="Watermarks"/>
        <w:docPartUnique/>
      </w:docPartObj>
    </w:sdtPr>
    <w:sdtEndPr/>
    <w:sdtContent>
      <w:p w:rsidR="00557547" w:rsidRPr="00BB75BB" w:rsidRDefault="00623AC0">
        <w:pPr>
          <w:pStyle w:val="Header"/>
          <w:rPr>
            <w:rFonts w:ascii="Arial" w:hAnsi="Arial" w:cs="Arial"/>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47"/>
    <w:rsid w:val="00092DD3"/>
    <w:rsid w:val="00343503"/>
    <w:rsid w:val="003C2895"/>
    <w:rsid w:val="00501880"/>
    <w:rsid w:val="00557547"/>
    <w:rsid w:val="006B7A85"/>
    <w:rsid w:val="007263FA"/>
    <w:rsid w:val="007C18FF"/>
    <w:rsid w:val="00833CE3"/>
    <w:rsid w:val="008A6266"/>
    <w:rsid w:val="00AC6652"/>
    <w:rsid w:val="00BB75BB"/>
    <w:rsid w:val="00E32D5F"/>
    <w:rsid w:val="00EA1955"/>
    <w:rsid w:val="00FA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47"/>
  </w:style>
  <w:style w:type="paragraph" w:styleId="Heading4">
    <w:name w:val="heading 4"/>
    <w:basedOn w:val="Normal"/>
    <w:next w:val="Normal"/>
    <w:link w:val="Heading4Char"/>
    <w:uiPriority w:val="9"/>
    <w:unhideWhenUsed/>
    <w:qFormat/>
    <w:rsid w:val="00557547"/>
    <w:pPr>
      <w:keepNext/>
      <w:keepLines/>
      <w:spacing w:after="120"/>
      <w:outlineLvl w:val="3"/>
    </w:pPr>
    <w:rPr>
      <w:rFonts w:ascii="Arial" w:eastAsia="Times New Roman" w:hAnsi="Arial" w:cs="Times New Roman"/>
      <w:b/>
      <w:bCs/>
      <w:iCs/>
      <w:color w:val="49176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4Char">
    <w:name w:val="Heading 4 Char"/>
    <w:basedOn w:val="DefaultParagraphFont"/>
    <w:link w:val="Heading4"/>
    <w:uiPriority w:val="9"/>
    <w:rsid w:val="00557547"/>
    <w:rPr>
      <w:rFonts w:ascii="Arial" w:eastAsia="Times New Roman" w:hAnsi="Arial" w:cs="Times New Roman"/>
      <w:b/>
      <w:bCs/>
      <w:iCs/>
      <w:color w:val="49176D"/>
      <w:sz w:val="26"/>
    </w:rPr>
  </w:style>
  <w:style w:type="character" w:styleId="FootnoteReference">
    <w:name w:val="footnote reference"/>
    <w:uiPriority w:val="99"/>
    <w:rsid w:val="00557547"/>
    <w:rPr>
      <w:vertAlign w:val="superscript"/>
    </w:rPr>
  </w:style>
  <w:style w:type="paragraph" w:customStyle="1" w:styleId="NHASBodyText">
    <w:name w:val="NHAS_Body Text"/>
    <w:rsid w:val="008A6266"/>
    <w:pPr>
      <w:spacing w:after="240" w:line="240" w:lineRule="auto"/>
    </w:pPr>
    <w:rPr>
      <w:rFonts w:ascii="Times New Roman" w:eastAsia="Times New Roman" w:hAnsi="Times New Roman" w:cs="Times"/>
      <w:sz w:val="24"/>
    </w:rPr>
  </w:style>
  <w:style w:type="paragraph" w:customStyle="1" w:styleId="NHASBodyTextPreBullet">
    <w:name w:val="NHAS_Body Text_PreBullet"/>
    <w:basedOn w:val="NHASBodyText"/>
    <w:qFormat/>
    <w:rsid w:val="00557547"/>
    <w:pPr>
      <w:spacing w:after="120"/>
    </w:pPr>
  </w:style>
  <w:style w:type="paragraph" w:customStyle="1" w:styleId="NHASReference">
    <w:name w:val="NHAS_Reference"/>
    <w:basedOn w:val="NHASBodyText"/>
    <w:qFormat/>
    <w:rsid w:val="00557547"/>
    <w:pPr>
      <w:spacing w:after="0"/>
      <w:ind w:left="216" w:hanging="216"/>
    </w:pPr>
    <w:rPr>
      <w:rFonts w:cs="Times New Roman"/>
      <w:noProof/>
      <w:sz w:val="20"/>
      <w:szCs w:val="24"/>
    </w:rPr>
  </w:style>
  <w:style w:type="character" w:styleId="CommentReference">
    <w:name w:val="annotation reference"/>
    <w:unhideWhenUsed/>
    <w:rsid w:val="00557547"/>
    <w:rPr>
      <w:sz w:val="16"/>
      <w:szCs w:val="16"/>
    </w:rPr>
  </w:style>
  <w:style w:type="character" w:styleId="EndnoteReference">
    <w:name w:val="endnote reference"/>
    <w:unhideWhenUsed/>
    <w:rsid w:val="00557547"/>
    <w:rPr>
      <w:vertAlign w:val="superscript"/>
    </w:rPr>
  </w:style>
  <w:style w:type="paragraph" w:styleId="FootnoteText">
    <w:name w:val="footnote text"/>
    <w:basedOn w:val="Normal"/>
    <w:link w:val="FootnoteTextChar"/>
    <w:uiPriority w:val="99"/>
    <w:rsid w:val="008A6266"/>
    <w:pPr>
      <w:keepLines/>
      <w:widowControl w:val="0"/>
      <w:spacing w:after="0" w:line="240" w:lineRule="auto"/>
      <w:ind w:left="202" w:hanging="202"/>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A626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47"/>
  </w:style>
  <w:style w:type="paragraph" w:styleId="Heading4">
    <w:name w:val="heading 4"/>
    <w:basedOn w:val="Normal"/>
    <w:next w:val="Normal"/>
    <w:link w:val="Heading4Char"/>
    <w:uiPriority w:val="9"/>
    <w:unhideWhenUsed/>
    <w:qFormat/>
    <w:rsid w:val="00557547"/>
    <w:pPr>
      <w:keepNext/>
      <w:keepLines/>
      <w:spacing w:after="120"/>
      <w:outlineLvl w:val="3"/>
    </w:pPr>
    <w:rPr>
      <w:rFonts w:ascii="Arial" w:eastAsia="Times New Roman" w:hAnsi="Arial" w:cs="Times New Roman"/>
      <w:b/>
      <w:bCs/>
      <w:iCs/>
      <w:color w:val="49176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4Char">
    <w:name w:val="Heading 4 Char"/>
    <w:basedOn w:val="DefaultParagraphFont"/>
    <w:link w:val="Heading4"/>
    <w:uiPriority w:val="9"/>
    <w:rsid w:val="00557547"/>
    <w:rPr>
      <w:rFonts w:ascii="Arial" w:eastAsia="Times New Roman" w:hAnsi="Arial" w:cs="Times New Roman"/>
      <w:b/>
      <w:bCs/>
      <w:iCs/>
      <w:color w:val="49176D"/>
      <w:sz w:val="26"/>
    </w:rPr>
  </w:style>
  <w:style w:type="character" w:styleId="FootnoteReference">
    <w:name w:val="footnote reference"/>
    <w:uiPriority w:val="99"/>
    <w:rsid w:val="00557547"/>
    <w:rPr>
      <w:vertAlign w:val="superscript"/>
    </w:rPr>
  </w:style>
  <w:style w:type="paragraph" w:customStyle="1" w:styleId="NHASBodyText">
    <w:name w:val="NHAS_Body Text"/>
    <w:rsid w:val="008A6266"/>
    <w:pPr>
      <w:spacing w:after="240" w:line="240" w:lineRule="auto"/>
    </w:pPr>
    <w:rPr>
      <w:rFonts w:ascii="Times New Roman" w:eastAsia="Times New Roman" w:hAnsi="Times New Roman" w:cs="Times"/>
      <w:sz w:val="24"/>
    </w:rPr>
  </w:style>
  <w:style w:type="paragraph" w:customStyle="1" w:styleId="NHASBodyTextPreBullet">
    <w:name w:val="NHAS_Body Text_PreBullet"/>
    <w:basedOn w:val="NHASBodyText"/>
    <w:qFormat/>
    <w:rsid w:val="00557547"/>
    <w:pPr>
      <w:spacing w:after="120"/>
    </w:pPr>
  </w:style>
  <w:style w:type="paragraph" w:customStyle="1" w:styleId="NHASReference">
    <w:name w:val="NHAS_Reference"/>
    <w:basedOn w:val="NHASBodyText"/>
    <w:qFormat/>
    <w:rsid w:val="00557547"/>
    <w:pPr>
      <w:spacing w:after="0"/>
      <w:ind w:left="216" w:hanging="216"/>
    </w:pPr>
    <w:rPr>
      <w:rFonts w:cs="Times New Roman"/>
      <w:noProof/>
      <w:sz w:val="20"/>
      <w:szCs w:val="24"/>
    </w:rPr>
  </w:style>
  <w:style w:type="character" w:styleId="CommentReference">
    <w:name w:val="annotation reference"/>
    <w:unhideWhenUsed/>
    <w:rsid w:val="00557547"/>
    <w:rPr>
      <w:sz w:val="16"/>
      <w:szCs w:val="16"/>
    </w:rPr>
  </w:style>
  <w:style w:type="character" w:styleId="EndnoteReference">
    <w:name w:val="endnote reference"/>
    <w:unhideWhenUsed/>
    <w:rsid w:val="00557547"/>
    <w:rPr>
      <w:vertAlign w:val="superscript"/>
    </w:rPr>
  </w:style>
  <w:style w:type="paragraph" w:styleId="FootnoteText">
    <w:name w:val="footnote text"/>
    <w:basedOn w:val="Normal"/>
    <w:link w:val="FootnoteTextChar"/>
    <w:uiPriority w:val="99"/>
    <w:rsid w:val="008A6266"/>
    <w:pPr>
      <w:keepLines/>
      <w:widowControl w:val="0"/>
      <w:spacing w:after="0" w:line="240" w:lineRule="auto"/>
      <w:ind w:left="202" w:hanging="202"/>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A626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6B94-1BC7-474F-87EA-439268BF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2016-10-19T23:01:00Z</dcterms:created>
  <dcterms:modified xsi:type="dcterms:W3CDTF">2016-10-19T23:01:00Z</dcterms:modified>
</cp:coreProperties>
</file>