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03" w:rsidRDefault="00D228FF" w:rsidP="00584303">
      <w:pPr>
        <w:pStyle w:val="Heading4"/>
      </w:pPr>
      <w:bookmarkStart w:id="0" w:name="_Toc391451034"/>
      <w:bookmarkStart w:id="1" w:name="_GoBack"/>
      <w:bookmarkEnd w:id="1"/>
      <w:proofErr w:type="gramStart"/>
      <w:r>
        <w:t>Tool 4.</w:t>
      </w:r>
      <w:proofErr w:type="gramEnd"/>
      <w:r>
        <w:tab/>
      </w:r>
      <w:r w:rsidR="00584303" w:rsidRPr="001F38B5">
        <w:t xml:space="preserve">Letter to Prescribing Clinicians on the </w:t>
      </w:r>
      <w:r w:rsidR="00584303">
        <w:t>Protocol for</w:t>
      </w:r>
      <w:r w:rsidR="00584303" w:rsidRPr="001F38B5">
        <w:t xml:space="preserve"> Three </w:t>
      </w:r>
      <w:r w:rsidR="00584303">
        <w:t xml:space="preserve">Common </w:t>
      </w:r>
      <w:r w:rsidR="00584303" w:rsidRPr="001F38B5">
        <w:t>Infections</w:t>
      </w:r>
      <w:bookmarkEnd w:id="0"/>
    </w:p>
    <w:p w:rsidR="00584303" w:rsidRPr="001F38B5" w:rsidRDefault="00584303" w:rsidP="00584303">
      <w:pPr>
        <w:pStyle w:val="NHASBodyText"/>
        <w:spacing w:before="480"/>
        <w:jc w:val="center"/>
        <w:rPr>
          <w:rFonts w:eastAsia="Calibri"/>
        </w:rPr>
      </w:pPr>
      <w:r w:rsidRPr="001F38B5">
        <w:rPr>
          <w:rFonts w:eastAsia="Calibri"/>
        </w:rPr>
        <w:t>PRINTED ON NURSING HOME OR MEDICAL DIRECTOR’S STATIONERY</w:t>
      </w:r>
    </w:p>
    <w:p w:rsidR="00584303" w:rsidRPr="001F38B5" w:rsidRDefault="00584303" w:rsidP="00584303">
      <w:pPr>
        <w:rPr>
          <w:rFonts w:ascii="Times New Roman" w:eastAsia="Calibri" w:hAnsi="Times New Roman"/>
          <w:sz w:val="24"/>
        </w:rPr>
      </w:pPr>
      <w:r w:rsidRPr="001F38B5">
        <w:rPr>
          <w:rFonts w:ascii="Times New Roman" w:eastAsia="Calibri" w:hAnsi="Times New Roman"/>
          <w:sz w:val="24"/>
        </w:rPr>
        <w:t>[</w:t>
      </w:r>
      <w:r>
        <w:rPr>
          <w:rFonts w:ascii="Times New Roman" w:eastAsia="Calibri" w:hAnsi="Times New Roman"/>
          <w:sz w:val="24"/>
        </w:rPr>
        <w:t>DATE</w:t>
      </w:r>
      <w:r w:rsidR="00D228FF">
        <w:rPr>
          <w:rFonts w:ascii="Times New Roman" w:eastAsia="Calibri" w:hAnsi="Times New Roman"/>
          <w:sz w:val="24"/>
        </w:rPr>
        <w:t>]</w:t>
      </w:r>
    </w:p>
    <w:p w:rsidR="00584303" w:rsidRPr="001F38B5" w:rsidRDefault="00584303" w:rsidP="00584303">
      <w:pPr>
        <w:pStyle w:val="NHASBodyText"/>
        <w:rPr>
          <w:rFonts w:eastAsia="Calibri"/>
        </w:rPr>
      </w:pPr>
      <w:r>
        <w:rPr>
          <w:rFonts w:eastAsia="Calibri"/>
        </w:rPr>
        <w:t>[</w:t>
      </w:r>
      <w:r w:rsidRPr="001F38B5">
        <w:rPr>
          <w:rFonts w:eastAsia="Calibri"/>
        </w:rPr>
        <w:t>PRESCRIBING CLINICIAN NAME</w:t>
      </w:r>
      <w:r>
        <w:rPr>
          <w:rFonts w:eastAsia="Calibri"/>
        </w:rPr>
        <w:t>]</w:t>
      </w:r>
      <w:r>
        <w:rPr>
          <w:rFonts w:eastAsia="Calibri"/>
        </w:rPr>
        <w:br/>
      </w:r>
      <w:r w:rsidRPr="001F38B5">
        <w:rPr>
          <w:rFonts w:eastAsia="Calibri"/>
        </w:rPr>
        <w:t>RECIPIENT ADDRESS</w:t>
      </w:r>
      <w:r>
        <w:rPr>
          <w:rFonts w:eastAsia="Calibri"/>
        </w:rPr>
        <w:br/>
      </w:r>
      <w:r w:rsidRPr="001F38B5">
        <w:rPr>
          <w:rFonts w:eastAsia="Calibri"/>
        </w:rPr>
        <w:t>CITY, STATE ZIP</w:t>
      </w:r>
      <w:r>
        <w:rPr>
          <w:rFonts w:eastAsia="Calibri"/>
        </w:rPr>
        <w:t>]</w:t>
      </w:r>
    </w:p>
    <w:p w:rsidR="00584303" w:rsidRPr="001F38B5" w:rsidRDefault="00584303" w:rsidP="00584303">
      <w:pPr>
        <w:pStyle w:val="NHASBodyText"/>
        <w:rPr>
          <w:rFonts w:eastAsia="Calibri"/>
        </w:rPr>
      </w:pPr>
      <w:r w:rsidRPr="001F38B5">
        <w:rPr>
          <w:rFonts w:eastAsia="Calibri"/>
        </w:rPr>
        <w:t>Re:</w:t>
      </w:r>
      <w:r w:rsidRPr="001F38B5">
        <w:rPr>
          <w:rFonts w:eastAsia="Calibri"/>
        </w:rPr>
        <w:tab/>
        <w:t>Change in protocol regarding three common infect</w:t>
      </w:r>
      <w:r w:rsidR="00D228FF">
        <w:rPr>
          <w:rFonts w:eastAsia="Calibri"/>
        </w:rPr>
        <w:t>ions and antibiotic stewardship</w:t>
      </w:r>
    </w:p>
    <w:p w:rsidR="00584303" w:rsidRPr="001F38B5" w:rsidRDefault="00584303" w:rsidP="00584303">
      <w:pPr>
        <w:pStyle w:val="NHASBodyText"/>
        <w:spacing w:after="120"/>
        <w:rPr>
          <w:rFonts w:eastAsia="Calibri"/>
        </w:rPr>
      </w:pPr>
      <w:r w:rsidRPr="001F38B5">
        <w:rPr>
          <w:rFonts w:eastAsia="Calibri"/>
        </w:rPr>
        <w:t>Dear Dr</w:t>
      </w:r>
      <w:proofErr w:type="gramStart"/>
      <w:r w:rsidRPr="001F38B5">
        <w:rPr>
          <w:rFonts w:eastAsia="Calibri"/>
        </w:rPr>
        <w:t>./</w:t>
      </w:r>
      <w:proofErr w:type="gramEnd"/>
      <w:r w:rsidRPr="001F38B5">
        <w:rPr>
          <w:rFonts w:eastAsia="Calibri"/>
        </w:rPr>
        <w:t>Ms./Mr. [LAST NAME],</w:t>
      </w:r>
    </w:p>
    <w:p w:rsidR="00E32D5F" w:rsidRDefault="00584303" w:rsidP="00584303">
      <w:pPr>
        <w:pStyle w:val="NHASBodyText"/>
      </w:pPr>
      <w:r w:rsidRPr="001F38B5">
        <w:rPr>
          <w:rFonts w:eastAsia="Calibri"/>
        </w:rPr>
        <w:t xml:space="preserve">Based on clinical practice guidelines developed by nursing home, infectious disease, and geriatric experts, our facility has decided to modify its protocol around the three most common </w:t>
      </w:r>
      <w:r w:rsidRPr="003E62AA">
        <w:rPr>
          <w:rFonts w:eastAsia="Calibri"/>
        </w:rPr>
        <w:t>infectious syndromes</w:t>
      </w:r>
      <w:r>
        <w:rPr>
          <w:rFonts w:eastAsia="Calibri"/>
        </w:rPr>
        <w:t xml:space="preserve"> treated in nursing homes</w:t>
      </w:r>
      <w:r w:rsidRPr="003E62AA">
        <w:rPr>
          <w:rFonts w:eastAsia="Calibri"/>
        </w:rPr>
        <w:t>—urinary tract</w:t>
      </w:r>
      <w:r>
        <w:rPr>
          <w:rFonts w:eastAsia="Calibri"/>
        </w:rPr>
        <w:t xml:space="preserve"> infections (UTIs)</w:t>
      </w:r>
      <w:r w:rsidR="00742F0E">
        <w:rPr>
          <w:rFonts w:eastAsia="Calibri"/>
        </w:rPr>
        <w:t>, skin and soft</w:t>
      </w:r>
      <w:r w:rsidR="00742F0E">
        <w:rPr>
          <w:rFonts w:eastAsia="Calibri"/>
        </w:rPr>
        <w:noBreakHyphen/>
      </w:r>
      <w:r w:rsidRPr="003E62AA">
        <w:rPr>
          <w:rFonts w:eastAsia="Calibri"/>
        </w:rPr>
        <w:t>tissue</w:t>
      </w:r>
      <w:r>
        <w:rPr>
          <w:rFonts w:eastAsia="Calibri"/>
        </w:rPr>
        <w:t xml:space="preserve"> infections</w:t>
      </w:r>
      <w:r w:rsidRPr="003E62AA">
        <w:rPr>
          <w:rFonts w:eastAsia="Calibri"/>
        </w:rPr>
        <w:t xml:space="preserve">, and lower respiratory </w:t>
      </w:r>
      <w:r>
        <w:rPr>
          <w:rFonts w:eastAsia="Calibri"/>
        </w:rPr>
        <w:t xml:space="preserve">tract </w:t>
      </w:r>
      <w:r w:rsidRPr="003E62AA">
        <w:rPr>
          <w:rFonts w:eastAsia="Calibri"/>
        </w:rPr>
        <w:t>infections</w:t>
      </w:r>
      <w:r w:rsidRPr="001F38B5">
        <w:rPr>
          <w:rFonts w:eastAsia="Calibri"/>
        </w:rPr>
        <w:t xml:space="preserve">. We will use the </w:t>
      </w:r>
      <w:r w:rsidRPr="000D7A5E">
        <w:rPr>
          <w:rFonts w:eastAsia="Calibri"/>
        </w:rPr>
        <w:t>Minimum Criteria for Common Infections</w:t>
      </w:r>
      <w:r>
        <w:rPr>
          <w:rFonts w:eastAsia="Calibri"/>
        </w:rPr>
        <w:t xml:space="preserve"> toolkit</w:t>
      </w:r>
      <w:r w:rsidRPr="001F38B5">
        <w:rPr>
          <w:rFonts w:eastAsia="Calibri"/>
        </w:rPr>
        <w:t>. The tools seek to facilitate gathering critical information by nurses to communicate to prescribing clinicians and/or to enable prescribing clinicians to</w:t>
      </w:r>
      <w:r>
        <w:rPr>
          <w:rFonts w:eastAsia="Calibri"/>
        </w:rPr>
        <w:t xml:space="preserve"> make</w:t>
      </w:r>
      <w:r w:rsidRPr="001F38B5">
        <w:rPr>
          <w:rFonts w:eastAsia="Calibri"/>
        </w:rPr>
        <w:t xml:space="preserve"> decisions based </w:t>
      </w:r>
      <w:r>
        <w:rPr>
          <w:rFonts w:eastAsia="Calibri"/>
        </w:rPr>
        <w:t>on the most recent guidelines. The toolkit includes a Web-based application</w:t>
      </w:r>
      <w:r w:rsidRPr="001F38B5">
        <w:rPr>
          <w:rFonts w:eastAsia="Calibri"/>
        </w:rPr>
        <w:t xml:space="preserve"> with the minimum criteria as well as </w:t>
      </w:r>
      <w:r>
        <w:rPr>
          <w:rFonts w:eastAsia="Calibri"/>
        </w:rPr>
        <w:t>communication</w:t>
      </w:r>
      <w:r w:rsidRPr="001F38B5">
        <w:rPr>
          <w:rFonts w:eastAsia="Calibri"/>
        </w:rPr>
        <w:t xml:space="preserve"> forms. Each </w:t>
      </w:r>
      <w:r>
        <w:rPr>
          <w:rFonts w:eastAsia="Calibri"/>
        </w:rPr>
        <w:t>form</w:t>
      </w:r>
      <w:r w:rsidRPr="001F38B5">
        <w:rPr>
          <w:rFonts w:eastAsia="Calibri"/>
        </w:rPr>
        <w:t xml:space="preserve"> is based on the SBAR form of communication </w:t>
      </w:r>
      <w:r>
        <w:rPr>
          <w:rFonts w:eastAsia="Calibri"/>
        </w:rPr>
        <w:t xml:space="preserve">(i.e., </w:t>
      </w:r>
      <w:r w:rsidRPr="001F38B5">
        <w:rPr>
          <w:rFonts w:eastAsia="Calibri"/>
        </w:rPr>
        <w:t>Situation, Background, Assessment, and Recommendation</w:t>
      </w:r>
      <w:r>
        <w:rPr>
          <w:rFonts w:eastAsia="Calibri"/>
        </w:rPr>
        <w:t>)</w:t>
      </w:r>
      <w:r w:rsidRPr="001F38B5">
        <w:rPr>
          <w:rFonts w:eastAsia="Calibri"/>
        </w:rPr>
        <w:t xml:space="preserve">. The SBAR communication style has been shown to promote better communication by addressing the specific types of information that clinicians are likely to need for </w:t>
      </w:r>
      <w:proofErr w:type="spellStart"/>
      <w:r w:rsidRPr="001F38B5">
        <w:rPr>
          <w:rFonts w:eastAsia="Calibri"/>
        </w:rPr>
        <w:t>decisionmaking</w:t>
      </w:r>
      <w:proofErr w:type="spellEnd"/>
      <w:r w:rsidRPr="001F38B5">
        <w:rPr>
          <w:rFonts w:eastAsia="Calibri"/>
        </w:rPr>
        <w:t>.</w:t>
      </w:r>
    </w:p>
    <w:p w:rsidR="003C2895" w:rsidRDefault="003C2895">
      <w:pPr>
        <w:sectPr w:rsidR="003C2895" w:rsidSect="00833CE3">
          <w:headerReference w:type="default" r:id="rId9"/>
          <w:pgSz w:w="12240" w:h="15840"/>
          <w:pgMar w:top="2880" w:right="1440" w:bottom="1440" w:left="1440" w:header="0" w:footer="0" w:gutter="0"/>
          <w:cols w:space="720"/>
          <w:docGrid w:linePitch="360"/>
        </w:sectPr>
      </w:pPr>
    </w:p>
    <w:p w:rsidR="00584303" w:rsidRDefault="00584303" w:rsidP="00584303">
      <w:pPr>
        <w:pStyle w:val="NHASBodyText"/>
        <w:rPr>
          <w:rFonts w:eastAsia="Calibri"/>
        </w:rPr>
      </w:pPr>
      <w:r>
        <w:rPr>
          <w:rFonts w:eastAsia="Calibri"/>
        </w:rPr>
        <w:lastRenderedPageBreak/>
        <w:t xml:space="preserve">Although </w:t>
      </w:r>
      <w:r w:rsidRPr="001F38B5">
        <w:rPr>
          <w:rFonts w:eastAsia="Calibri"/>
        </w:rPr>
        <w:t>U</w:t>
      </w:r>
      <w:r>
        <w:rPr>
          <w:rFonts w:eastAsia="Calibri"/>
        </w:rPr>
        <w:t xml:space="preserve">TIs, </w:t>
      </w:r>
      <w:r w:rsidR="00742F0E">
        <w:rPr>
          <w:rFonts w:eastAsia="Calibri"/>
        </w:rPr>
        <w:t>skin and soft</w:t>
      </w:r>
      <w:r w:rsidR="00742F0E">
        <w:rPr>
          <w:rFonts w:eastAsia="Calibri"/>
        </w:rPr>
        <w:noBreakHyphen/>
      </w:r>
      <w:r w:rsidRPr="001F38B5">
        <w:rPr>
          <w:rFonts w:eastAsia="Calibri"/>
        </w:rPr>
        <w:t>tissue infections, and lower respiratory tract infections are the most commonly treated infection</w:t>
      </w:r>
      <w:r>
        <w:rPr>
          <w:rFonts w:eastAsia="Calibri"/>
        </w:rPr>
        <w:t>s</w:t>
      </w:r>
      <w:r w:rsidRPr="001F38B5">
        <w:rPr>
          <w:rFonts w:eastAsia="Calibri"/>
        </w:rPr>
        <w:t xml:space="preserve"> among nursing home residents, proper diagnosis and treatment pose significant and distinctive challenges. For example, treatment for asymptomatic </w:t>
      </w:r>
      <w:proofErr w:type="spellStart"/>
      <w:r w:rsidRPr="001F38B5">
        <w:rPr>
          <w:rFonts w:eastAsia="Calibri"/>
        </w:rPr>
        <w:t>bacteriuria</w:t>
      </w:r>
      <w:proofErr w:type="spellEnd"/>
      <w:r w:rsidRPr="001F38B5">
        <w:rPr>
          <w:rFonts w:eastAsia="Calibri"/>
        </w:rPr>
        <w:t xml:space="preserve"> is common, but research provides no evidence that treating asymptomatic </w:t>
      </w:r>
      <w:proofErr w:type="spellStart"/>
      <w:r w:rsidRPr="001F38B5">
        <w:rPr>
          <w:rFonts w:eastAsia="Calibri"/>
        </w:rPr>
        <w:t>bacteriuria</w:t>
      </w:r>
      <w:proofErr w:type="spellEnd"/>
      <w:r w:rsidRPr="001F38B5">
        <w:rPr>
          <w:rFonts w:eastAsia="Calibri"/>
        </w:rPr>
        <w:t xml:space="preserve"> in older adults is </w:t>
      </w:r>
      <w:r>
        <w:rPr>
          <w:rFonts w:eastAsia="Calibri"/>
        </w:rPr>
        <w:t>beneficial</w:t>
      </w:r>
      <w:r w:rsidRPr="001F38B5">
        <w:rPr>
          <w:rFonts w:eastAsia="Calibri"/>
        </w:rPr>
        <w:t xml:space="preserve">. </w:t>
      </w:r>
      <w:r>
        <w:rPr>
          <w:rFonts w:eastAsia="Calibri"/>
        </w:rPr>
        <w:t>Antibiotic</w:t>
      </w:r>
      <w:r w:rsidRPr="001F38B5">
        <w:rPr>
          <w:rFonts w:eastAsia="Calibri"/>
        </w:rPr>
        <w:t xml:space="preserve"> treatments do not affect the prevalence of </w:t>
      </w:r>
      <w:proofErr w:type="spellStart"/>
      <w:r w:rsidRPr="001F38B5">
        <w:rPr>
          <w:rFonts w:eastAsia="Calibri"/>
        </w:rPr>
        <w:t>bacteriuria</w:t>
      </w:r>
      <w:proofErr w:type="spellEnd"/>
      <w:r w:rsidRPr="001F38B5">
        <w:rPr>
          <w:rFonts w:eastAsia="Calibri"/>
        </w:rPr>
        <w:t xml:space="preserve">, the frequency of symptomatic urinary infections, </w:t>
      </w:r>
      <w:r>
        <w:rPr>
          <w:rFonts w:eastAsia="Calibri"/>
        </w:rPr>
        <w:t xml:space="preserve">or </w:t>
      </w:r>
      <w:r w:rsidRPr="001F38B5">
        <w:rPr>
          <w:rFonts w:eastAsia="Calibri"/>
        </w:rPr>
        <w:t xml:space="preserve">morbidity </w:t>
      </w:r>
      <w:r>
        <w:rPr>
          <w:rFonts w:eastAsia="Calibri"/>
        </w:rPr>
        <w:t>and</w:t>
      </w:r>
      <w:r w:rsidRPr="001F38B5">
        <w:rPr>
          <w:rFonts w:eastAsia="Calibri"/>
        </w:rPr>
        <w:t xml:space="preserve"> </w:t>
      </w:r>
      <w:proofErr w:type="gramStart"/>
      <w:r w:rsidRPr="00F32D46">
        <w:rPr>
          <w:rFonts w:eastAsia="Calibri"/>
        </w:rPr>
        <w:t>mortality</w:t>
      </w:r>
      <w:r w:rsidR="00D228FF">
        <w:rPr>
          <w:rFonts w:eastAsia="Calibri"/>
        </w:rPr>
        <w:t>.</w:t>
      </w:r>
      <w:r>
        <w:rPr>
          <w:rStyle w:val="FootnoteReference"/>
          <w:rFonts w:eastAsia="Calibri"/>
        </w:rPr>
        <w:footnoteReference w:id="1"/>
      </w:r>
      <w:r w:rsidRPr="00F32D46">
        <w:rPr>
          <w:rFonts w:eastAsia="Calibri"/>
          <w:vertAlign w:val="superscript"/>
        </w:rPr>
        <w:t>,</w:t>
      </w:r>
      <w:proofErr w:type="gramEnd"/>
      <w:r w:rsidRPr="00F32D46">
        <w:rPr>
          <w:rStyle w:val="FootnoteReference"/>
          <w:rFonts w:eastAsia="Calibri"/>
        </w:rPr>
        <w:footnoteReference w:id="2"/>
      </w:r>
      <w:r w:rsidRPr="001F38B5">
        <w:rPr>
          <w:rFonts w:eastAsia="Calibri"/>
        </w:rPr>
        <w:t xml:space="preserve"> Moreover, research has shown that such trea</w:t>
      </w:r>
      <w:r w:rsidR="00D228FF">
        <w:rPr>
          <w:rFonts w:eastAsia="Calibri"/>
        </w:rPr>
        <w:t>tments are potentially harmful.</w:t>
      </w:r>
    </w:p>
    <w:p w:rsidR="00584303" w:rsidRPr="001F38B5" w:rsidRDefault="00584303" w:rsidP="00584303">
      <w:pPr>
        <w:pStyle w:val="NHASBodyText"/>
        <w:rPr>
          <w:rFonts w:eastAsia="Calibri"/>
        </w:rPr>
      </w:pPr>
      <w:r w:rsidRPr="001F38B5">
        <w:rPr>
          <w:rFonts w:eastAsia="Calibri"/>
        </w:rPr>
        <w:t xml:space="preserve">Nursing homes serve as one of our most fertile breeding grounds for antibiotic-resistant </w:t>
      </w:r>
      <w:r w:rsidR="00D228FF">
        <w:rPr>
          <w:rFonts w:eastAsia="Calibri"/>
        </w:rPr>
        <w:t>strains of </w:t>
      </w:r>
      <w:r w:rsidRPr="001F38B5">
        <w:rPr>
          <w:rFonts w:eastAsia="Calibri"/>
        </w:rPr>
        <w:t>bacteria</w:t>
      </w:r>
      <w:r>
        <w:rPr>
          <w:rFonts w:eastAsia="Calibri"/>
        </w:rPr>
        <w:t>, in which</w:t>
      </w:r>
      <w:r w:rsidRPr="001F38B5">
        <w:rPr>
          <w:rFonts w:eastAsia="Calibri"/>
        </w:rPr>
        <w:t xml:space="preserve"> antibiotic use gives rise to high rates of multidrug-resistant Gram-negative bacteria, methicillin-resistant </w:t>
      </w:r>
      <w:r w:rsidRPr="001F38B5">
        <w:rPr>
          <w:rFonts w:eastAsia="Calibri"/>
          <w:i/>
        </w:rPr>
        <w:t>Staphylococcus aureus</w:t>
      </w:r>
      <w:r w:rsidRPr="001F38B5">
        <w:rPr>
          <w:rFonts w:eastAsia="Calibri"/>
        </w:rPr>
        <w:t xml:space="preserve">, and </w:t>
      </w:r>
      <w:proofErr w:type="spellStart"/>
      <w:r>
        <w:rPr>
          <w:rFonts w:eastAsia="Calibri"/>
        </w:rPr>
        <w:t>V</w:t>
      </w:r>
      <w:r w:rsidRPr="001F38B5">
        <w:rPr>
          <w:rFonts w:eastAsia="Calibri"/>
        </w:rPr>
        <w:t>ancomycin</w:t>
      </w:r>
      <w:proofErr w:type="spellEnd"/>
      <w:r w:rsidR="00742F0E">
        <w:rPr>
          <w:rFonts w:eastAsia="Calibri"/>
        </w:rPr>
        <w:t>-resistant enterococci</w:t>
      </w:r>
      <w:r w:rsidR="00D228FF">
        <w:rPr>
          <w:rFonts w:eastAsia="Calibri"/>
        </w:rPr>
        <w:t>.</w:t>
      </w:r>
      <w:r w:rsidRPr="001F38B5">
        <w:rPr>
          <w:rStyle w:val="FootnoteReference"/>
          <w:rFonts w:eastAsia="Calibri"/>
        </w:rPr>
        <w:footnoteReference w:id="3"/>
      </w:r>
      <w:r w:rsidR="00742F0E">
        <w:rPr>
          <w:rFonts w:eastAsia="Calibri"/>
        </w:rPr>
        <w:t xml:space="preserve"> In </w:t>
      </w:r>
      <w:r w:rsidRPr="001F38B5">
        <w:rPr>
          <w:rFonts w:eastAsia="Calibri"/>
        </w:rPr>
        <w:t>2008, 93</w:t>
      </w:r>
      <w:r>
        <w:rPr>
          <w:rFonts w:eastAsia="Calibri"/>
        </w:rPr>
        <w:t xml:space="preserve"> percent</w:t>
      </w:r>
      <w:r w:rsidRPr="001F38B5">
        <w:rPr>
          <w:rFonts w:eastAsia="Calibri"/>
        </w:rPr>
        <w:t xml:space="preserve"> of deaths from </w:t>
      </w:r>
      <w:r w:rsidRPr="001F38B5">
        <w:rPr>
          <w:rFonts w:eastAsia="Calibri"/>
          <w:i/>
        </w:rPr>
        <w:t>Clostridium difficile</w:t>
      </w:r>
      <w:r w:rsidRPr="001F38B5">
        <w:rPr>
          <w:rFonts w:eastAsia="Calibri"/>
        </w:rPr>
        <w:t xml:space="preserve"> were among persons 65 years of age and older</w:t>
      </w:r>
      <w:r>
        <w:rPr>
          <w:rFonts w:eastAsia="Calibri"/>
        </w:rPr>
        <w:t>,</w:t>
      </w:r>
      <w:r w:rsidRPr="001F38B5">
        <w:rPr>
          <w:rFonts w:eastAsia="Calibri"/>
        </w:rPr>
        <w:t xml:space="preserve"> and </w:t>
      </w:r>
      <w:r w:rsidRPr="001F38B5">
        <w:rPr>
          <w:rFonts w:eastAsia="Calibri"/>
          <w:i/>
        </w:rPr>
        <w:t>C</w:t>
      </w:r>
      <w:r>
        <w:rPr>
          <w:rFonts w:eastAsia="Calibri"/>
          <w:i/>
        </w:rPr>
        <w:t>lostridium</w:t>
      </w:r>
      <w:r w:rsidRPr="001F38B5">
        <w:rPr>
          <w:rFonts w:eastAsia="Calibri"/>
          <w:i/>
        </w:rPr>
        <w:t xml:space="preserve"> difficile</w:t>
      </w:r>
      <w:r w:rsidRPr="001F38B5">
        <w:rPr>
          <w:rFonts w:eastAsia="Calibri"/>
        </w:rPr>
        <w:t xml:space="preserve"> was reported as the 18th leading c</w:t>
      </w:r>
      <w:r>
        <w:rPr>
          <w:rFonts w:eastAsia="Calibri"/>
        </w:rPr>
        <w:t>ause of death in this age group</w:t>
      </w:r>
      <w:r w:rsidR="00D228FF">
        <w:rPr>
          <w:rFonts w:eastAsia="Calibri"/>
        </w:rPr>
        <w:t>.</w:t>
      </w:r>
      <w:r w:rsidRPr="001F38B5">
        <w:rPr>
          <w:rStyle w:val="FootnoteReference"/>
          <w:rFonts w:eastAsia="Calibri"/>
        </w:rPr>
        <w:footnoteReference w:id="4"/>
      </w:r>
    </w:p>
    <w:p w:rsidR="00584303" w:rsidRPr="001F38B5" w:rsidRDefault="00584303" w:rsidP="00584303">
      <w:pPr>
        <w:pStyle w:val="NHASBodyText"/>
        <w:rPr>
          <w:rFonts w:eastAsia="Calibri"/>
        </w:rPr>
      </w:pPr>
      <w:r w:rsidRPr="001F38B5">
        <w:rPr>
          <w:rFonts w:eastAsia="Calibri"/>
        </w:rPr>
        <w:t xml:space="preserve">Embedded in each of </w:t>
      </w:r>
      <w:r>
        <w:rPr>
          <w:rFonts w:eastAsia="Calibri"/>
        </w:rPr>
        <w:t>these communication tools</w:t>
      </w:r>
      <w:r w:rsidRPr="001F38B5">
        <w:rPr>
          <w:rFonts w:eastAsia="Calibri"/>
        </w:rPr>
        <w:t xml:space="preserve"> are our new protocols for initiating antibiotics for each of the three infections. In addition to providing standardized information to help with </w:t>
      </w:r>
      <w:proofErr w:type="spellStart"/>
      <w:r w:rsidRPr="001F38B5">
        <w:rPr>
          <w:rFonts w:eastAsia="Calibri"/>
        </w:rPr>
        <w:t>decisionmaking</w:t>
      </w:r>
      <w:proofErr w:type="spellEnd"/>
      <w:r w:rsidRPr="001F38B5">
        <w:rPr>
          <w:rFonts w:eastAsia="Calibri"/>
        </w:rPr>
        <w:t>, a clinician will be provided with recommendations from the nursing home’s protocol for initiating antibiotic</w:t>
      </w:r>
      <w:r>
        <w:rPr>
          <w:rFonts w:eastAsia="Calibri"/>
        </w:rPr>
        <w:t>s via a Web-based application</w:t>
      </w:r>
      <w:r w:rsidRPr="001F38B5">
        <w:rPr>
          <w:rFonts w:eastAsia="Calibri"/>
        </w:rPr>
        <w:t>. These recommendations are based on current best practices and clinical guidelines</w:t>
      </w:r>
      <w:r>
        <w:rPr>
          <w:rFonts w:eastAsia="Calibri"/>
        </w:rPr>
        <w:t xml:space="preserve"> developed by Loeb et al.</w:t>
      </w:r>
      <w:r w:rsidR="008A0E3A">
        <w:rPr>
          <w:rStyle w:val="FootnoteReference"/>
          <w:rFonts w:eastAsia="Calibri"/>
        </w:rPr>
        <w:footnoteReference w:id="5"/>
      </w:r>
      <w:r w:rsidRPr="00742F0E">
        <w:rPr>
          <w:rStyle w:val="EndnoteReference"/>
          <w:vertAlign w:val="baseline"/>
        </w:rPr>
        <w:t xml:space="preserve"> </w:t>
      </w:r>
      <w:proofErr w:type="gramStart"/>
      <w:r>
        <w:rPr>
          <w:rFonts w:eastAsia="Calibri"/>
        </w:rPr>
        <w:t>and</w:t>
      </w:r>
      <w:proofErr w:type="gramEnd"/>
      <w:r>
        <w:rPr>
          <w:rFonts w:eastAsia="Calibri"/>
        </w:rPr>
        <w:t xml:space="preserve"> include newer surveillance information by Stone et al.</w:t>
      </w:r>
      <w:r w:rsidR="008A0E3A">
        <w:rPr>
          <w:rStyle w:val="FootnoteReference"/>
          <w:rFonts w:eastAsia="Calibri"/>
        </w:rPr>
        <w:footnoteReference w:id="6"/>
      </w:r>
      <w:r w:rsidRPr="001F38B5">
        <w:rPr>
          <w:rFonts w:eastAsia="Calibri"/>
        </w:rPr>
        <w:t xml:space="preserve"> </w:t>
      </w:r>
      <w:r>
        <w:rPr>
          <w:rFonts w:eastAsia="Calibri"/>
        </w:rPr>
        <w:t xml:space="preserve">In addition, should you choose not to initiate antibiotics, there are options for continued surveillance. </w:t>
      </w:r>
      <w:r w:rsidRPr="001F38B5">
        <w:rPr>
          <w:rFonts w:eastAsia="Calibri"/>
        </w:rPr>
        <w:t xml:space="preserve">Nonetheless, </w:t>
      </w:r>
      <w:r>
        <w:rPr>
          <w:rFonts w:eastAsia="Calibri"/>
        </w:rPr>
        <w:t xml:space="preserve">the </w:t>
      </w:r>
      <w:r w:rsidRPr="001F38B5">
        <w:rPr>
          <w:rFonts w:eastAsia="Calibri"/>
        </w:rPr>
        <w:t>decision</w:t>
      </w:r>
      <w:r w:rsidR="00742F0E">
        <w:rPr>
          <w:rFonts w:eastAsia="Calibri"/>
        </w:rPr>
        <w:t xml:space="preserve"> whether or not </w:t>
      </w:r>
      <w:r>
        <w:rPr>
          <w:rFonts w:eastAsia="Calibri"/>
        </w:rPr>
        <w:t>to treat an infection</w:t>
      </w:r>
      <w:r w:rsidRPr="001F38B5">
        <w:rPr>
          <w:rFonts w:eastAsia="Calibri"/>
        </w:rPr>
        <w:t xml:space="preserve"> ultimately rest</w:t>
      </w:r>
      <w:r>
        <w:rPr>
          <w:rFonts w:eastAsia="Calibri"/>
        </w:rPr>
        <w:t>s</w:t>
      </w:r>
      <w:r w:rsidRPr="001F38B5">
        <w:rPr>
          <w:rFonts w:eastAsia="Calibri"/>
        </w:rPr>
        <w:t xml:space="preserve"> with the prescribing clinician</w:t>
      </w:r>
      <w:r>
        <w:rPr>
          <w:rFonts w:eastAsia="Calibri"/>
        </w:rPr>
        <w:t>, taking into account any special considerations such as comorbidities and whether the resident is in hospice</w:t>
      </w:r>
      <w:r w:rsidRPr="001F38B5">
        <w:rPr>
          <w:rFonts w:eastAsia="Calibri"/>
        </w:rPr>
        <w:t>. As with any guideline, unusual circumstances requiring exceptional treatment</w:t>
      </w:r>
      <w:r w:rsidR="00742F0E">
        <w:rPr>
          <w:rFonts w:eastAsia="Calibri"/>
        </w:rPr>
        <w:t xml:space="preserve"> will occur. In preparation for </w:t>
      </w:r>
      <w:r w:rsidRPr="001F38B5">
        <w:rPr>
          <w:rFonts w:eastAsia="Calibri"/>
        </w:rPr>
        <w:t>implementing the new protocols, copies of the criteria</w:t>
      </w:r>
      <w:r w:rsidRPr="000E7E85">
        <w:rPr>
          <w:rFonts w:eastAsia="Calibri"/>
        </w:rPr>
        <w:t xml:space="preserve"> </w:t>
      </w:r>
      <w:r w:rsidRPr="001F38B5">
        <w:rPr>
          <w:rFonts w:eastAsia="Calibri"/>
        </w:rPr>
        <w:t>are</w:t>
      </w:r>
      <w:r w:rsidRPr="000E7E85">
        <w:rPr>
          <w:rFonts w:eastAsia="Calibri"/>
        </w:rPr>
        <w:t xml:space="preserve"> </w:t>
      </w:r>
      <w:r w:rsidR="00D228FF">
        <w:rPr>
          <w:rFonts w:eastAsia="Calibri"/>
        </w:rPr>
        <w:t>attached.</w:t>
      </w:r>
    </w:p>
    <w:p w:rsidR="00584303" w:rsidRPr="001F38B5" w:rsidRDefault="00584303" w:rsidP="00584303">
      <w:pPr>
        <w:pStyle w:val="NHASBodyText"/>
        <w:rPr>
          <w:rFonts w:eastAsia="Calibri"/>
        </w:rPr>
      </w:pPr>
      <w:r w:rsidRPr="001F38B5">
        <w:rPr>
          <w:rFonts w:eastAsia="Calibri"/>
        </w:rPr>
        <w:t>Your cooperation with our new protocol is greatly appreciated. We deeply appreciate your assistance in making this a success. If you have any questions, pl</w:t>
      </w:r>
      <w:r w:rsidR="00D228FF">
        <w:rPr>
          <w:rFonts w:eastAsia="Calibri"/>
        </w:rPr>
        <w:t>ease feel free to contact me at </w:t>
      </w:r>
      <w:r w:rsidRPr="001F38B5">
        <w:rPr>
          <w:rFonts w:eastAsia="Calibri"/>
        </w:rPr>
        <w:t>your convenience at (###) ###-#### or XXXX@XXX.com.</w:t>
      </w:r>
    </w:p>
    <w:p w:rsidR="00584303" w:rsidRPr="001F38B5" w:rsidRDefault="00584303" w:rsidP="00D228FF">
      <w:pPr>
        <w:pStyle w:val="NHASBodyText"/>
        <w:keepNext/>
        <w:spacing w:after="840"/>
        <w:rPr>
          <w:rFonts w:eastAsia="Calibri"/>
        </w:rPr>
      </w:pPr>
      <w:r w:rsidRPr="001F38B5">
        <w:rPr>
          <w:rFonts w:eastAsia="Calibri"/>
        </w:rPr>
        <w:lastRenderedPageBreak/>
        <w:t>Sincerely,</w:t>
      </w:r>
    </w:p>
    <w:p w:rsidR="00584303" w:rsidRDefault="00584303" w:rsidP="00D228FF">
      <w:pPr>
        <w:pStyle w:val="NHASBodyText"/>
      </w:pPr>
      <w:r>
        <w:rPr>
          <w:rFonts w:eastAsia="Calibri"/>
        </w:rPr>
        <w:t>[</w:t>
      </w:r>
      <w:r w:rsidRPr="001F38B5">
        <w:rPr>
          <w:rFonts w:eastAsia="Calibri"/>
        </w:rPr>
        <w:t>Signature</w:t>
      </w:r>
      <w:r>
        <w:rPr>
          <w:rFonts w:eastAsia="Calibri"/>
        </w:rPr>
        <w:t>]</w:t>
      </w:r>
      <w:r>
        <w:rPr>
          <w:rFonts w:eastAsia="Calibri"/>
        </w:rPr>
        <w:br/>
        <w:t>[</w:t>
      </w:r>
      <w:r w:rsidRPr="001F38B5">
        <w:rPr>
          <w:rFonts w:eastAsia="Calibri"/>
        </w:rPr>
        <w:t>P</w:t>
      </w:r>
      <w:r>
        <w:rPr>
          <w:rFonts w:eastAsia="Calibri"/>
        </w:rPr>
        <w:t>RINTED NAME]</w:t>
      </w:r>
      <w:r>
        <w:rPr>
          <w:rFonts w:eastAsia="Calibri"/>
        </w:rPr>
        <w:br/>
      </w:r>
      <w:r w:rsidRPr="001F38B5">
        <w:rPr>
          <w:rFonts w:eastAsia="Calibri"/>
        </w:rPr>
        <w:t>Medical Director</w:t>
      </w:r>
      <w:r>
        <w:br w:type="page"/>
      </w:r>
    </w:p>
    <w:p w:rsidR="00584303" w:rsidRPr="00365137" w:rsidRDefault="00584303" w:rsidP="00584303">
      <w:pPr>
        <w:pStyle w:val="Heading5"/>
        <w:rPr>
          <w:lang w:bidi="en-US"/>
        </w:rPr>
      </w:pPr>
      <w:r w:rsidRPr="00365137">
        <w:rPr>
          <w:lang w:bidi="en-US"/>
        </w:rPr>
        <w:lastRenderedPageBreak/>
        <w:t>Minimum Criteria for Initiating Antibiotics for a Urinary Tract Infection</w:t>
      </w:r>
    </w:p>
    <w:p w:rsidR="00584303" w:rsidRPr="002967FE" w:rsidRDefault="00584303" w:rsidP="0085236F">
      <w:pPr>
        <w:pStyle w:val="NHASBodyTextPreBullet"/>
      </w:pPr>
      <w:r w:rsidRPr="002967FE">
        <w:t xml:space="preserve">For residents </w:t>
      </w:r>
      <w:r w:rsidRPr="002967FE">
        <w:rPr>
          <w:u w:val="single"/>
        </w:rPr>
        <w:t>without</w:t>
      </w:r>
      <w:r w:rsidRPr="002967FE">
        <w:t xml:space="preserve"> an indwelling catheter, initiate antibiotics if</w:t>
      </w:r>
      <w:r w:rsidR="00D228FF">
        <w:t xml:space="preserve"> the resident meets </w:t>
      </w:r>
      <w:r w:rsidRPr="002967FE">
        <w:t>criteria of one of three situations:</w:t>
      </w:r>
    </w:p>
    <w:p w:rsidR="00584303" w:rsidRPr="005E430B" w:rsidRDefault="00584303" w:rsidP="00584303">
      <w:pPr>
        <w:pStyle w:val="NHASBulletSpecialCircleCheckox"/>
        <w:numPr>
          <w:ilvl w:val="0"/>
          <w:numId w:val="6"/>
        </w:numPr>
        <w:rPr>
          <w:b/>
          <w:lang w:bidi="en-US"/>
        </w:rPr>
      </w:pPr>
      <w:r w:rsidRPr="001F38B5">
        <w:t>Acute</w:t>
      </w:r>
      <w:r w:rsidRPr="001F38B5">
        <w:rPr>
          <w:lang w:bidi="en-US"/>
        </w:rPr>
        <w:t xml:space="preserve"> dysuria </w:t>
      </w:r>
      <w:r>
        <w:rPr>
          <w:lang w:bidi="en-US"/>
        </w:rPr>
        <w:t>alone</w:t>
      </w:r>
    </w:p>
    <w:p w:rsidR="00584303" w:rsidRPr="00531249" w:rsidRDefault="00584303" w:rsidP="00584303">
      <w:pPr>
        <w:pStyle w:val="NHASBodyText"/>
        <w:rPr>
          <w:b/>
          <w:lang w:bidi="en-US"/>
        </w:rPr>
      </w:pPr>
      <w:r w:rsidRPr="00531249">
        <w:rPr>
          <w:b/>
          <w:lang w:bidi="en-US"/>
        </w:rPr>
        <w:t>OR</w:t>
      </w:r>
    </w:p>
    <w:p w:rsidR="00584303" w:rsidRPr="005E430B" w:rsidRDefault="00584303" w:rsidP="00584303">
      <w:pPr>
        <w:pStyle w:val="NHASBulletSpecialCircleCheckox"/>
        <w:numPr>
          <w:ilvl w:val="0"/>
          <w:numId w:val="6"/>
        </w:numPr>
        <w:spacing w:after="120"/>
        <w:rPr>
          <w:b/>
          <w:lang w:bidi="en-US"/>
        </w:rPr>
      </w:pPr>
      <w:r w:rsidRPr="001F38B5">
        <w:t>Fever</w:t>
      </w:r>
      <w:r w:rsidRPr="001F38B5">
        <w:rPr>
          <w:lang w:bidi="en-US"/>
        </w:rPr>
        <w:t xml:space="preserve"> of 100°F (37.9°C) or two repeated temperatures of 99°F (37°C) </w:t>
      </w:r>
      <w:r w:rsidRPr="001F38B5">
        <w:rPr>
          <w:b/>
          <w:lang w:bidi="en-US"/>
        </w:rPr>
        <w:t>AND</w:t>
      </w:r>
      <w:r w:rsidRPr="001F38B5">
        <w:rPr>
          <w:lang w:bidi="en-US"/>
        </w:rPr>
        <w:t xml:space="preserve"> at least </w:t>
      </w:r>
      <w:r w:rsidRPr="001F38B5">
        <w:rPr>
          <w:b/>
          <w:lang w:bidi="en-US"/>
        </w:rPr>
        <w:t>one</w:t>
      </w:r>
      <w:r w:rsidRPr="001F38B5">
        <w:rPr>
          <w:lang w:bidi="en-US"/>
        </w:rPr>
        <w:t xml:space="preserve"> of the following</w:t>
      </w:r>
      <w:r w:rsidRPr="005E430B">
        <w:rPr>
          <w:b/>
          <w:lang w:bidi="en-US"/>
        </w:rPr>
        <w:t xml:space="preserve">: </w:t>
      </w:r>
    </w:p>
    <w:p w:rsidR="00584303" w:rsidRPr="002F6AE7" w:rsidRDefault="00584303" w:rsidP="00584303">
      <w:pPr>
        <w:pStyle w:val="NHASBulletSpecialCircleCheckox"/>
        <w:tabs>
          <w:tab w:val="left" w:pos="720"/>
        </w:tabs>
        <w:spacing w:after="120"/>
        <w:ind w:firstLine="360"/>
        <w:rPr>
          <w:b/>
          <w:lang w:bidi="en-US"/>
        </w:rPr>
      </w:pPr>
      <w:r w:rsidRPr="002F6AE7">
        <w:rPr>
          <w:b/>
        </w:rPr>
        <w:t>New or worsening</w:t>
      </w:r>
      <w:r>
        <w:rPr>
          <w:b/>
        </w:rPr>
        <w:t>:</w:t>
      </w:r>
    </w:p>
    <w:p w:rsidR="00584303" w:rsidRPr="001F38B5" w:rsidRDefault="00584303" w:rsidP="00584303">
      <w:pPr>
        <w:pStyle w:val="NHASBullet2"/>
        <w:tabs>
          <w:tab w:val="clear" w:pos="360"/>
        </w:tabs>
        <w:ind w:left="1080" w:hanging="360"/>
      </w:pPr>
      <w:r>
        <w:t>U</w:t>
      </w:r>
      <w:r w:rsidRPr="001F38B5">
        <w:t>rgency, or</w:t>
      </w:r>
    </w:p>
    <w:p w:rsidR="00584303" w:rsidRPr="001F38B5" w:rsidRDefault="00584303" w:rsidP="00584303">
      <w:pPr>
        <w:pStyle w:val="NHASBullet2"/>
        <w:tabs>
          <w:tab w:val="clear" w:pos="360"/>
        </w:tabs>
        <w:ind w:left="1080" w:hanging="360"/>
      </w:pPr>
      <w:r w:rsidRPr="001F38B5">
        <w:t>Frequency, or</w:t>
      </w:r>
    </w:p>
    <w:p w:rsidR="00584303" w:rsidRPr="001F38B5" w:rsidRDefault="00584303" w:rsidP="00584303">
      <w:pPr>
        <w:pStyle w:val="NHASBullet2"/>
        <w:tabs>
          <w:tab w:val="clear" w:pos="360"/>
        </w:tabs>
        <w:ind w:left="1080" w:hanging="360"/>
      </w:pPr>
      <w:r w:rsidRPr="001F38B5">
        <w:t>Suprapubic pain, or</w:t>
      </w:r>
    </w:p>
    <w:p w:rsidR="00584303" w:rsidRPr="001F38B5" w:rsidRDefault="00584303" w:rsidP="00584303">
      <w:pPr>
        <w:pStyle w:val="NHASBullet2"/>
        <w:tabs>
          <w:tab w:val="clear" w:pos="360"/>
        </w:tabs>
        <w:ind w:left="1080" w:hanging="360"/>
      </w:pPr>
      <w:r w:rsidRPr="001F38B5">
        <w:t>Gross hematuria, or</w:t>
      </w:r>
    </w:p>
    <w:p w:rsidR="00584303" w:rsidRPr="001F38B5" w:rsidRDefault="00584303" w:rsidP="00584303">
      <w:pPr>
        <w:pStyle w:val="NHASBullet2"/>
        <w:tabs>
          <w:tab w:val="clear" w:pos="360"/>
        </w:tabs>
        <w:ind w:left="1080" w:hanging="360"/>
      </w:pPr>
      <w:r w:rsidRPr="001F38B5">
        <w:t>Costovertebral angle tenderness, or</w:t>
      </w:r>
    </w:p>
    <w:p w:rsidR="00584303" w:rsidRDefault="00584303" w:rsidP="00584303">
      <w:pPr>
        <w:pStyle w:val="NHASBullet2"/>
        <w:tabs>
          <w:tab w:val="clear" w:pos="360"/>
        </w:tabs>
        <w:ind w:left="1080" w:hanging="360"/>
        <w:rPr>
          <w:lang w:bidi="en-US"/>
        </w:rPr>
      </w:pPr>
      <w:r w:rsidRPr="001F38B5">
        <w:t>Urinary</w:t>
      </w:r>
      <w:r w:rsidRPr="001F38B5">
        <w:rPr>
          <w:lang w:bidi="en-US"/>
        </w:rPr>
        <w:t xml:space="preserve"> incontinence</w:t>
      </w:r>
    </w:p>
    <w:p w:rsidR="00584303" w:rsidRPr="00531249" w:rsidRDefault="00584303" w:rsidP="00584303">
      <w:pPr>
        <w:pStyle w:val="NHASBodyText"/>
        <w:rPr>
          <w:b/>
          <w:lang w:bidi="en-US"/>
        </w:rPr>
      </w:pPr>
      <w:r w:rsidRPr="00531249">
        <w:rPr>
          <w:b/>
          <w:lang w:bidi="en-US"/>
        </w:rPr>
        <w:t>OR</w:t>
      </w:r>
    </w:p>
    <w:p w:rsidR="00584303" w:rsidRPr="005E430B" w:rsidRDefault="00584303" w:rsidP="00584303">
      <w:pPr>
        <w:pStyle w:val="NHASBulletSpecialCircleCheckox"/>
        <w:numPr>
          <w:ilvl w:val="0"/>
          <w:numId w:val="6"/>
        </w:numPr>
        <w:spacing w:after="120"/>
        <w:rPr>
          <w:b/>
          <w:lang w:bidi="en-US"/>
        </w:rPr>
      </w:pPr>
      <w:r w:rsidRPr="001F38B5">
        <w:rPr>
          <w:lang w:bidi="en-US"/>
        </w:rPr>
        <w:t xml:space="preserve">No fever, then </w:t>
      </w:r>
      <w:r w:rsidRPr="001F38B5">
        <w:rPr>
          <w:b/>
          <w:lang w:bidi="en-US"/>
        </w:rPr>
        <w:t>two</w:t>
      </w:r>
      <w:r w:rsidRPr="001F38B5">
        <w:rPr>
          <w:lang w:bidi="en-US"/>
        </w:rPr>
        <w:t xml:space="preserve"> or more of the following</w:t>
      </w:r>
      <w:r w:rsidRPr="005E430B">
        <w:rPr>
          <w:b/>
          <w:lang w:bidi="en-US"/>
        </w:rPr>
        <w:t>:</w:t>
      </w:r>
    </w:p>
    <w:p w:rsidR="00584303" w:rsidRPr="001F38B5" w:rsidRDefault="00584303" w:rsidP="00584303">
      <w:pPr>
        <w:pStyle w:val="NHASBullet2"/>
        <w:tabs>
          <w:tab w:val="clear" w:pos="360"/>
        </w:tabs>
        <w:ind w:left="1080" w:hanging="360"/>
      </w:pPr>
      <w:r>
        <w:t>U</w:t>
      </w:r>
      <w:r w:rsidRPr="001F38B5">
        <w:t>rgency, or</w:t>
      </w:r>
    </w:p>
    <w:p w:rsidR="00584303" w:rsidRPr="001F38B5" w:rsidRDefault="00584303" w:rsidP="00584303">
      <w:pPr>
        <w:pStyle w:val="NHASBullet2"/>
        <w:tabs>
          <w:tab w:val="clear" w:pos="360"/>
        </w:tabs>
        <w:ind w:left="1080" w:hanging="360"/>
      </w:pPr>
      <w:r>
        <w:t>F</w:t>
      </w:r>
      <w:r w:rsidRPr="001F38B5">
        <w:t>requency, or</w:t>
      </w:r>
    </w:p>
    <w:p w:rsidR="00584303" w:rsidRPr="001F38B5" w:rsidRDefault="00584303" w:rsidP="00584303">
      <w:pPr>
        <w:pStyle w:val="NHASBullet2"/>
        <w:tabs>
          <w:tab w:val="clear" w:pos="360"/>
        </w:tabs>
        <w:ind w:left="1080" w:hanging="360"/>
      </w:pPr>
      <w:r w:rsidRPr="001F38B5">
        <w:t>Suprapubic pain, or</w:t>
      </w:r>
    </w:p>
    <w:p w:rsidR="00584303" w:rsidRPr="001F38B5" w:rsidRDefault="00584303" w:rsidP="00584303">
      <w:pPr>
        <w:pStyle w:val="NHASBullet2"/>
        <w:tabs>
          <w:tab w:val="clear" w:pos="360"/>
        </w:tabs>
        <w:ind w:left="1080" w:hanging="360"/>
      </w:pPr>
      <w:r w:rsidRPr="001F38B5">
        <w:t>Gross hematuria, or</w:t>
      </w:r>
    </w:p>
    <w:p w:rsidR="00584303" w:rsidRPr="001F38B5" w:rsidRDefault="00584303" w:rsidP="00584303">
      <w:pPr>
        <w:pStyle w:val="NHASBullet2"/>
        <w:tabs>
          <w:tab w:val="clear" w:pos="360"/>
        </w:tabs>
        <w:ind w:left="1080" w:hanging="360"/>
        <w:rPr>
          <w:lang w:bidi="en-US"/>
        </w:rPr>
      </w:pPr>
      <w:r>
        <w:rPr>
          <w:lang w:bidi="en-US"/>
        </w:rPr>
        <w:t xml:space="preserve">Urinary </w:t>
      </w:r>
      <w:r w:rsidRPr="001F38B5">
        <w:rPr>
          <w:lang w:bidi="en-US"/>
        </w:rPr>
        <w:t>incontinence</w:t>
      </w:r>
    </w:p>
    <w:p w:rsidR="00584303" w:rsidRPr="0085236F" w:rsidRDefault="00584303" w:rsidP="0085236F">
      <w:pPr>
        <w:pStyle w:val="NHASBodyTextPreBullet"/>
      </w:pPr>
      <w:r w:rsidRPr="0085236F">
        <w:t xml:space="preserve">For residents with a </w:t>
      </w:r>
      <w:r w:rsidRPr="0085236F">
        <w:rPr>
          <w:u w:val="single"/>
        </w:rPr>
        <w:t>chronic indwelling catheter</w:t>
      </w:r>
      <w:r w:rsidRPr="0085236F">
        <w:t>, initiate antibiotics if one or more of the following criteria are met:</w:t>
      </w:r>
    </w:p>
    <w:p w:rsidR="00584303" w:rsidRPr="001F38B5" w:rsidRDefault="00584303" w:rsidP="00584303">
      <w:pPr>
        <w:pStyle w:val="NHASBullet1"/>
        <w:contextualSpacing/>
        <w:rPr>
          <w:lang w:bidi="en-US"/>
        </w:rPr>
      </w:pPr>
      <w:r w:rsidRPr="001F38B5">
        <w:rPr>
          <w:lang w:bidi="en-US"/>
        </w:rPr>
        <w:t>Fever of 100°F (37.9°C) or two repeated temperatures of 99°F (37°C), or</w:t>
      </w:r>
    </w:p>
    <w:p w:rsidR="00584303" w:rsidRDefault="00584303" w:rsidP="00584303">
      <w:pPr>
        <w:pStyle w:val="NHASBullet1"/>
        <w:contextualSpacing/>
        <w:rPr>
          <w:lang w:bidi="en-US"/>
        </w:rPr>
      </w:pPr>
      <w:r w:rsidRPr="001F38B5">
        <w:rPr>
          <w:lang w:bidi="en-US"/>
        </w:rPr>
        <w:t>New</w:t>
      </w:r>
      <w:r>
        <w:rPr>
          <w:lang w:bidi="en-US"/>
        </w:rPr>
        <w:t xml:space="preserve"> or worsening</w:t>
      </w:r>
      <w:r w:rsidRPr="001F38B5">
        <w:rPr>
          <w:lang w:bidi="en-US"/>
        </w:rPr>
        <w:t xml:space="preserve"> costovertebral tenderness, or</w:t>
      </w:r>
    </w:p>
    <w:p w:rsidR="00584303" w:rsidRPr="001F38B5" w:rsidRDefault="00584303" w:rsidP="00584303">
      <w:pPr>
        <w:pStyle w:val="NHASBullet1"/>
        <w:contextualSpacing/>
        <w:rPr>
          <w:lang w:bidi="en-US"/>
        </w:rPr>
      </w:pPr>
      <w:r>
        <w:rPr>
          <w:lang w:bidi="en-US"/>
        </w:rPr>
        <w:t>New onset suprapubic pain, or</w:t>
      </w:r>
    </w:p>
    <w:p w:rsidR="00584303" w:rsidRPr="001F38B5" w:rsidRDefault="00584303" w:rsidP="00584303">
      <w:pPr>
        <w:pStyle w:val="NHASBullet1"/>
        <w:contextualSpacing/>
        <w:rPr>
          <w:lang w:bidi="en-US"/>
        </w:rPr>
      </w:pPr>
      <w:r w:rsidRPr="001F38B5">
        <w:rPr>
          <w:lang w:bidi="en-US"/>
        </w:rPr>
        <w:t>New</w:t>
      </w:r>
      <w:r>
        <w:rPr>
          <w:lang w:bidi="en-US"/>
        </w:rPr>
        <w:t xml:space="preserve"> or worsening</w:t>
      </w:r>
      <w:r w:rsidRPr="001F38B5">
        <w:rPr>
          <w:lang w:bidi="en-US"/>
        </w:rPr>
        <w:t xml:space="preserve"> </w:t>
      </w:r>
      <w:r>
        <w:rPr>
          <w:lang w:bidi="en-US"/>
        </w:rPr>
        <w:t>d</w:t>
      </w:r>
      <w:r w:rsidRPr="001F38B5">
        <w:rPr>
          <w:lang w:bidi="en-US"/>
        </w:rPr>
        <w:t>elirium</w:t>
      </w:r>
      <w:r>
        <w:rPr>
          <w:lang w:bidi="en-US"/>
        </w:rPr>
        <w:t xml:space="preserve"> (</w:t>
      </w:r>
      <w:r w:rsidRPr="00F40C37">
        <w:rPr>
          <w:lang w:bidi="en-US"/>
        </w:rPr>
        <w:t>sudden onset of confusion, disorientation, dramatic change in mental status)</w:t>
      </w:r>
      <w:r w:rsidRPr="001F38B5">
        <w:rPr>
          <w:lang w:bidi="en-US"/>
        </w:rPr>
        <w:t>, or</w:t>
      </w:r>
    </w:p>
    <w:p w:rsidR="00584303" w:rsidRPr="001F38B5" w:rsidRDefault="00584303" w:rsidP="00584303">
      <w:pPr>
        <w:pStyle w:val="NHASBullet1"/>
        <w:contextualSpacing/>
        <w:rPr>
          <w:lang w:bidi="en-US"/>
        </w:rPr>
      </w:pPr>
      <w:r w:rsidRPr="001F38B5">
        <w:rPr>
          <w:lang w:bidi="en-US"/>
        </w:rPr>
        <w:t>New</w:t>
      </w:r>
      <w:r>
        <w:rPr>
          <w:lang w:bidi="en-US"/>
        </w:rPr>
        <w:t xml:space="preserve"> or worsening</w:t>
      </w:r>
      <w:r w:rsidRPr="001F38B5">
        <w:rPr>
          <w:lang w:bidi="en-US"/>
        </w:rPr>
        <w:t xml:space="preserve"> </w:t>
      </w:r>
      <w:r>
        <w:rPr>
          <w:lang w:bidi="en-US"/>
        </w:rPr>
        <w:t>r</w:t>
      </w:r>
      <w:r w:rsidRPr="001F38B5">
        <w:rPr>
          <w:lang w:bidi="en-US"/>
        </w:rPr>
        <w:t>igors (shaking chills) with or without identified cause, or</w:t>
      </w:r>
    </w:p>
    <w:p w:rsidR="00584303" w:rsidRPr="00FE7D5B" w:rsidRDefault="00584303" w:rsidP="00584303">
      <w:pPr>
        <w:pStyle w:val="NHASBullet1"/>
        <w:contextualSpacing/>
        <w:rPr>
          <w:lang w:bidi="en-US"/>
        </w:rPr>
      </w:pPr>
      <w:r w:rsidRPr="001F38B5">
        <w:rPr>
          <w:lang w:bidi="en-US"/>
        </w:rPr>
        <w:t>New</w:t>
      </w:r>
      <w:r>
        <w:rPr>
          <w:lang w:bidi="en-US"/>
        </w:rPr>
        <w:t xml:space="preserve"> or worsening</w:t>
      </w:r>
      <w:r w:rsidRPr="001F38B5">
        <w:rPr>
          <w:lang w:bidi="en-US"/>
        </w:rPr>
        <w:t xml:space="preserve"> </w:t>
      </w:r>
      <w:r>
        <w:rPr>
          <w:lang w:bidi="en-US"/>
        </w:rPr>
        <w:t>h</w:t>
      </w:r>
      <w:r w:rsidRPr="001F38B5">
        <w:rPr>
          <w:lang w:bidi="en-US"/>
        </w:rPr>
        <w:t>ypotension</w:t>
      </w:r>
      <w:r>
        <w:rPr>
          <w:lang w:bidi="en-US"/>
        </w:rPr>
        <w:t xml:space="preserve"> (e.g., significant change</w:t>
      </w:r>
      <w:r w:rsidR="0085236F">
        <w:rPr>
          <w:lang w:bidi="en-US"/>
        </w:rPr>
        <w:t xml:space="preserve"> from baseline BP or a systolic </w:t>
      </w:r>
      <w:r>
        <w:rPr>
          <w:lang w:bidi="en-US"/>
        </w:rPr>
        <w:t>BP &lt;90)</w:t>
      </w:r>
    </w:p>
    <w:p w:rsidR="00584303" w:rsidRPr="00584303" w:rsidRDefault="00584303" w:rsidP="00584303">
      <w:pPr>
        <w:pStyle w:val="NHASBodyTextPreBullet"/>
      </w:pPr>
      <w:r w:rsidRPr="00531249">
        <w:rPr>
          <w:lang w:bidi="en-US"/>
        </w:rPr>
        <w:t>Notes:</w:t>
      </w:r>
    </w:p>
    <w:p w:rsidR="00584303" w:rsidRDefault="00584303" w:rsidP="00584303">
      <w:pPr>
        <w:pStyle w:val="NHASListLevel1numbered"/>
        <w:numPr>
          <w:ilvl w:val="0"/>
          <w:numId w:val="4"/>
        </w:numPr>
        <w:spacing w:after="200"/>
        <w:ind w:left="720"/>
        <w:contextualSpacing/>
        <w:rPr>
          <w:lang w:bidi="en-US"/>
        </w:rPr>
      </w:pPr>
      <w:r>
        <w:rPr>
          <w:lang w:bidi="en-US"/>
        </w:rPr>
        <w:t>Urine cultures should not be performed on a scheduled basis (e.g., monthly).</w:t>
      </w:r>
    </w:p>
    <w:p w:rsidR="00584303" w:rsidRPr="001F38B5" w:rsidRDefault="00584303" w:rsidP="00584303">
      <w:pPr>
        <w:pStyle w:val="NHASListLevel1numbered"/>
        <w:numPr>
          <w:ilvl w:val="0"/>
          <w:numId w:val="4"/>
        </w:numPr>
        <w:spacing w:after="200"/>
        <w:ind w:left="720"/>
        <w:contextualSpacing/>
        <w:rPr>
          <w:lang w:bidi="en-US"/>
        </w:rPr>
      </w:pPr>
      <w:r w:rsidRPr="001F38B5">
        <w:rPr>
          <w:lang w:bidi="en-US"/>
        </w:rPr>
        <w:t xml:space="preserve">Urine cultures should </w:t>
      </w:r>
      <w:r w:rsidRPr="00531249">
        <w:rPr>
          <w:b/>
          <w:lang w:bidi="en-US"/>
        </w:rPr>
        <w:t>not</w:t>
      </w:r>
      <w:r w:rsidRPr="001F38B5">
        <w:rPr>
          <w:lang w:bidi="en-US"/>
        </w:rPr>
        <w:t xml:space="preserve"> be used to identify U</w:t>
      </w:r>
      <w:r w:rsidR="0085236F">
        <w:rPr>
          <w:lang w:bidi="en-US"/>
        </w:rPr>
        <w:t>TIs in the absence of symptoms.</w:t>
      </w:r>
    </w:p>
    <w:p w:rsidR="00584303" w:rsidRPr="001F38B5" w:rsidRDefault="00584303" w:rsidP="00584303">
      <w:pPr>
        <w:pStyle w:val="NHASListLevel1numbered"/>
        <w:numPr>
          <w:ilvl w:val="0"/>
          <w:numId w:val="4"/>
        </w:numPr>
        <w:spacing w:after="200"/>
        <w:ind w:left="720"/>
        <w:contextualSpacing/>
        <w:rPr>
          <w:lang w:bidi="en-US"/>
        </w:rPr>
      </w:pPr>
      <w:r w:rsidRPr="001F38B5">
        <w:rPr>
          <w:lang w:bidi="en-US"/>
        </w:rPr>
        <w:t xml:space="preserve">Smelly or cloudy urine is </w:t>
      </w:r>
      <w:r w:rsidRPr="00531249">
        <w:rPr>
          <w:b/>
          <w:lang w:bidi="en-US"/>
        </w:rPr>
        <w:t>not</w:t>
      </w:r>
      <w:r w:rsidRPr="001F38B5">
        <w:rPr>
          <w:lang w:bidi="en-US"/>
        </w:rPr>
        <w:t xml:space="preserve"> a symptom of a UTI.</w:t>
      </w:r>
    </w:p>
    <w:p w:rsidR="00584303" w:rsidRPr="001F38B5" w:rsidRDefault="00584303" w:rsidP="00584303">
      <w:pPr>
        <w:pStyle w:val="NHASListLevel1numbered"/>
        <w:numPr>
          <w:ilvl w:val="0"/>
          <w:numId w:val="4"/>
        </w:numPr>
        <w:spacing w:after="200"/>
        <w:ind w:left="720"/>
        <w:contextualSpacing/>
        <w:rPr>
          <w:lang w:bidi="en-US"/>
        </w:rPr>
      </w:pPr>
      <w:r w:rsidRPr="001F38B5">
        <w:rPr>
          <w:lang w:bidi="en-US"/>
        </w:rPr>
        <w:lastRenderedPageBreak/>
        <w:t xml:space="preserve">Residents with an intermittent catheter or a condom catheter should be evaluated as if they are not catheterized. </w:t>
      </w:r>
    </w:p>
    <w:p w:rsidR="00584303" w:rsidRDefault="00584303" w:rsidP="00584303">
      <w:pPr>
        <w:pStyle w:val="NHASListLevel1numbered"/>
        <w:numPr>
          <w:ilvl w:val="0"/>
          <w:numId w:val="4"/>
        </w:numPr>
        <w:spacing w:after="200"/>
        <w:ind w:left="720"/>
        <w:contextualSpacing/>
        <w:rPr>
          <w:lang w:bidi="en-US"/>
        </w:rPr>
      </w:pPr>
      <w:r>
        <w:rPr>
          <w:lang w:bidi="en-US"/>
        </w:rPr>
        <w:t>U</w:t>
      </w:r>
      <w:r w:rsidRPr="001F38B5">
        <w:rPr>
          <w:lang w:bidi="en-US"/>
        </w:rPr>
        <w:t xml:space="preserve">rine cultures </w:t>
      </w:r>
      <w:r>
        <w:rPr>
          <w:lang w:bidi="en-US"/>
        </w:rPr>
        <w:t xml:space="preserve">should be used </w:t>
      </w:r>
      <w:r w:rsidRPr="001F38B5">
        <w:rPr>
          <w:lang w:bidi="en-US"/>
        </w:rPr>
        <w:t>to identify the most appropriate antibiotic. For residents with acute dysuria, it may be appropriate to initiate empirical antibiotic therapy; but for all other symptoms, wait for a urine culture.</w:t>
      </w:r>
    </w:p>
    <w:p w:rsidR="00584303" w:rsidRPr="001F38B5" w:rsidRDefault="00584303" w:rsidP="00584303">
      <w:pPr>
        <w:pStyle w:val="NHASListLevel1numbered"/>
        <w:numPr>
          <w:ilvl w:val="0"/>
          <w:numId w:val="4"/>
        </w:numPr>
        <w:spacing w:after="200"/>
        <w:ind w:left="720"/>
        <w:contextualSpacing/>
        <w:rPr>
          <w:lang w:bidi="en-US"/>
        </w:rPr>
      </w:pPr>
      <w:r w:rsidRPr="00E864B6">
        <w:rPr>
          <w:lang w:bidi="en-US"/>
        </w:rPr>
        <w:t>For residents that regularly run a lower temperature</w:t>
      </w:r>
      <w:r>
        <w:rPr>
          <w:lang w:bidi="en-US"/>
        </w:rPr>
        <w:t>,</w:t>
      </w:r>
      <w:r w:rsidRPr="00E864B6">
        <w:rPr>
          <w:lang w:bidi="en-US"/>
        </w:rPr>
        <w:t xml:space="preserve"> use a temperature of 2°F (1°C) above the baseline as a definition of a fever</w:t>
      </w:r>
      <w:r>
        <w:rPr>
          <w:lang w:bidi="en-US"/>
        </w:rPr>
        <w:t>.</w:t>
      </w:r>
    </w:p>
    <w:p w:rsidR="00584303" w:rsidRPr="00584303" w:rsidRDefault="00584303" w:rsidP="00584303">
      <w:pPr>
        <w:pStyle w:val="NHASBodyTextPreBullet"/>
      </w:pPr>
      <w:r w:rsidRPr="00531249">
        <w:rPr>
          <w:lang w:bidi="en-US"/>
        </w:rPr>
        <w:t>If none of the minimum criteria are met, consider initiating the following:</w:t>
      </w:r>
    </w:p>
    <w:p w:rsidR="00584303" w:rsidRPr="00B232F5" w:rsidRDefault="00584303" w:rsidP="00584303">
      <w:pPr>
        <w:pStyle w:val="NHASBullet1"/>
        <w:spacing w:after="200"/>
        <w:contextualSpacing/>
        <w:rPr>
          <w:lang w:bidi="en-US"/>
        </w:rPr>
      </w:pPr>
      <w:r w:rsidRPr="00B232F5">
        <w:rPr>
          <w:lang w:bidi="en-US"/>
        </w:rPr>
        <w:t xml:space="preserve">Encourage _____ ounces of liquid intake </w:t>
      </w:r>
      <w:r>
        <w:rPr>
          <w:lang w:bidi="en-US"/>
        </w:rPr>
        <w:t>____ daily</w:t>
      </w:r>
      <w:r w:rsidRPr="00B232F5">
        <w:rPr>
          <w:lang w:bidi="en-US"/>
        </w:rPr>
        <w:t xml:space="preserve"> until urine is light yellow in color</w:t>
      </w:r>
      <w:r>
        <w:rPr>
          <w:lang w:bidi="en-US"/>
        </w:rPr>
        <w:t>.</w:t>
      </w:r>
    </w:p>
    <w:p w:rsidR="00584303" w:rsidRPr="00B232F5" w:rsidRDefault="00584303" w:rsidP="00584303">
      <w:pPr>
        <w:pStyle w:val="NHASBullet1"/>
        <w:spacing w:after="200"/>
        <w:contextualSpacing/>
        <w:rPr>
          <w:lang w:bidi="en-US"/>
        </w:rPr>
      </w:pPr>
      <w:r w:rsidRPr="00B232F5">
        <w:rPr>
          <w:lang w:bidi="en-US"/>
        </w:rPr>
        <w:t>Record fluid intake</w:t>
      </w:r>
      <w:r>
        <w:rPr>
          <w:lang w:bidi="en-US"/>
        </w:rPr>
        <w:t xml:space="preserve"> </w:t>
      </w:r>
      <w:r w:rsidRPr="00B232F5">
        <w:rPr>
          <w:lang w:bidi="en-US"/>
        </w:rPr>
        <w:t>every ______ hours for ______ hours</w:t>
      </w:r>
      <w:r>
        <w:rPr>
          <w:lang w:bidi="en-US"/>
        </w:rPr>
        <w:t>.</w:t>
      </w:r>
    </w:p>
    <w:p w:rsidR="00584303" w:rsidRPr="00B232F5" w:rsidRDefault="00584303" w:rsidP="00584303">
      <w:pPr>
        <w:pStyle w:val="NHASBullet1"/>
        <w:spacing w:after="200"/>
        <w:contextualSpacing/>
        <w:rPr>
          <w:lang w:bidi="en-US"/>
        </w:rPr>
      </w:pPr>
      <w:r w:rsidRPr="00B232F5">
        <w:rPr>
          <w:lang w:bidi="en-US"/>
        </w:rPr>
        <w:t>Assess vital signs, including temp</w:t>
      </w:r>
      <w:r>
        <w:rPr>
          <w:lang w:bidi="en-US"/>
        </w:rPr>
        <w:t>,</w:t>
      </w:r>
      <w:r w:rsidRPr="00B232F5">
        <w:rPr>
          <w:lang w:bidi="en-US"/>
        </w:rPr>
        <w:t xml:space="preserve"> every ______ hours for ______ hours</w:t>
      </w:r>
      <w:r>
        <w:rPr>
          <w:lang w:bidi="en-US"/>
        </w:rPr>
        <w:t>.</w:t>
      </w:r>
    </w:p>
    <w:p w:rsidR="00584303" w:rsidRPr="0085236F" w:rsidRDefault="00584303" w:rsidP="00584303">
      <w:pPr>
        <w:pStyle w:val="NHASBullet1"/>
        <w:spacing w:after="0" w:line="240" w:lineRule="auto"/>
        <w:contextualSpacing/>
        <w:rPr>
          <w:szCs w:val="24"/>
          <w:lang w:bidi="en-US"/>
        </w:rPr>
      </w:pPr>
      <w:r>
        <w:rPr>
          <w:lang w:bidi="en-US"/>
        </w:rPr>
        <w:t>Request notification i</w:t>
      </w:r>
      <w:r w:rsidRPr="00B232F5">
        <w:rPr>
          <w:lang w:bidi="en-US"/>
        </w:rPr>
        <w:t>f symptoms worsen or if unresolved in ______ hours</w:t>
      </w:r>
      <w:r>
        <w:rPr>
          <w:lang w:bidi="en-US"/>
        </w:rPr>
        <w:t>.</w:t>
      </w:r>
      <w:r w:rsidRPr="0085236F">
        <w:rPr>
          <w:szCs w:val="24"/>
          <w:lang w:bidi="en-US"/>
        </w:rPr>
        <w:br w:type="page"/>
      </w:r>
    </w:p>
    <w:p w:rsidR="00584303" w:rsidRPr="00584303" w:rsidRDefault="00584303" w:rsidP="00584303">
      <w:pPr>
        <w:pStyle w:val="Heading5"/>
      </w:pPr>
      <w:r w:rsidRPr="00584303">
        <w:lastRenderedPageBreak/>
        <w:t>Minimum Criteria for Initiating Antibiot</w:t>
      </w:r>
      <w:r w:rsidR="00413A73">
        <w:t>ics for a Skin and Soft</w:t>
      </w:r>
      <w:r w:rsidR="00413A73">
        <w:noBreakHyphen/>
      </w:r>
      <w:r w:rsidRPr="00584303">
        <w:t>Tissue Infection</w:t>
      </w:r>
    </w:p>
    <w:p w:rsidR="00584303" w:rsidRPr="00584303" w:rsidRDefault="00584303" w:rsidP="00584303">
      <w:pPr>
        <w:pStyle w:val="NHASBodyTextPreBullet"/>
      </w:pPr>
      <w:r w:rsidRPr="00531249">
        <w:rPr>
          <w:lang w:bidi="en-US"/>
        </w:rPr>
        <w:t>Initiate antibiotics if the following criteria are met:</w:t>
      </w:r>
    </w:p>
    <w:p w:rsidR="00584303" w:rsidRPr="001F38B5" w:rsidRDefault="00584303" w:rsidP="00584303">
      <w:pPr>
        <w:pStyle w:val="NHASBulletSpecialCircleCheckox"/>
        <w:rPr>
          <w:b/>
        </w:rPr>
      </w:pPr>
      <w:r w:rsidRPr="001F38B5">
        <w:sym w:font="Wingdings 2" w:char="F099"/>
      </w:r>
      <w:r>
        <w:tab/>
      </w:r>
      <w:r w:rsidRPr="001F38B5">
        <w:t xml:space="preserve">New </w:t>
      </w:r>
      <w:r w:rsidRPr="001F38B5">
        <w:rPr>
          <w:lang w:bidi="en-US"/>
        </w:rPr>
        <w:t>or</w:t>
      </w:r>
      <w:r w:rsidRPr="001F38B5">
        <w:t xml:space="preserve"> increasing purulent drainage at a w</w:t>
      </w:r>
      <w:r>
        <w:t>ound, skin, or soft-tissue site</w:t>
      </w:r>
    </w:p>
    <w:p w:rsidR="00584303" w:rsidRPr="001F38B5" w:rsidRDefault="00584303" w:rsidP="00584303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 w:rsidRPr="001F38B5">
        <w:rPr>
          <w:rFonts w:ascii="Times New Roman" w:hAnsi="Times New Roman"/>
          <w:b/>
          <w:sz w:val="24"/>
          <w:szCs w:val="24"/>
          <w:lang w:bidi="en-US"/>
        </w:rPr>
        <w:t>OR</w:t>
      </w:r>
    </w:p>
    <w:p w:rsidR="00584303" w:rsidRPr="001F38B5" w:rsidRDefault="00584303" w:rsidP="00584303">
      <w:pPr>
        <w:pStyle w:val="NHASBulletSpecialCircleCheckox"/>
        <w:spacing w:after="120"/>
        <w:rPr>
          <w:b/>
        </w:rPr>
      </w:pPr>
      <w:r w:rsidRPr="001F38B5">
        <w:sym w:font="Wingdings 2" w:char="F099"/>
      </w:r>
      <w:r>
        <w:tab/>
      </w:r>
      <w:r w:rsidRPr="001F38B5">
        <w:t xml:space="preserve">At least </w:t>
      </w:r>
      <w:r w:rsidRPr="001F38B5">
        <w:rPr>
          <w:b/>
        </w:rPr>
        <w:t>two</w:t>
      </w:r>
      <w:r w:rsidRPr="001F38B5">
        <w:t xml:space="preserve"> of the following: </w:t>
      </w:r>
    </w:p>
    <w:p w:rsidR="00584303" w:rsidRPr="001F38B5" w:rsidRDefault="00584303" w:rsidP="00584303">
      <w:pPr>
        <w:pStyle w:val="NHASBullet1"/>
        <w:spacing w:after="200"/>
        <w:contextualSpacing/>
        <w:rPr>
          <w:b/>
        </w:rPr>
      </w:pPr>
      <w:r>
        <w:t>F</w:t>
      </w:r>
      <w:r w:rsidR="00413A73">
        <w:t>ever (temperature &gt;100°</w:t>
      </w:r>
      <w:r w:rsidRPr="001F38B5">
        <w:t>F</w:t>
      </w:r>
      <w:r>
        <w:t xml:space="preserve"> [</w:t>
      </w:r>
      <w:r w:rsidRPr="001F38B5">
        <w:t>37.9</w:t>
      </w:r>
      <w:r w:rsidR="00413A73">
        <w:t>°</w:t>
      </w:r>
      <w:r w:rsidRPr="001F38B5">
        <w:t>C</w:t>
      </w:r>
      <w:r>
        <w:t>]</w:t>
      </w:r>
      <w:r w:rsidRPr="001F38B5">
        <w:t xml:space="preserve"> or</w:t>
      </w:r>
      <w:r>
        <w:t xml:space="preserve"> </w:t>
      </w:r>
      <w:r w:rsidRPr="001F38B5">
        <w:rPr>
          <w:lang w:bidi="en-US"/>
        </w:rPr>
        <w:t>two</w:t>
      </w:r>
      <w:r>
        <w:rPr>
          <w:lang w:bidi="en-US"/>
        </w:rPr>
        <w:t xml:space="preserve"> repeated temperatures of 99°F [37°C])</w:t>
      </w:r>
      <w:r w:rsidR="0085236F">
        <w:t>, or</w:t>
      </w:r>
    </w:p>
    <w:p w:rsidR="00584303" w:rsidRPr="001F38B5" w:rsidRDefault="00584303" w:rsidP="00584303">
      <w:pPr>
        <w:pStyle w:val="NHASBullet1"/>
        <w:spacing w:after="200"/>
        <w:contextualSpacing/>
        <w:rPr>
          <w:b/>
        </w:rPr>
      </w:pPr>
      <w:r>
        <w:t>R</w:t>
      </w:r>
      <w:r w:rsidR="0085236F">
        <w:t>edness, or</w:t>
      </w:r>
    </w:p>
    <w:p w:rsidR="00584303" w:rsidRPr="001F38B5" w:rsidRDefault="00584303" w:rsidP="00584303">
      <w:pPr>
        <w:pStyle w:val="NHASBullet1"/>
        <w:spacing w:after="200"/>
        <w:contextualSpacing/>
        <w:rPr>
          <w:b/>
        </w:rPr>
      </w:pPr>
      <w:r>
        <w:t>T</w:t>
      </w:r>
      <w:r w:rsidRPr="001F38B5">
        <w:t>enderness, or</w:t>
      </w:r>
    </w:p>
    <w:p w:rsidR="00584303" w:rsidRPr="001F38B5" w:rsidRDefault="00584303" w:rsidP="00584303">
      <w:pPr>
        <w:pStyle w:val="NHASBullet1"/>
        <w:spacing w:after="200"/>
        <w:contextualSpacing/>
        <w:rPr>
          <w:lang w:bidi="en-US"/>
        </w:rPr>
      </w:pPr>
      <w:r>
        <w:t>W</w:t>
      </w:r>
      <w:r w:rsidR="0085236F">
        <w:t>armth, or</w:t>
      </w:r>
    </w:p>
    <w:p w:rsidR="00584303" w:rsidRPr="00FE7D5B" w:rsidRDefault="00584303" w:rsidP="00584303">
      <w:pPr>
        <w:pStyle w:val="NHASBullet1"/>
        <w:spacing w:after="200"/>
        <w:contextualSpacing/>
        <w:rPr>
          <w:lang w:bidi="en-US"/>
        </w:rPr>
      </w:pPr>
      <w:r>
        <w:t>S</w:t>
      </w:r>
      <w:r w:rsidRPr="001F38B5">
        <w:t xml:space="preserve">welling that </w:t>
      </w:r>
      <w:r>
        <w:t>i</w:t>
      </w:r>
      <w:r w:rsidRPr="001F38B5">
        <w:t>s new or increasing at the affected site</w:t>
      </w:r>
    </w:p>
    <w:p w:rsidR="00584303" w:rsidRPr="00584303" w:rsidRDefault="00584303" w:rsidP="00584303">
      <w:pPr>
        <w:pStyle w:val="NHASBodyTextPreBullet"/>
      </w:pPr>
      <w:r>
        <w:rPr>
          <w:lang w:bidi="en-US"/>
        </w:rPr>
        <w:t>Notes:</w:t>
      </w:r>
    </w:p>
    <w:p w:rsidR="00584303" w:rsidRPr="00E864B6" w:rsidRDefault="00584303" w:rsidP="00584303">
      <w:pPr>
        <w:pStyle w:val="NHASListLevel1numbered"/>
        <w:numPr>
          <w:ilvl w:val="0"/>
          <w:numId w:val="5"/>
        </w:numPr>
        <w:spacing w:after="200" w:line="276" w:lineRule="auto"/>
        <w:ind w:left="720"/>
        <w:contextualSpacing/>
        <w:rPr>
          <w:lang w:bidi="en-US"/>
        </w:rPr>
      </w:pPr>
      <w:r w:rsidRPr="00E864B6">
        <w:rPr>
          <w:lang w:bidi="en-US"/>
        </w:rPr>
        <w:t>For residents that regularly run a lower temperature</w:t>
      </w:r>
      <w:r>
        <w:rPr>
          <w:lang w:bidi="en-US"/>
        </w:rPr>
        <w:t>,</w:t>
      </w:r>
      <w:r w:rsidRPr="00E864B6">
        <w:rPr>
          <w:lang w:bidi="en-US"/>
        </w:rPr>
        <w:t xml:space="preserve"> use a temperature of 2°F (1°C) above the baseline as a definition of a fever</w:t>
      </w:r>
      <w:r>
        <w:rPr>
          <w:lang w:bidi="en-US"/>
        </w:rPr>
        <w:t>.</w:t>
      </w:r>
    </w:p>
    <w:p w:rsidR="00584303" w:rsidRPr="009023EF" w:rsidRDefault="00584303" w:rsidP="00584303">
      <w:pPr>
        <w:pStyle w:val="NHASListLevel1numbered"/>
        <w:numPr>
          <w:ilvl w:val="0"/>
          <w:numId w:val="5"/>
        </w:numPr>
        <w:spacing w:after="200" w:line="276" w:lineRule="auto"/>
        <w:ind w:left="720"/>
        <w:contextualSpacing/>
        <w:rPr>
          <w:lang w:bidi="en-US"/>
        </w:rPr>
      </w:pPr>
      <w:r w:rsidRPr="009023EF">
        <w:rPr>
          <w:lang w:bidi="en-US"/>
        </w:rPr>
        <w:t xml:space="preserve">Herpes zoster is </w:t>
      </w:r>
      <w:r>
        <w:rPr>
          <w:lang w:bidi="en-US"/>
        </w:rPr>
        <w:t xml:space="preserve">a </w:t>
      </w:r>
      <w:r w:rsidRPr="009023EF">
        <w:rPr>
          <w:lang w:bidi="en-US"/>
        </w:rPr>
        <w:t>virus and therefore does not require antibiot</w:t>
      </w:r>
      <w:r w:rsidR="0085236F">
        <w:rPr>
          <w:lang w:bidi="en-US"/>
        </w:rPr>
        <w:t>ics but appropriate </w:t>
      </w:r>
      <w:r>
        <w:rPr>
          <w:lang w:bidi="en-US"/>
        </w:rPr>
        <w:t>antivirals.</w:t>
      </w:r>
    </w:p>
    <w:p w:rsidR="00584303" w:rsidRPr="009023EF" w:rsidRDefault="00584303" w:rsidP="00584303">
      <w:pPr>
        <w:pStyle w:val="NHASListLevel1numbered"/>
        <w:numPr>
          <w:ilvl w:val="0"/>
          <w:numId w:val="5"/>
        </w:numPr>
        <w:spacing w:after="200" w:line="276" w:lineRule="auto"/>
        <w:ind w:left="720"/>
        <w:contextualSpacing/>
        <w:rPr>
          <w:lang w:bidi="en-US"/>
        </w:rPr>
      </w:pPr>
      <w:r w:rsidRPr="009023EF">
        <w:rPr>
          <w:lang w:bidi="en-US"/>
        </w:rPr>
        <w:t>Deeper infections such as bursitis may present with similar si</w:t>
      </w:r>
      <w:r>
        <w:rPr>
          <w:lang w:bidi="en-US"/>
        </w:rPr>
        <w:t>gns/symptoms.</w:t>
      </w:r>
    </w:p>
    <w:p w:rsidR="00584303" w:rsidRPr="009023EF" w:rsidRDefault="00584303" w:rsidP="00584303">
      <w:pPr>
        <w:pStyle w:val="NHASListLevel1numbered"/>
        <w:numPr>
          <w:ilvl w:val="0"/>
          <w:numId w:val="5"/>
        </w:numPr>
        <w:spacing w:after="200" w:line="276" w:lineRule="auto"/>
        <w:ind w:left="720"/>
        <w:contextualSpacing/>
        <w:rPr>
          <w:lang w:bidi="en-US"/>
        </w:rPr>
      </w:pPr>
      <w:r w:rsidRPr="009023EF">
        <w:rPr>
          <w:lang w:bidi="en-US"/>
        </w:rPr>
        <w:t>Underlying osteomyelitis should be considered w</w:t>
      </w:r>
      <w:r w:rsidR="0085236F">
        <w:rPr>
          <w:lang w:bidi="en-US"/>
        </w:rPr>
        <w:t>hen managing a resident with an </w:t>
      </w:r>
      <w:r w:rsidRPr="009023EF">
        <w:rPr>
          <w:lang w:bidi="en-US"/>
        </w:rPr>
        <w:t>infect</w:t>
      </w:r>
      <w:r>
        <w:rPr>
          <w:lang w:bidi="en-US"/>
        </w:rPr>
        <w:t>ed diabetic or decubitus ulcer.</w:t>
      </w:r>
    </w:p>
    <w:p w:rsidR="00584303" w:rsidRPr="009023EF" w:rsidRDefault="00584303" w:rsidP="00584303">
      <w:pPr>
        <w:pStyle w:val="NHASListLevel1numbered"/>
        <w:numPr>
          <w:ilvl w:val="0"/>
          <w:numId w:val="5"/>
        </w:numPr>
        <w:spacing w:after="200" w:line="276" w:lineRule="auto"/>
        <w:ind w:left="720"/>
        <w:contextualSpacing/>
        <w:rPr>
          <w:lang w:bidi="en-US"/>
        </w:rPr>
      </w:pPr>
      <w:r w:rsidRPr="009023EF">
        <w:rPr>
          <w:lang w:bidi="en-US"/>
        </w:rPr>
        <w:t xml:space="preserve">Thromboembolic disease should be considered when a resident presents with </w:t>
      </w:r>
      <w:r>
        <w:rPr>
          <w:lang w:bidi="en-US"/>
        </w:rPr>
        <w:t>an erythematous or swollen leg.</w:t>
      </w:r>
    </w:p>
    <w:p w:rsidR="00584303" w:rsidRPr="009023EF" w:rsidRDefault="00584303" w:rsidP="00584303">
      <w:pPr>
        <w:pStyle w:val="NHASListLevel1numbered"/>
        <w:numPr>
          <w:ilvl w:val="0"/>
          <w:numId w:val="5"/>
        </w:numPr>
        <w:spacing w:after="200" w:line="276" w:lineRule="auto"/>
        <w:ind w:left="720"/>
        <w:contextualSpacing/>
        <w:rPr>
          <w:lang w:bidi="en-US"/>
        </w:rPr>
      </w:pPr>
      <w:r w:rsidRPr="009023EF">
        <w:rPr>
          <w:lang w:bidi="en-US"/>
        </w:rPr>
        <w:t>These criteria d</w:t>
      </w:r>
      <w:r>
        <w:rPr>
          <w:lang w:bidi="en-US"/>
        </w:rPr>
        <w:t>o not</w:t>
      </w:r>
      <w:r w:rsidRPr="009023EF">
        <w:rPr>
          <w:lang w:bidi="en-US"/>
        </w:rPr>
        <w:t xml:space="preserve"> app</w:t>
      </w:r>
      <w:r>
        <w:rPr>
          <w:lang w:bidi="en-US"/>
        </w:rPr>
        <w:t>ly to residents with burns.</w:t>
      </w:r>
    </w:p>
    <w:p w:rsidR="00584303" w:rsidRPr="00FE7D5B" w:rsidRDefault="00584303" w:rsidP="00584303">
      <w:pPr>
        <w:pStyle w:val="NHASListLevel1numbered"/>
        <w:numPr>
          <w:ilvl w:val="0"/>
          <w:numId w:val="5"/>
        </w:numPr>
        <w:spacing w:after="200" w:line="276" w:lineRule="auto"/>
        <w:ind w:left="720"/>
        <w:contextualSpacing/>
        <w:rPr>
          <w:lang w:bidi="en-US"/>
        </w:rPr>
      </w:pPr>
      <w:r w:rsidRPr="009023EF">
        <w:rPr>
          <w:lang w:bidi="en-US"/>
        </w:rPr>
        <w:t>Gout can at</w:t>
      </w:r>
      <w:r>
        <w:rPr>
          <w:lang w:bidi="en-US"/>
        </w:rPr>
        <w:t xml:space="preserve"> times be mistaken for cellulitis </w:t>
      </w:r>
      <w:r w:rsidRPr="009023EF">
        <w:rPr>
          <w:lang w:bidi="en-US"/>
        </w:rPr>
        <w:t>or vice versa.</w:t>
      </w:r>
    </w:p>
    <w:p w:rsidR="00584303" w:rsidRPr="00584303" w:rsidRDefault="00584303" w:rsidP="00584303">
      <w:pPr>
        <w:pStyle w:val="NHASBodyTextPreBullet"/>
      </w:pPr>
      <w:r w:rsidRPr="00531249">
        <w:rPr>
          <w:lang w:bidi="en-US"/>
        </w:rPr>
        <w:t>If none of the minimum criteria are met, consider initiating the following:</w:t>
      </w:r>
    </w:p>
    <w:p w:rsidR="00584303" w:rsidRPr="001F38B5" w:rsidRDefault="00584303" w:rsidP="00584303">
      <w:pPr>
        <w:pStyle w:val="NHASBullet1"/>
        <w:spacing w:after="200"/>
        <w:contextualSpacing/>
        <w:rPr>
          <w:lang w:bidi="en-US"/>
        </w:rPr>
      </w:pPr>
      <w:r w:rsidRPr="001F38B5">
        <w:rPr>
          <w:lang w:bidi="en-US"/>
        </w:rPr>
        <w:t>Assess vital signs, including temp</w:t>
      </w:r>
      <w:r>
        <w:rPr>
          <w:lang w:bidi="en-US"/>
        </w:rPr>
        <w:t>,</w:t>
      </w:r>
      <w:r w:rsidRPr="001F38B5">
        <w:rPr>
          <w:lang w:bidi="en-US"/>
        </w:rPr>
        <w:t xml:space="preserve"> every ______ hours for ______ hours</w:t>
      </w:r>
      <w:r>
        <w:rPr>
          <w:lang w:bidi="en-US"/>
        </w:rPr>
        <w:t>;</w:t>
      </w:r>
      <w:r w:rsidRPr="001F38B5">
        <w:rPr>
          <w:lang w:bidi="en-US"/>
        </w:rPr>
        <w:t xml:space="preserve"> and/or</w:t>
      </w:r>
    </w:p>
    <w:p w:rsidR="00584303" w:rsidRDefault="00584303" w:rsidP="00584303">
      <w:pPr>
        <w:pStyle w:val="NHASBullet1"/>
        <w:spacing w:after="200"/>
        <w:contextualSpacing/>
        <w:rPr>
          <w:lang w:bidi="en-US"/>
        </w:rPr>
      </w:pPr>
      <w:r w:rsidRPr="001F38B5">
        <w:rPr>
          <w:lang w:bidi="en-US"/>
        </w:rPr>
        <w:t xml:space="preserve">Notify </w:t>
      </w:r>
      <w:r w:rsidR="00413A73" w:rsidRPr="001F38B5">
        <w:rPr>
          <w:lang w:bidi="en-US"/>
        </w:rPr>
        <w:t>physician</w:t>
      </w:r>
      <w:r w:rsidRPr="001F38B5">
        <w:rPr>
          <w:lang w:bidi="en-US"/>
        </w:rPr>
        <w:t>/NP/PA if symptoms worsen or if unresolved in ______ hours.</w:t>
      </w:r>
    </w:p>
    <w:p w:rsidR="00584303" w:rsidRPr="00584303" w:rsidRDefault="00584303" w:rsidP="00584303">
      <w:pPr>
        <w:pStyle w:val="NHASBodyTextPreBullet"/>
      </w:pPr>
      <w:r w:rsidRPr="00531249">
        <w:rPr>
          <w:lang w:bidi="en-US"/>
        </w:rPr>
        <w:t>Regardless of whether or not the minimum criteria are met, con</w:t>
      </w:r>
      <w:r w:rsidR="0085236F">
        <w:rPr>
          <w:lang w:bidi="en-US"/>
        </w:rPr>
        <w:t>sider initiating the </w:t>
      </w:r>
      <w:r>
        <w:rPr>
          <w:lang w:bidi="en-US"/>
        </w:rPr>
        <w:t>following:</w:t>
      </w:r>
    </w:p>
    <w:p w:rsidR="00584303" w:rsidRPr="00584303" w:rsidRDefault="00584303" w:rsidP="00584303">
      <w:pPr>
        <w:pStyle w:val="NHASBullet1"/>
        <w:spacing w:after="200"/>
        <w:rPr>
          <w:szCs w:val="24"/>
          <w:lang w:bidi="en-US"/>
        </w:rPr>
      </w:pPr>
      <w:r w:rsidRPr="00B232F5">
        <w:rPr>
          <w:lang w:bidi="en-US"/>
        </w:rPr>
        <w:t>For discomfort or prior to cleaning/dressing changes, consider using acetaminophen or other pain reliever</w:t>
      </w:r>
      <w:r>
        <w:rPr>
          <w:lang w:bidi="en-US"/>
        </w:rPr>
        <w:t>s</w:t>
      </w:r>
      <w:r w:rsidRPr="00B232F5">
        <w:rPr>
          <w:lang w:bidi="en-US"/>
        </w:rPr>
        <w:t xml:space="preserve"> as needed</w:t>
      </w:r>
      <w:r>
        <w:rPr>
          <w:lang w:bidi="en-US"/>
        </w:rPr>
        <w:t>.</w:t>
      </w:r>
      <w:r w:rsidRPr="00584303">
        <w:rPr>
          <w:szCs w:val="24"/>
          <w:lang w:bidi="en-US"/>
        </w:rPr>
        <w:br w:type="page"/>
      </w:r>
    </w:p>
    <w:p w:rsidR="00584303" w:rsidRPr="00584303" w:rsidRDefault="00584303" w:rsidP="00584303">
      <w:pPr>
        <w:pStyle w:val="Heading5"/>
      </w:pPr>
      <w:r w:rsidRPr="00584303">
        <w:lastRenderedPageBreak/>
        <w:t>Minimum Criteria for Initiating Antibiotics for a Lower Respiratory Tract Infection</w:t>
      </w:r>
    </w:p>
    <w:p w:rsidR="00584303" w:rsidRPr="00584303" w:rsidRDefault="00584303" w:rsidP="00584303">
      <w:pPr>
        <w:pStyle w:val="NHASBodyTextPreBullet"/>
      </w:pPr>
      <w:r w:rsidRPr="00531249">
        <w:rPr>
          <w:lang w:bidi="en-US"/>
        </w:rPr>
        <w:t>If a resident has a fever of &gt;102</w:t>
      </w:r>
      <w:r w:rsidR="00413A73">
        <w:rPr>
          <w:lang w:bidi="en-US"/>
        </w:rPr>
        <w:t>°</w:t>
      </w:r>
      <w:r w:rsidRPr="00531249">
        <w:rPr>
          <w:lang w:bidi="en-US"/>
        </w:rPr>
        <w:t>F (38.9</w:t>
      </w:r>
      <w:r w:rsidR="00413A73">
        <w:rPr>
          <w:lang w:bidi="en-US"/>
        </w:rPr>
        <w:t>°</w:t>
      </w:r>
      <w:r w:rsidRPr="00531249">
        <w:rPr>
          <w:lang w:bidi="en-US"/>
        </w:rPr>
        <w:t xml:space="preserve">C), initiate antibiotics if one of the following criteria </w:t>
      </w:r>
      <w:r>
        <w:rPr>
          <w:lang w:bidi="en-US"/>
        </w:rPr>
        <w:t>is</w:t>
      </w:r>
      <w:r w:rsidRPr="00531249">
        <w:rPr>
          <w:lang w:bidi="en-US"/>
        </w:rPr>
        <w:t xml:space="preserve"> met:</w:t>
      </w:r>
    </w:p>
    <w:p w:rsidR="00584303" w:rsidRPr="001F38B5" w:rsidRDefault="00584303" w:rsidP="00584303">
      <w:pPr>
        <w:pStyle w:val="NHASBullet1"/>
        <w:spacing w:after="200"/>
        <w:contextualSpacing/>
        <w:rPr>
          <w:lang w:bidi="en-US"/>
        </w:rPr>
      </w:pPr>
      <w:r w:rsidRPr="001F38B5">
        <w:rPr>
          <w:lang w:bidi="en-US"/>
        </w:rPr>
        <w:t>Respiratory rate &gt;25 breaths per minute</w:t>
      </w:r>
      <w:r>
        <w:rPr>
          <w:lang w:bidi="en-US"/>
        </w:rPr>
        <w:t>,</w:t>
      </w:r>
      <w:r w:rsidRPr="001F38B5">
        <w:rPr>
          <w:lang w:bidi="en-US"/>
        </w:rPr>
        <w:t xml:space="preserve"> or</w:t>
      </w:r>
    </w:p>
    <w:p w:rsidR="00584303" w:rsidRPr="001F38B5" w:rsidRDefault="00584303" w:rsidP="00584303">
      <w:pPr>
        <w:pStyle w:val="NHASBullet1"/>
        <w:spacing w:after="200"/>
      </w:pPr>
      <w:r>
        <w:rPr>
          <w:lang w:bidi="en-US"/>
        </w:rPr>
        <w:t>Productive cough</w:t>
      </w:r>
    </w:p>
    <w:p w:rsidR="00584303" w:rsidRPr="00584303" w:rsidRDefault="00584303" w:rsidP="00584303">
      <w:pPr>
        <w:pStyle w:val="NHASBodyTextPreBullet"/>
      </w:pPr>
      <w:r w:rsidRPr="00531249">
        <w:rPr>
          <w:lang w:bidi="en-US"/>
        </w:rPr>
        <w:t>If a resident has a fever of 100</w:t>
      </w:r>
      <w:r w:rsidR="00413A73">
        <w:rPr>
          <w:lang w:bidi="en-US"/>
        </w:rPr>
        <w:t>°</w:t>
      </w:r>
      <w:r w:rsidRPr="00531249">
        <w:rPr>
          <w:lang w:bidi="en-US"/>
        </w:rPr>
        <w:t>F (37.9</w:t>
      </w:r>
      <w:r w:rsidR="00413A73">
        <w:rPr>
          <w:lang w:bidi="en-US"/>
        </w:rPr>
        <w:t>°</w:t>
      </w:r>
      <w:r w:rsidRPr="00531249">
        <w:rPr>
          <w:lang w:bidi="en-US"/>
        </w:rPr>
        <w:t>C) but less than 102</w:t>
      </w:r>
      <w:r w:rsidR="00413A73">
        <w:rPr>
          <w:lang w:bidi="en-US"/>
        </w:rPr>
        <w:t>°</w:t>
      </w:r>
      <w:r w:rsidRPr="00531249">
        <w:rPr>
          <w:lang w:bidi="en-US"/>
        </w:rPr>
        <w:t>F (38.9</w:t>
      </w:r>
      <w:r w:rsidR="00413A73">
        <w:rPr>
          <w:lang w:bidi="en-US"/>
        </w:rPr>
        <w:t>°</w:t>
      </w:r>
      <w:r w:rsidRPr="00531249">
        <w:rPr>
          <w:lang w:bidi="en-US"/>
        </w:rPr>
        <w:t>C), initiate antibiotics if the following criteria are met:</w:t>
      </w:r>
    </w:p>
    <w:p w:rsidR="00584303" w:rsidRPr="001F38B5" w:rsidRDefault="00584303" w:rsidP="00584303">
      <w:pPr>
        <w:pStyle w:val="NHASBullet1"/>
        <w:spacing w:after="0"/>
      </w:pPr>
      <w:r w:rsidRPr="001F38B5">
        <w:rPr>
          <w:lang w:bidi="en-US"/>
        </w:rPr>
        <w:t>Cough</w:t>
      </w:r>
      <w:r w:rsidRPr="001F38B5">
        <w:t xml:space="preserve"> </w:t>
      </w:r>
      <w:r w:rsidRPr="001F38B5">
        <w:rPr>
          <w:b/>
        </w:rPr>
        <w:t>AND</w:t>
      </w:r>
      <w:r w:rsidR="00413A73">
        <w:t xml:space="preserve"> at least one</w:t>
      </w:r>
      <w:r w:rsidRPr="001F38B5">
        <w:t xml:space="preserve"> of the following:</w:t>
      </w:r>
    </w:p>
    <w:p w:rsidR="00584303" w:rsidRPr="001F38B5" w:rsidRDefault="00584303" w:rsidP="00584303">
      <w:pPr>
        <w:pStyle w:val="NHASBullet2"/>
        <w:tabs>
          <w:tab w:val="clear" w:pos="360"/>
        </w:tabs>
        <w:spacing w:after="0"/>
        <w:ind w:left="1080" w:hanging="360"/>
      </w:pPr>
      <w:r>
        <w:t>P</w:t>
      </w:r>
      <w:r w:rsidRPr="001F38B5">
        <w:t>ulse &gt;100, or</w:t>
      </w:r>
    </w:p>
    <w:p w:rsidR="00584303" w:rsidRPr="00B232F5" w:rsidRDefault="00584303" w:rsidP="00584303">
      <w:pPr>
        <w:pStyle w:val="NHASBullet2"/>
        <w:tabs>
          <w:tab w:val="clear" w:pos="360"/>
        </w:tabs>
        <w:spacing w:after="0"/>
        <w:ind w:left="1080" w:hanging="360"/>
      </w:pPr>
      <w:r w:rsidRPr="00B232F5">
        <w:t>Delirium (sudden onset of confusion, disorientation, dramatic change in mental status)</w:t>
      </w:r>
      <w:r>
        <w:t>, or</w:t>
      </w:r>
    </w:p>
    <w:p w:rsidR="00584303" w:rsidRPr="001F38B5" w:rsidRDefault="00584303" w:rsidP="00584303">
      <w:pPr>
        <w:pStyle w:val="NHASBullet2"/>
        <w:tabs>
          <w:tab w:val="clear" w:pos="360"/>
        </w:tabs>
        <w:spacing w:after="0"/>
        <w:ind w:left="1080" w:hanging="360"/>
      </w:pPr>
      <w:r>
        <w:t>R</w:t>
      </w:r>
      <w:r w:rsidRPr="001F38B5">
        <w:t>igors (shaking chills), or</w:t>
      </w:r>
    </w:p>
    <w:p w:rsidR="00584303" w:rsidRPr="00FE7D5B" w:rsidRDefault="00584303" w:rsidP="00584303">
      <w:pPr>
        <w:pStyle w:val="NHASBullet2"/>
        <w:tabs>
          <w:tab w:val="clear" w:pos="360"/>
        </w:tabs>
        <w:spacing w:after="120"/>
        <w:ind w:left="1080" w:hanging="360"/>
      </w:pPr>
      <w:r>
        <w:t>R</w:t>
      </w:r>
      <w:r w:rsidR="00413A73">
        <w:t>espiratory rate &gt;25</w:t>
      </w:r>
    </w:p>
    <w:p w:rsidR="00584303" w:rsidRPr="001F38B5" w:rsidRDefault="00584303" w:rsidP="00584303">
      <w:pPr>
        <w:pStyle w:val="NHASBodyText"/>
        <w:rPr>
          <w:lang w:bidi="en-US"/>
        </w:rPr>
      </w:pPr>
      <w:r>
        <w:rPr>
          <w:lang w:bidi="en-US"/>
        </w:rPr>
        <w:t>Delirium</w:t>
      </w:r>
      <w:r w:rsidRPr="001F38B5">
        <w:rPr>
          <w:lang w:bidi="en-US"/>
        </w:rPr>
        <w:t xml:space="preserve"> is defined as </w:t>
      </w:r>
      <w:r>
        <w:rPr>
          <w:lang w:bidi="en-US"/>
        </w:rPr>
        <w:t xml:space="preserve">a </w:t>
      </w:r>
      <w:r w:rsidRPr="001F38B5">
        <w:rPr>
          <w:lang w:bidi="en-US"/>
        </w:rPr>
        <w:t>disturbance of consciousness with reduced ability to focus, shift, or sustain attention; change in cognition (such as memory deficit, di</w:t>
      </w:r>
      <w:r w:rsidR="0085236F">
        <w:rPr>
          <w:lang w:bidi="en-US"/>
        </w:rPr>
        <w:t>sorientation) or development of </w:t>
      </w:r>
      <w:r w:rsidRPr="001F38B5">
        <w:rPr>
          <w:lang w:bidi="en-US"/>
        </w:rPr>
        <w:t>a perceptual disturbance not better accounted for by dementia; and development of symptoms over a short period of time, with a tendency to fluctuate during the day.</w:t>
      </w:r>
    </w:p>
    <w:p w:rsidR="00584303" w:rsidRPr="00584303" w:rsidRDefault="00584303" w:rsidP="00584303">
      <w:pPr>
        <w:pStyle w:val="NHASBodyTextPreBullet"/>
      </w:pPr>
      <w:r w:rsidRPr="00531249">
        <w:rPr>
          <w:lang w:bidi="en-US"/>
        </w:rPr>
        <w:t>If a resident is afebrile wi</w:t>
      </w:r>
      <w:r w:rsidR="00413A73">
        <w:rPr>
          <w:lang w:bidi="en-US"/>
        </w:rPr>
        <w:t xml:space="preserve">th </w:t>
      </w:r>
      <w:proofErr w:type="gramStart"/>
      <w:r w:rsidR="00413A73">
        <w:rPr>
          <w:lang w:bidi="en-US"/>
        </w:rPr>
        <w:t>COPD,</w:t>
      </w:r>
      <w:proofErr w:type="gramEnd"/>
      <w:r w:rsidR="00413A73">
        <w:rPr>
          <w:lang w:bidi="en-US"/>
        </w:rPr>
        <w:t xml:space="preserve"> and classified as high </w:t>
      </w:r>
      <w:r w:rsidRPr="00531249">
        <w:rPr>
          <w:lang w:bidi="en-US"/>
        </w:rPr>
        <w:t xml:space="preserve">risk because of age &gt;65, initiate antibiotics if </w:t>
      </w:r>
      <w:r w:rsidRPr="002967FE">
        <w:rPr>
          <w:lang w:bidi="en-US"/>
        </w:rPr>
        <w:t>the</w:t>
      </w:r>
      <w:r w:rsidRPr="00531249">
        <w:rPr>
          <w:lang w:bidi="en-US"/>
        </w:rPr>
        <w:t xml:space="preserve"> following criterion is met:</w:t>
      </w:r>
    </w:p>
    <w:p w:rsidR="00584303" w:rsidRDefault="00584303" w:rsidP="00584303">
      <w:pPr>
        <w:pStyle w:val="NHASBullet1"/>
        <w:spacing w:after="200"/>
        <w:rPr>
          <w:lang w:bidi="en-US"/>
        </w:rPr>
      </w:pPr>
      <w:r w:rsidRPr="001F38B5">
        <w:rPr>
          <w:lang w:bidi="en-US"/>
        </w:rPr>
        <w:t>New or increased cough with purulent sputum production</w:t>
      </w:r>
    </w:p>
    <w:p w:rsidR="00584303" w:rsidRPr="00584303" w:rsidRDefault="00584303" w:rsidP="00584303">
      <w:pPr>
        <w:pStyle w:val="NHASBodyTextPreBullet"/>
      </w:pPr>
      <w:r w:rsidRPr="00531249">
        <w:rPr>
          <w:lang w:bidi="en-US"/>
        </w:rPr>
        <w:t>If a resident is afebrile with</w:t>
      </w:r>
      <w:r>
        <w:rPr>
          <w:lang w:bidi="en-US"/>
        </w:rPr>
        <w:t>out</w:t>
      </w:r>
      <w:r w:rsidR="00413A73">
        <w:rPr>
          <w:lang w:bidi="en-US"/>
        </w:rPr>
        <w:t xml:space="preserve"> </w:t>
      </w:r>
      <w:proofErr w:type="gramStart"/>
      <w:r w:rsidR="00413A73">
        <w:rPr>
          <w:lang w:bidi="en-US"/>
        </w:rPr>
        <w:t>COPD,</w:t>
      </w:r>
      <w:proofErr w:type="gramEnd"/>
      <w:r w:rsidR="00413A73">
        <w:rPr>
          <w:lang w:bidi="en-US"/>
        </w:rPr>
        <w:t xml:space="preserve"> and classified as high </w:t>
      </w:r>
      <w:r w:rsidRPr="00531249">
        <w:rPr>
          <w:lang w:bidi="en-US"/>
        </w:rPr>
        <w:t>risk because of age &gt;65, initiate antibi</w:t>
      </w:r>
      <w:r>
        <w:rPr>
          <w:lang w:bidi="en-US"/>
        </w:rPr>
        <w:t xml:space="preserve">otics if </w:t>
      </w:r>
      <w:r w:rsidRPr="002967FE">
        <w:rPr>
          <w:lang w:bidi="en-US"/>
        </w:rPr>
        <w:t>the</w:t>
      </w:r>
      <w:r>
        <w:rPr>
          <w:lang w:bidi="en-US"/>
        </w:rPr>
        <w:t xml:space="preserve"> following criteria</w:t>
      </w:r>
      <w:r w:rsidRPr="00531249">
        <w:rPr>
          <w:lang w:bidi="en-US"/>
        </w:rPr>
        <w:t xml:space="preserve"> </w:t>
      </w:r>
      <w:r>
        <w:rPr>
          <w:lang w:bidi="en-US"/>
        </w:rPr>
        <w:t>are</w:t>
      </w:r>
      <w:r w:rsidRPr="00531249">
        <w:rPr>
          <w:lang w:bidi="en-US"/>
        </w:rPr>
        <w:t xml:space="preserve"> met:</w:t>
      </w:r>
    </w:p>
    <w:p w:rsidR="00584303" w:rsidRPr="00FE7D5B" w:rsidRDefault="00584303" w:rsidP="00584303">
      <w:pPr>
        <w:pStyle w:val="NHASBullet1"/>
        <w:rPr>
          <w:lang w:bidi="en-US"/>
        </w:rPr>
      </w:pPr>
      <w:r w:rsidRPr="001F38B5">
        <w:rPr>
          <w:lang w:bidi="en-US"/>
        </w:rPr>
        <w:t>New or increased cough with purulent sputum production</w:t>
      </w:r>
      <w:r>
        <w:rPr>
          <w:lang w:bidi="en-US"/>
        </w:rPr>
        <w:t xml:space="preserve"> </w:t>
      </w:r>
      <w:r>
        <w:rPr>
          <w:b/>
          <w:lang w:bidi="en-US"/>
        </w:rPr>
        <w:t>AND</w:t>
      </w:r>
      <w:r w:rsidR="00413A73">
        <w:rPr>
          <w:lang w:bidi="en-US"/>
        </w:rPr>
        <w:t xml:space="preserve"> at least one of the </w:t>
      </w:r>
      <w:r>
        <w:rPr>
          <w:lang w:bidi="en-US"/>
        </w:rPr>
        <w:t>following:</w:t>
      </w:r>
    </w:p>
    <w:p w:rsidR="00584303" w:rsidRPr="002967FE" w:rsidRDefault="00584303" w:rsidP="00584303">
      <w:pPr>
        <w:pStyle w:val="NHASBullet2"/>
        <w:tabs>
          <w:tab w:val="clear" w:pos="360"/>
        </w:tabs>
        <w:spacing w:after="0"/>
        <w:ind w:left="1080" w:hanging="360"/>
      </w:pPr>
      <w:r w:rsidRPr="002967FE">
        <w:t>Respiratory rate &gt;25, or</w:t>
      </w:r>
    </w:p>
    <w:p w:rsidR="00584303" w:rsidRPr="00FE7D5B" w:rsidRDefault="00584303" w:rsidP="00584303">
      <w:pPr>
        <w:pStyle w:val="NHASBullet2"/>
        <w:tabs>
          <w:tab w:val="clear" w:pos="360"/>
        </w:tabs>
        <w:ind w:left="1080" w:hanging="360"/>
      </w:pPr>
      <w:r w:rsidRPr="002967FE">
        <w:t>Delirium</w:t>
      </w:r>
      <w:r>
        <w:t xml:space="preserve"> </w:t>
      </w:r>
      <w:r w:rsidRPr="00B232F5">
        <w:t>(sudden onset of confusion, disorienta</w:t>
      </w:r>
      <w:r w:rsidR="00413A73">
        <w:t>tion, dramatic change in mental </w:t>
      </w:r>
      <w:r w:rsidRPr="00B232F5">
        <w:t>status)</w:t>
      </w:r>
    </w:p>
    <w:p w:rsidR="00584303" w:rsidRPr="00584303" w:rsidRDefault="00584303" w:rsidP="00584303">
      <w:pPr>
        <w:pStyle w:val="NHASBodyTextPreBullet"/>
      </w:pPr>
      <w:r w:rsidRPr="00531249">
        <w:rPr>
          <w:lang w:bidi="en-US"/>
        </w:rPr>
        <w:t>If none of the minimum criteria are met, consider initiating the following:</w:t>
      </w:r>
    </w:p>
    <w:p w:rsidR="00584303" w:rsidRPr="001F38B5" w:rsidRDefault="00584303" w:rsidP="00584303">
      <w:pPr>
        <w:pStyle w:val="NHASBullet1"/>
        <w:spacing w:after="0"/>
        <w:rPr>
          <w:lang w:bidi="en-US"/>
        </w:rPr>
      </w:pPr>
      <w:r w:rsidRPr="001F38B5">
        <w:rPr>
          <w:lang w:bidi="en-US"/>
        </w:rPr>
        <w:t>Assess vital signs, including temp</w:t>
      </w:r>
      <w:r>
        <w:rPr>
          <w:lang w:bidi="en-US"/>
        </w:rPr>
        <w:t>,</w:t>
      </w:r>
      <w:r w:rsidRPr="001F38B5">
        <w:rPr>
          <w:lang w:bidi="en-US"/>
        </w:rPr>
        <w:t xml:space="preserve"> every _____</w:t>
      </w:r>
      <w:r>
        <w:rPr>
          <w:lang w:bidi="en-US"/>
        </w:rPr>
        <w:t>_ hours for ______ hours.</w:t>
      </w:r>
    </w:p>
    <w:p w:rsidR="00584303" w:rsidRDefault="00584303" w:rsidP="00D228FF">
      <w:pPr>
        <w:pStyle w:val="NHASBullet1"/>
      </w:pPr>
      <w:r w:rsidRPr="001F38B5">
        <w:rPr>
          <w:lang w:bidi="en-US"/>
        </w:rPr>
        <w:t xml:space="preserve">Notify </w:t>
      </w:r>
      <w:r w:rsidR="00413A73" w:rsidRPr="001F38B5">
        <w:rPr>
          <w:lang w:bidi="en-US"/>
        </w:rPr>
        <w:t>physician</w:t>
      </w:r>
      <w:r w:rsidRPr="001F38B5">
        <w:rPr>
          <w:lang w:bidi="en-US"/>
        </w:rPr>
        <w:t>/</w:t>
      </w:r>
      <w:r w:rsidRPr="00920CC1">
        <w:rPr>
          <w:lang w:bidi="en-US"/>
        </w:rPr>
        <w:t>NP/PA if symptoms worsen o</w:t>
      </w:r>
      <w:r>
        <w:rPr>
          <w:lang w:bidi="en-US"/>
        </w:rPr>
        <w:t>r if unresolved in ______ hours.</w:t>
      </w:r>
    </w:p>
    <w:p w:rsidR="00584303" w:rsidRDefault="00584303">
      <w:pPr>
        <w:sectPr w:rsidR="00584303" w:rsidSect="00833CE3">
          <w:headerReference w:type="even" r:id="rId10"/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648" w:gutter="0"/>
          <w:cols w:space="720"/>
          <w:docGrid w:linePitch="360"/>
        </w:sectPr>
      </w:pPr>
    </w:p>
    <w:p w:rsidR="00584303" w:rsidRPr="00584303" w:rsidRDefault="00584303" w:rsidP="00584303">
      <w:pPr>
        <w:pStyle w:val="NHASBodyTextPreBullet"/>
      </w:pPr>
      <w:r w:rsidRPr="00531249">
        <w:rPr>
          <w:lang w:bidi="en-US"/>
        </w:rPr>
        <w:lastRenderedPageBreak/>
        <w:t>Regardless of whether or not the minimum criteri</w:t>
      </w:r>
      <w:r w:rsidR="0085236F">
        <w:rPr>
          <w:lang w:bidi="en-US"/>
        </w:rPr>
        <w:t>a are met, avoid antihistamines </w:t>
      </w:r>
      <w:r w:rsidRPr="00531249">
        <w:rPr>
          <w:lang w:bidi="en-US"/>
        </w:rPr>
        <w:t>(especially Benadryl</w:t>
      </w:r>
      <w:r w:rsidR="00413A73">
        <w:rPr>
          <w:lang w:bidi="en-US"/>
        </w:rPr>
        <w:t>®</w:t>
      </w:r>
      <w:r w:rsidRPr="00531249">
        <w:rPr>
          <w:lang w:bidi="en-US"/>
        </w:rPr>
        <w:t>) and con</w:t>
      </w:r>
      <w:r>
        <w:rPr>
          <w:lang w:bidi="en-US"/>
        </w:rPr>
        <w:t>sider initiating the following:</w:t>
      </w:r>
    </w:p>
    <w:p w:rsidR="00584303" w:rsidRPr="000E638A" w:rsidRDefault="00584303" w:rsidP="00584303">
      <w:pPr>
        <w:pStyle w:val="NHASBullet1"/>
        <w:spacing w:after="40"/>
        <w:rPr>
          <w:lang w:bidi="en-US"/>
        </w:rPr>
      </w:pPr>
      <w:r w:rsidRPr="000E638A">
        <w:rPr>
          <w:lang w:bidi="en-US"/>
        </w:rPr>
        <w:t>For cough, consider using a cough suppressant.</w:t>
      </w:r>
    </w:p>
    <w:p w:rsidR="00584303" w:rsidRPr="00B232F5" w:rsidRDefault="00584303" w:rsidP="00584303">
      <w:pPr>
        <w:pStyle w:val="NHASBullet1"/>
        <w:spacing w:after="40"/>
        <w:rPr>
          <w:lang w:bidi="en-US"/>
        </w:rPr>
      </w:pPr>
      <w:r w:rsidRPr="00B232F5">
        <w:rPr>
          <w:lang w:bidi="en-US"/>
        </w:rPr>
        <w:t>For discomfort, consider using acetaminophen or other pain reliever</w:t>
      </w:r>
      <w:r>
        <w:rPr>
          <w:lang w:bidi="en-US"/>
        </w:rPr>
        <w:t>.</w:t>
      </w:r>
    </w:p>
    <w:p w:rsidR="00584303" w:rsidRPr="00B232F5" w:rsidRDefault="00584303" w:rsidP="00584303">
      <w:pPr>
        <w:pStyle w:val="NHASBullet1"/>
        <w:spacing w:after="40"/>
        <w:rPr>
          <w:lang w:bidi="en-US"/>
        </w:rPr>
      </w:pPr>
      <w:r>
        <w:rPr>
          <w:lang w:bidi="en-US"/>
        </w:rPr>
        <w:t>Consider using a heating pad or hot water bottle on the chest at bedtime for ____ minutes, although caution is advised.</w:t>
      </w:r>
    </w:p>
    <w:p w:rsidR="00584303" w:rsidRPr="00B232F5" w:rsidRDefault="00584303" w:rsidP="00584303">
      <w:pPr>
        <w:pStyle w:val="NHASBullet1"/>
        <w:spacing w:after="40"/>
        <w:rPr>
          <w:lang w:bidi="en-US"/>
        </w:rPr>
      </w:pPr>
      <w:r w:rsidRPr="00B232F5">
        <w:rPr>
          <w:lang w:bidi="en-US"/>
        </w:rPr>
        <w:t>Raise upper body (use multiple pillows) to sleep/rest</w:t>
      </w:r>
      <w:r>
        <w:rPr>
          <w:lang w:bidi="en-US"/>
        </w:rPr>
        <w:t>.</w:t>
      </w:r>
    </w:p>
    <w:p w:rsidR="00584303" w:rsidRPr="00B232F5" w:rsidRDefault="00584303" w:rsidP="00584303">
      <w:pPr>
        <w:pStyle w:val="NHASBullet1"/>
        <w:spacing w:after="40"/>
        <w:rPr>
          <w:lang w:bidi="en-US"/>
        </w:rPr>
      </w:pPr>
      <w:r w:rsidRPr="00B232F5">
        <w:rPr>
          <w:lang w:bidi="en-US"/>
        </w:rPr>
        <w:t xml:space="preserve">Encourage ___ ounces of </w:t>
      </w:r>
      <w:r>
        <w:rPr>
          <w:lang w:bidi="en-US"/>
        </w:rPr>
        <w:t>fluid by mouth or G-tube</w:t>
      </w:r>
      <w:r w:rsidRPr="00B232F5">
        <w:rPr>
          <w:lang w:bidi="en-US"/>
        </w:rPr>
        <w:t xml:space="preserve"> </w:t>
      </w:r>
      <w:r>
        <w:rPr>
          <w:lang w:bidi="en-US"/>
        </w:rPr>
        <w:t>for ___ days or</w:t>
      </w:r>
      <w:r w:rsidRPr="00B232F5">
        <w:rPr>
          <w:lang w:bidi="en-US"/>
        </w:rPr>
        <w:t xml:space="preserve"> until urine is light yellow in color</w:t>
      </w:r>
      <w:r>
        <w:rPr>
          <w:lang w:bidi="en-US"/>
        </w:rPr>
        <w:t>.</w:t>
      </w:r>
    </w:p>
    <w:p w:rsidR="00584303" w:rsidRDefault="00584303" w:rsidP="00584303">
      <w:pPr>
        <w:pStyle w:val="NHASBullet1"/>
        <w:spacing w:after="40"/>
        <w:rPr>
          <w:lang w:bidi="en-US"/>
        </w:rPr>
      </w:pPr>
      <w:r w:rsidRPr="00B232F5">
        <w:rPr>
          <w:lang w:bidi="en-US"/>
        </w:rPr>
        <w:t>Encourage salt water gargles</w:t>
      </w:r>
      <w:r>
        <w:rPr>
          <w:lang w:bidi="en-US"/>
        </w:rPr>
        <w:t>.</w:t>
      </w:r>
    </w:p>
    <w:p w:rsidR="00584303" w:rsidRDefault="00584303" w:rsidP="00584303">
      <w:pPr>
        <w:pStyle w:val="NHASBullet1"/>
        <w:spacing w:after="40"/>
        <w:rPr>
          <w:lang w:bidi="en-US"/>
        </w:rPr>
      </w:pPr>
      <w:r w:rsidRPr="00B232F5">
        <w:rPr>
          <w:lang w:bidi="en-US"/>
        </w:rPr>
        <w:t>Record fluid intake</w:t>
      </w:r>
      <w:r>
        <w:rPr>
          <w:lang w:bidi="en-US"/>
        </w:rPr>
        <w:t xml:space="preserve"> for ___ days</w:t>
      </w:r>
      <w:r w:rsidR="0085236F">
        <w:rPr>
          <w:lang w:bidi="en-US"/>
        </w:rPr>
        <w:t>.</w:t>
      </w:r>
    </w:p>
    <w:p w:rsidR="00584303" w:rsidRPr="00B232F5" w:rsidRDefault="00584303" w:rsidP="00584303">
      <w:pPr>
        <w:pStyle w:val="NHASBullet1-last"/>
        <w:numPr>
          <w:ilvl w:val="0"/>
          <w:numId w:val="2"/>
        </w:numPr>
        <w:ind w:left="720"/>
        <w:rPr>
          <w:lang w:bidi="en-US"/>
        </w:rPr>
      </w:pPr>
      <w:r>
        <w:rPr>
          <w:lang w:bidi="en-US"/>
        </w:rPr>
        <w:t xml:space="preserve">Initiate intravenous fluid hydration and/or initiate </w:t>
      </w:r>
      <w:proofErr w:type="spellStart"/>
      <w:r>
        <w:rPr>
          <w:lang w:bidi="en-US"/>
        </w:rPr>
        <w:t>hypodermoclysis</w:t>
      </w:r>
      <w:proofErr w:type="spellEnd"/>
      <w:r>
        <w:rPr>
          <w:lang w:bidi="en-US"/>
        </w:rPr>
        <w:t>.</w:t>
      </w:r>
    </w:p>
    <w:p w:rsidR="006B7A85" w:rsidRPr="00584303" w:rsidRDefault="00584303" w:rsidP="00584303">
      <w:pPr>
        <w:pStyle w:val="NHASBodyTextPreBullet"/>
      </w:pPr>
      <w:r w:rsidRPr="00584303">
        <w:t>As necessary, request a chest X-</w:t>
      </w:r>
      <w:r w:rsidR="00DB3070" w:rsidRPr="00584303">
        <w:t>ray</w:t>
      </w:r>
      <w:r w:rsidRPr="00584303">
        <w:t>.</w:t>
      </w:r>
    </w:p>
    <w:sectPr w:rsidR="006B7A85" w:rsidRPr="00584303" w:rsidSect="00833CE3">
      <w:headerReference w:type="default" r:id="rId14"/>
      <w:footerReference w:type="default" r:id="rId15"/>
      <w:pgSz w:w="12240" w:h="15840"/>
      <w:pgMar w:top="1440" w:right="1440" w:bottom="1440" w:left="1440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F6" w:rsidRDefault="00DF7BF6" w:rsidP="00E32D5F">
      <w:pPr>
        <w:spacing w:after="0" w:line="240" w:lineRule="auto"/>
      </w:pPr>
      <w:r>
        <w:separator/>
      </w:r>
    </w:p>
  </w:endnote>
  <w:endnote w:type="continuationSeparator" w:id="0">
    <w:p w:rsidR="00DF7BF6" w:rsidRDefault="00DF7BF6" w:rsidP="00E3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E3" w:rsidRDefault="00833CE3">
    <w:pPr>
      <w:pStyle w:val="Footer"/>
      <w:rPr>
        <w:rFonts w:ascii="Arial" w:hAnsi="Arial" w:cs="Arial"/>
      </w:rPr>
    </w:pPr>
    <w:r w:rsidRPr="004A60C0">
      <w:rPr>
        <w:rFonts w:ascii="Arial" w:hAnsi="Arial" w:cs="Arial"/>
      </w:rPr>
      <w:t>Nursing Home Antimicrobial Stewardship Guid</w:t>
    </w:r>
    <w:r w:rsidR="00AC6652">
      <w:rPr>
        <w:noProof/>
      </w:rPr>
      <w:drawing>
        <wp:anchor distT="0" distB="0" distL="114300" distR="114300" simplePos="0" relativeHeight="251658240" behindDoc="1" locked="0" layoutInCell="1" allowOverlap="1" wp14:anchorId="147CD894" wp14:editId="148D5DBD">
          <wp:simplePos x="914400" y="9267825"/>
          <wp:positionH relativeFrom="page">
            <wp:align>right</wp:align>
          </wp:positionH>
          <wp:positionV relativeFrom="page">
            <wp:align>bottom</wp:align>
          </wp:positionV>
          <wp:extent cx="4334256" cy="103327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i-only Word_inside page_2016 brandin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89780"/>
                  <a:stretch/>
                </pic:blipFill>
                <pic:spPr bwMode="auto">
                  <a:xfrm>
                    <a:off x="0" y="0"/>
                    <a:ext cx="4334256" cy="10332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>e</w:t>
    </w:r>
  </w:p>
  <w:p w:rsidR="00E32D5F" w:rsidRPr="00833CE3" w:rsidRDefault="00584303" w:rsidP="00833CE3">
    <w:pPr>
      <w:pStyle w:val="Footer"/>
      <w:tabs>
        <w:tab w:val="clear" w:pos="4680"/>
        <w:tab w:val="clear" w:pos="9360"/>
        <w:tab w:val="left" w:pos="7380"/>
        <w:tab w:val="right" w:pos="10080"/>
      </w:tabs>
      <w:rPr>
        <w:rFonts w:ascii="Arial" w:hAnsi="Arial" w:cs="Arial"/>
        <w:color w:val="FFFFFF" w:themeColor="background1"/>
      </w:rPr>
    </w:pPr>
    <w:r>
      <w:rPr>
        <w:rFonts w:ascii="Arial" w:hAnsi="Arial" w:cs="Arial"/>
      </w:rPr>
      <w:t>Determine Whether To Treat</w:t>
    </w:r>
    <w:r w:rsidR="00833CE3">
      <w:rPr>
        <w:rFonts w:ascii="Arial" w:hAnsi="Arial" w:cs="Arial"/>
      </w:rPr>
      <w:tab/>
    </w:r>
    <w:r>
      <w:rPr>
        <w:rFonts w:ascii="Arial" w:hAnsi="Arial" w:cs="Arial"/>
        <w:color w:val="FFFFFF" w:themeColor="background1"/>
      </w:rPr>
      <w:t>Toolkit 3/Tool 4</w:t>
    </w:r>
    <w:r w:rsidR="00833CE3">
      <w:rPr>
        <w:rFonts w:ascii="Arial" w:hAnsi="Arial" w:cs="Arial"/>
        <w:color w:val="FFFFFF" w:themeColor="background1"/>
      </w:rPr>
      <w:tab/>
    </w:r>
    <w:r w:rsidR="00833CE3" w:rsidRPr="004A60C0">
      <w:rPr>
        <w:rFonts w:ascii="Arial" w:hAnsi="Arial" w:cs="Arial"/>
        <w:color w:val="FFFFFF" w:themeColor="background1"/>
      </w:rPr>
      <w:fldChar w:fldCharType="begin"/>
    </w:r>
    <w:r w:rsidR="00833CE3" w:rsidRPr="004A60C0">
      <w:rPr>
        <w:rFonts w:ascii="Arial" w:hAnsi="Arial" w:cs="Arial"/>
        <w:color w:val="FFFFFF" w:themeColor="background1"/>
      </w:rPr>
      <w:instrText xml:space="preserve"> PAGE   \* MERGEFORMAT </w:instrText>
    </w:r>
    <w:r w:rsidR="00833CE3" w:rsidRPr="004A60C0">
      <w:rPr>
        <w:rFonts w:ascii="Arial" w:hAnsi="Arial" w:cs="Arial"/>
        <w:color w:val="FFFFFF" w:themeColor="background1"/>
      </w:rPr>
      <w:fldChar w:fldCharType="separate"/>
    </w:r>
    <w:r w:rsidR="00152FEE">
      <w:rPr>
        <w:rFonts w:ascii="Arial" w:hAnsi="Arial" w:cs="Arial"/>
        <w:noProof/>
        <w:color w:val="FFFFFF" w:themeColor="background1"/>
      </w:rPr>
      <w:t>2</w:t>
    </w:r>
    <w:r w:rsidR="00833CE3" w:rsidRPr="004A60C0">
      <w:rPr>
        <w:rFonts w:ascii="Arial" w:hAnsi="Arial" w:cs="Arial"/>
        <w:noProof/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E3" w:rsidRDefault="00584303" w:rsidP="00833CE3">
    <w:pPr>
      <w:pStyle w:val="Footer"/>
      <w:tabs>
        <w:tab w:val="clear" w:pos="4680"/>
      </w:tabs>
      <w:jc w:val="right"/>
      <w:rPr>
        <w:rFonts w:ascii="Arial" w:hAnsi="Arial" w:cs="Arial"/>
      </w:rPr>
    </w:pPr>
    <w:r>
      <w:rPr>
        <w:rFonts w:ascii="Arial" w:hAnsi="Arial" w:cs="Arial"/>
      </w:rPr>
      <w:t>AHRQ Pub. No. 17-0006-5</w:t>
    </w:r>
    <w:r w:rsidR="00833CE3">
      <w:rPr>
        <w:rFonts w:ascii="Arial" w:hAnsi="Arial" w:cs="Arial"/>
      </w:rPr>
      <w:t>-EF</w:t>
    </w:r>
  </w:p>
  <w:p w:rsidR="00833CE3" w:rsidRDefault="00833CE3" w:rsidP="00833CE3">
    <w:pPr>
      <w:pStyle w:val="Footer"/>
      <w:tabs>
        <w:tab w:val="clear" w:pos="4680"/>
      </w:tabs>
      <w:spacing w:after="440"/>
      <w:jc w:val="right"/>
      <w:rPr>
        <w:rFonts w:ascii="Arial" w:hAnsi="Arial" w:cs="Arial"/>
      </w:rPr>
    </w:pPr>
    <w:r>
      <w:rPr>
        <w:rFonts w:ascii="Arial" w:hAnsi="Arial" w:cs="Arial"/>
      </w:rPr>
      <w:t>October 2016</w:t>
    </w:r>
  </w:p>
  <w:p w:rsidR="00833CE3" w:rsidRDefault="00833CE3">
    <w:pPr>
      <w:pStyle w:val="Footer"/>
      <w:rPr>
        <w:rFonts w:ascii="Arial" w:hAnsi="Arial" w:cs="Arial"/>
      </w:rPr>
    </w:pPr>
    <w:r w:rsidRPr="004A60C0">
      <w:rPr>
        <w:rFonts w:ascii="Arial" w:hAnsi="Arial" w:cs="Arial"/>
      </w:rPr>
      <w:t>Nursing Home Antimicrobial Stewardship Guid</w:t>
    </w:r>
    <w:r>
      <w:rPr>
        <w:rFonts w:ascii="Arial" w:hAnsi="Arial" w:cs="Arial"/>
      </w:rPr>
      <w:t>e</w:t>
    </w:r>
  </w:p>
  <w:p w:rsidR="00833CE3" w:rsidRPr="00BB75BB" w:rsidRDefault="00584303" w:rsidP="00833CE3">
    <w:pPr>
      <w:pStyle w:val="Footer"/>
      <w:tabs>
        <w:tab w:val="clear" w:pos="4680"/>
        <w:tab w:val="clear" w:pos="9360"/>
        <w:tab w:val="left" w:pos="7387"/>
        <w:tab w:val="right" w:pos="10080"/>
      </w:tabs>
      <w:rPr>
        <w:rFonts w:ascii="Arial" w:hAnsi="Arial" w:cs="Arial"/>
      </w:rPr>
    </w:pPr>
    <w:r>
      <w:rPr>
        <w:rFonts w:ascii="Arial" w:hAnsi="Arial" w:cs="Arial"/>
      </w:rPr>
      <w:t>Determine Whether To Treat</w:t>
    </w:r>
    <w:r w:rsidR="00833CE3">
      <w:rPr>
        <w:rFonts w:ascii="Arial" w:hAnsi="Arial" w:cs="Arial"/>
      </w:rPr>
      <w:tab/>
    </w:r>
    <w:r>
      <w:rPr>
        <w:rFonts w:ascii="Arial" w:hAnsi="Arial" w:cs="Arial"/>
        <w:color w:val="FFFFFF" w:themeColor="background1"/>
      </w:rPr>
      <w:t>Toolkit 3/Tool 4</w:t>
    </w:r>
    <w:r w:rsidR="00833CE3">
      <w:rPr>
        <w:rFonts w:ascii="Arial" w:hAnsi="Arial" w:cs="Arial"/>
        <w:color w:val="FFFFFF" w:themeColor="background1"/>
      </w:rPr>
      <w:tab/>
    </w:r>
    <w:r w:rsidR="00833CE3" w:rsidRPr="004A60C0">
      <w:rPr>
        <w:rFonts w:ascii="Arial" w:hAnsi="Arial" w:cs="Arial"/>
        <w:color w:val="FFFFFF" w:themeColor="background1"/>
      </w:rPr>
      <w:fldChar w:fldCharType="begin"/>
    </w:r>
    <w:r w:rsidR="00833CE3" w:rsidRPr="004A60C0">
      <w:rPr>
        <w:rFonts w:ascii="Arial" w:hAnsi="Arial" w:cs="Arial"/>
        <w:color w:val="FFFFFF" w:themeColor="background1"/>
      </w:rPr>
      <w:instrText xml:space="preserve"> PAGE   \* MERGEFORMAT </w:instrText>
    </w:r>
    <w:r w:rsidR="00833CE3" w:rsidRPr="004A60C0">
      <w:rPr>
        <w:rFonts w:ascii="Arial" w:hAnsi="Arial" w:cs="Arial"/>
        <w:color w:val="FFFFFF" w:themeColor="background1"/>
      </w:rPr>
      <w:fldChar w:fldCharType="separate"/>
    </w:r>
    <w:r w:rsidR="002368BA">
      <w:rPr>
        <w:rFonts w:ascii="Arial" w:hAnsi="Arial" w:cs="Arial"/>
        <w:noProof/>
        <w:color w:val="FFFFFF" w:themeColor="background1"/>
      </w:rPr>
      <w:t>8</w:t>
    </w:r>
    <w:r w:rsidR="00833CE3" w:rsidRPr="004A60C0">
      <w:rPr>
        <w:rFonts w:ascii="Arial" w:hAnsi="Arial" w:cs="Arial"/>
        <w:noProof/>
        <w:color w:val="FFFFFF" w:themeColor="background1"/>
      </w:rPr>
      <w:fldChar w:fldCharType="end"/>
    </w:r>
    <w:r w:rsidR="00833CE3" w:rsidRPr="00BB75BB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552B5EC1" wp14:editId="7BDEEAAD">
          <wp:simplePos x="914400" y="9267825"/>
          <wp:positionH relativeFrom="page">
            <wp:align>right</wp:align>
          </wp:positionH>
          <wp:positionV relativeFrom="page">
            <wp:align>bottom</wp:align>
          </wp:positionV>
          <wp:extent cx="4334256" cy="103327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i-only Word_inside page_2016 brandin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89780"/>
                  <a:stretch/>
                </pic:blipFill>
                <pic:spPr bwMode="auto">
                  <a:xfrm>
                    <a:off x="0" y="0"/>
                    <a:ext cx="4334256" cy="10332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F6" w:rsidRPr="00D228FF" w:rsidRDefault="00DF7BF6" w:rsidP="00E32D5F">
      <w:pPr>
        <w:spacing w:after="0" w:line="240" w:lineRule="auto"/>
        <w:rPr>
          <w:rFonts w:ascii="Times New Roman" w:hAnsi="Times New Roman"/>
        </w:rPr>
      </w:pPr>
      <w:r w:rsidRPr="00D228FF">
        <w:rPr>
          <w:rFonts w:ascii="Times New Roman" w:hAnsi="Times New Roman"/>
        </w:rPr>
        <w:separator/>
      </w:r>
    </w:p>
  </w:footnote>
  <w:footnote w:type="continuationSeparator" w:id="0">
    <w:p w:rsidR="00DF7BF6" w:rsidRDefault="00DF7BF6" w:rsidP="00E32D5F">
      <w:pPr>
        <w:spacing w:after="0" w:line="240" w:lineRule="auto"/>
      </w:pPr>
      <w:r>
        <w:continuationSeparator/>
      </w:r>
    </w:p>
  </w:footnote>
  <w:footnote w:id="1">
    <w:p w:rsidR="00584303" w:rsidRDefault="00584303" w:rsidP="00584303">
      <w:pPr>
        <w:pStyle w:val="FootnoteText"/>
        <w:spacing w:after="0"/>
        <w:ind w:left="216" w:hanging="216"/>
      </w:pPr>
      <w:r>
        <w:rPr>
          <w:rStyle w:val="FootnoteReference"/>
        </w:rPr>
        <w:footnoteRef/>
      </w:r>
      <w:r>
        <w:tab/>
      </w:r>
      <w:proofErr w:type="spellStart"/>
      <w:r w:rsidRPr="00AB6DA5">
        <w:t>Colgan</w:t>
      </w:r>
      <w:proofErr w:type="spellEnd"/>
      <w:r w:rsidRPr="00AB6DA5">
        <w:t xml:space="preserve"> R, Nicolle LE, </w:t>
      </w:r>
      <w:proofErr w:type="spellStart"/>
      <w:r w:rsidRPr="00AB6DA5">
        <w:t>McGlone</w:t>
      </w:r>
      <w:proofErr w:type="spellEnd"/>
      <w:r w:rsidRPr="00AB6DA5">
        <w:t xml:space="preserve"> A, et al. Asymptomatic </w:t>
      </w:r>
      <w:proofErr w:type="spellStart"/>
      <w:r w:rsidRPr="00AB6DA5">
        <w:t>bacteriuria</w:t>
      </w:r>
      <w:proofErr w:type="spellEnd"/>
      <w:r w:rsidRPr="00AB6DA5">
        <w:t xml:space="preserve"> in</w:t>
      </w:r>
      <w:r w:rsidR="00D228FF">
        <w:t xml:space="preserve"> adults. Am </w:t>
      </w:r>
      <w:proofErr w:type="spellStart"/>
      <w:proofErr w:type="gramStart"/>
      <w:r w:rsidR="00D228FF">
        <w:t>Fam</w:t>
      </w:r>
      <w:proofErr w:type="spellEnd"/>
      <w:proofErr w:type="gramEnd"/>
      <w:r w:rsidR="00D228FF">
        <w:t xml:space="preserve"> Physician. 2006 </w:t>
      </w:r>
      <w:r w:rsidRPr="00AB6DA5">
        <w:t>Sep</w:t>
      </w:r>
      <w:proofErr w:type="gramStart"/>
      <w:r w:rsidRPr="00AB6DA5">
        <w:t>;74</w:t>
      </w:r>
      <w:proofErr w:type="gramEnd"/>
      <w:r w:rsidRPr="00AB6DA5">
        <w:t>(6):985-90. PMID: 17002033.</w:t>
      </w:r>
    </w:p>
  </w:footnote>
  <w:footnote w:id="2">
    <w:p w:rsidR="00584303" w:rsidRPr="00AB6DA5" w:rsidRDefault="00584303" w:rsidP="00584303">
      <w:pPr>
        <w:pStyle w:val="NHASReference"/>
      </w:pPr>
      <w:r w:rsidRPr="00CE00A8">
        <w:rPr>
          <w:rStyle w:val="FootnoteReference"/>
        </w:rPr>
        <w:footnoteRef/>
      </w:r>
      <w:r w:rsidRPr="00CE00A8">
        <w:tab/>
        <w:t>Nicolle LE, Bradley S, Colgan R, et al. Infectious Diseases Society of America guidelines for the diagnosis and treatment of asymptomatic bacteriuria in adults. Clin Infect Dis. 2005 Mar 1;40(5):643-54. Epub 2005 Feb 4. Erratum in: Clin Infect Dis. 2005 May 15;40(10):1556. PMID: 15714408.</w:t>
      </w:r>
    </w:p>
  </w:footnote>
  <w:footnote w:id="3">
    <w:p w:rsidR="00584303" w:rsidRPr="00AB6DA5" w:rsidRDefault="00584303" w:rsidP="00584303">
      <w:pPr>
        <w:pStyle w:val="NHASReference"/>
      </w:pPr>
      <w:r w:rsidRPr="00AB6DA5">
        <w:rPr>
          <w:rStyle w:val="FootnoteReference"/>
        </w:rPr>
        <w:footnoteRef/>
      </w:r>
      <w:r>
        <w:tab/>
      </w:r>
      <w:r w:rsidRPr="00AB6DA5">
        <w:t xml:space="preserve">Centers for Disease Control and Prevention, American Medical Directors Association. Antibiotic use in nursing homes. </w:t>
      </w:r>
      <w:r>
        <w:t xml:space="preserve">Get Smart About Antibiotics Week November 18–2013. Centers for Disease Control and Prevention; 2013. </w:t>
      </w:r>
      <w:hyperlink r:id="rId1" w:history="1">
        <w:r w:rsidRPr="00AB6DA5">
          <w:rPr>
            <w:rStyle w:val="Hyperlink"/>
          </w:rPr>
          <w:t>http://www.cdc.gov/getsmart/healthcare/pdfs/GetSmartWeek_NursingHomes.pdf</w:t>
        </w:r>
      </w:hyperlink>
      <w:r w:rsidRPr="00AB6DA5">
        <w:t xml:space="preserve">. </w:t>
      </w:r>
      <w:r>
        <w:t>Accessed June 18, 2014.</w:t>
      </w:r>
    </w:p>
  </w:footnote>
  <w:footnote w:id="4">
    <w:p w:rsidR="00584303" w:rsidRPr="00AB6DA5" w:rsidRDefault="00584303" w:rsidP="00584303">
      <w:pPr>
        <w:pStyle w:val="NHASReference"/>
      </w:pPr>
      <w:r w:rsidRPr="00AB6DA5">
        <w:rPr>
          <w:rStyle w:val="FootnoteReference"/>
        </w:rPr>
        <w:footnoteRef/>
      </w:r>
      <w:r>
        <w:tab/>
      </w:r>
      <w:r w:rsidRPr="00AB6DA5">
        <w:t>Miniño AM, Xu JQ, Kochanek KD. Deaths: preliminary data for 2008. Nat</w:t>
      </w:r>
      <w:r>
        <w:t>iona</w:t>
      </w:r>
      <w:r w:rsidRPr="00AB6DA5">
        <w:t>l Vital Stat</w:t>
      </w:r>
      <w:r>
        <w:t>istics</w:t>
      </w:r>
      <w:r w:rsidRPr="00AB6DA5">
        <w:t xml:space="preserve"> Rep</w:t>
      </w:r>
      <w:r>
        <w:t>orts; vol. 59, no. 2</w:t>
      </w:r>
      <w:r w:rsidRPr="00AB6DA5">
        <w:t>. Hyattsville, MD: National Center for Health Statistics</w:t>
      </w:r>
      <w:r>
        <w:t>; 2010.</w:t>
      </w:r>
      <w:r w:rsidRPr="00AB6DA5">
        <w:t xml:space="preserve"> </w:t>
      </w:r>
      <w:hyperlink r:id="rId2" w:history="1">
        <w:r w:rsidRPr="00567121">
          <w:rPr>
            <w:rStyle w:val="Hyperlink"/>
          </w:rPr>
          <w:t>http://www.cdc.gov/nchs/data/nvsr/nvsr59/nvsr59_02.pdf. Accessed June 18</w:t>
        </w:r>
      </w:hyperlink>
      <w:r>
        <w:t>, 2014.</w:t>
      </w:r>
    </w:p>
  </w:footnote>
  <w:footnote w:id="5">
    <w:p w:rsidR="008A0E3A" w:rsidRDefault="008A0E3A" w:rsidP="009646C3">
      <w:pPr>
        <w:pStyle w:val="NHASReference"/>
      </w:pPr>
      <w:r>
        <w:rPr>
          <w:rStyle w:val="FootnoteReference"/>
        </w:rPr>
        <w:footnoteRef/>
      </w:r>
      <w:r>
        <w:tab/>
      </w:r>
      <w:r w:rsidR="009646C3">
        <w:t>Loeb M, Bentley DW, Bradley S, et al. Development of minimum criteria for the initiation of antibiotics in residents of long-term-care facilities: results of a consensus conference. Infect Control Hosp Epidemiol. 2001 Feb;22(2):120-4. PMID: 11232875.</w:t>
      </w:r>
    </w:p>
  </w:footnote>
  <w:footnote w:id="6">
    <w:p w:rsidR="006E7673" w:rsidRPr="006E7673" w:rsidRDefault="008A0E3A" w:rsidP="006E7673">
      <w:pPr>
        <w:pStyle w:val="NHASReference"/>
      </w:pPr>
      <w:r>
        <w:rPr>
          <w:rStyle w:val="FootnoteReference"/>
        </w:rPr>
        <w:footnoteRef/>
      </w:r>
      <w:r>
        <w:tab/>
      </w:r>
      <w:r w:rsidR="006E7673">
        <w:t>Stone ND, Ashraf MS, Calder J, et al. Society for Healthcare Epidemiology Long-Term Care Special Interest Group. Surveillance definitions of infections in long-term care facilities: revisiting the McGeer criteria. Infect Control Hosp Epidemiol. 2012 Oct;33(10):965-77. PMID: 22961014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5F" w:rsidRDefault="00833CE3" w:rsidP="00833CE3">
    <w:pPr>
      <w:pStyle w:val="Header"/>
      <w:spacing w:before="800"/>
      <w:jc w:val="center"/>
      <w:rPr>
        <w:rFonts w:ascii="Arial" w:hAnsi="Arial" w:cs="Arial"/>
        <w:b/>
        <w:color w:val="FFFFFF" w:themeColor="background1"/>
        <w:sz w:val="40"/>
        <w:szCs w:val="40"/>
      </w:rPr>
    </w:pPr>
    <w:r w:rsidRPr="00C03366">
      <w:rPr>
        <w:rFonts w:ascii="Arial" w:hAnsi="Arial" w:cs="Arial"/>
        <w:b/>
        <w:color w:val="FFFFFF" w:themeColor="background1"/>
        <w:sz w:val="40"/>
        <w:szCs w:val="40"/>
      </w:rPr>
      <w:t>Nursing Hom</w:t>
    </w:r>
    <w:r w:rsidR="00AC6652">
      <w:rPr>
        <w:noProof/>
      </w:rPr>
      <w:drawing>
        <wp:anchor distT="0" distB="0" distL="114300" distR="114300" simplePos="0" relativeHeight="251659264" behindDoc="1" locked="0" layoutInCell="1" allowOverlap="1" wp14:anchorId="7522B87A" wp14:editId="500C1E46">
          <wp:simplePos x="0" y="0"/>
          <wp:positionH relativeFrom="page">
            <wp:posOffset>-45720</wp:posOffset>
          </wp:positionH>
          <wp:positionV relativeFrom="page">
            <wp:posOffset>-8890</wp:posOffset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i-only Word_first page_2016 brand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FFFFFF" w:themeColor="background1"/>
        <w:sz w:val="40"/>
        <w:szCs w:val="40"/>
      </w:rPr>
      <w:t>e</w:t>
    </w:r>
  </w:p>
  <w:p w:rsidR="00833CE3" w:rsidRPr="00C03366" w:rsidRDefault="00833CE3" w:rsidP="00833CE3">
    <w:pPr>
      <w:pStyle w:val="Header"/>
      <w:jc w:val="center"/>
      <w:rPr>
        <w:rFonts w:ascii="Arial" w:hAnsi="Arial" w:cs="Arial"/>
        <w:b/>
        <w:color w:val="FFFFFF" w:themeColor="background1"/>
        <w:sz w:val="40"/>
        <w:szCs w:val="40"/>
      </w:rPr>
    </w:pPr>
    <w:r w:rsidRPr="00C03366">
      <w:rPr>
        <w:rFonts w:ascii="Arial" w:hAnsi="Arial" w:cs="Arial"/>
        <w:b/>
        <w:color w:val="FFFFFF" w:themeColor="background1"/>
        <w:sz w:val="40"/>
        <w:szCs w:val="40"/>
      </w:rPr>
      <w:t>Antimicrobial Stewardship Guide</w:t>
    </w:r>
  </w:p>
  <w:p w:rsidR="00833CE3" w:rsidRPr="0023152B" w:rsidRDefault="00584303" w:rsidP="00833CE3">
    <w:pPr>
      <w:pStyle w:val="Header"/>
      <w:tabs>
        <w:tab w:val="clear" w:pos="9360"/>
        <w:tab w:val="right" w:pos="9900"/>
      </w:tabs>
      <w:jc w:val="center"/>
      <w:rPr>
        <w:rFonts w:ascii="Arial" w:hAnsi="Arial" w:cs="Arial"/>
        <w:color w:val="FFFFFF" w:themeColor="background1"/>
        <w:sz w:val="36"/>
        <w:szCs w:val="36"/>
      </w:rPr>
    </w:pPr>
    <w:r>
      <w:rPr>
        <w:rFonts w:ascii="Arial" w:hAnsi="Arial" w:cs="Arial"/>
        <w:color w:val="FFFFFF" w:themeColor="background1"/>
        <w:sz w:val="36"/>
        <w:szCs w:val="36"/>
      </w:rPr>
      <w:t>Determine Whether To Treat</w:t>
    </w:r>
  </w:p>
  <w:p w:rsidR="00833CE3" w:rsidRPr="00BB75BB" w:rsidRDefault="00833CE3" w:rsidP="00833CE3">
    <w:pPr>
      <w:pStyle w:val="Header"/>
      <w:tabs>
        <w:tab w:val="clear" w:pos="9360"/>
        <w:tab w:val="right" w:pos="9900"/>
      </w:tabs>
      <w:jc w:val="center"/>
      <w:rPr>
        <w:rFonts w:ascii="Arial" w:hAnsi="Arial" w:cs="Arial"/>
        <w:color w:val="FFFFFF" w:themeColor="background1"/>
        <w:sz w:val="36"/>
        <w:szCs w:val="36"/>
      </w:rPr>
    </w:pPr>
  </w:p>
  <w:p w:rsidR="00833CE3" w:rsidRDefault="00833CE3" w:rsidP="00BB75BB">
    <w:pPr>
      <w:pStyle w:val="Header"/>
      <w:tabs>
        <w:tab w:val="clear" w:pos="9360"/>
        <w:tab w:val="right" w:pos="9900"/>
      </w:tabs>
      <w:spacing w:before="360"/>
      <w:jc w:val="center"/>
      <w:rPr>
        <w:rFonts w:ascii="Arial" w:hAnsi="Arial" w:cs="Arial"/>
        <w:sz w:val="32"/>
        <w:szCs w:val="32"/>
      </w:rPr>
    </w:pPr>
    <w:r w:rsidRPr="000C365D">
      <w:rPr>
        <w:rFonts w:ascii="Arial" w:hAnsi="Arial" w:cs="Arial"/>
        <w:sz w:val="32"/>
        <w:szCs w:val="32"/>
      </w:rPr>
      <w:t xml:space="preserve">Toolkit </w:t>
    </w:r>
    <w:r w:rsidR="00584303">
      <w:rPr>
        <w:rFonts w:ascii="Arial" w:hAnsi="Arial" w:cs="Arial"/>
        <w:sz w:val="32"/>
        <w:szCs w:val="32"/>
      </w:rPr>
      <w:t>3</w:t>
    </w:r>
    <w:r w:rsidRPr="000C365D">
      <w:rPr>
        <w:rFonts w:ascii="Arial" w:hAnsi="Arial" w:cs="Arial"/>
        <w:sz w:val="32"/>
        <w:szCs w:val="32"/>
      </w:rPr>
      <w:t xml:space="preserve">. </w:t>
    </w:r>
    <w:r w:rsidR="00584303">
      <w:rPr>
        <w:rFonts w:ascii="Arial" w:hAnsi="Arial" w:cs="Arial"/>
        <w:sz w:val="32"/>
        <w:szCs w:val="32"/>
      </w:rPr>
      <w:t>Minimum Criteria for Common Infections Toolkit</w:t>
    </w:r>
  </w:p>
  <w:p w:rsidR="00833CE3" w:rsidRPr="00BB75BB" w:rsidRDefault="00833CE3" w:rsidP="00833CE3">
    <w:pPr>
      <w:pStyle w:val="Header"/>
      <w:spacing w:before="320"/>
      <w:jc w:val="center"/>
      <w:rPr>
        <w:rFonts w:ascii="Arial" w:hAnsi="Arial" w:cs="Arial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5F" w:rsidRDefault="00E32D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310440"/>
      <w:docPartObj>
        <w:docPartGallery w:val="Watermarks"/>
        <w:docPartUnique/>
      </w:docPartObj>
    </w:sdtPr>
    <w:sdtEndPr/>
    <w:sdtContent>
      <w:p w:rsidR="00E32D5F" w:rsidRPr="00BB75BB" w:rsidRDefault="00152FEE">
        <w:pPr>
          <w:pStyle w:val="Header"/>
          <w:rPr>
            <w:rFonts w:ascii="Arial" w:hAnsi="Arial" w:cs="Arial"/>
          </w:rPr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5F" w:rsidRDefault="00E32D5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448855"/>
      <w:docPartObj>
        <w:docPartGallery w:val="Watermarks"/>
        <w:docPartUnique/>
      </w:docPartObj>
    </w:sdtPr>
    <w:sdtEndPr/>
    <w:sdtContent>
      <w:p w:rsidR="00833CE3" w:rsidRPr="00BB75BB" w:rsidRDefault="00152FEE">
        <w:pPr>
          <w:pStyle w:val="Header"/>
          <w:rPr>
            <w:rFonts w:ascii="Arial" w:hAnsi="Arial" w:cs="Arial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CD805C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9176D"/>
      </w:rPr>
    </w:lvl>
  </w:abstractNum>
  <w:abstractNum w:abstractNumId="1">
    <w:nsid w:val="235F32C0"/>
    <w:multiLevelType w:val="hybridMultilevel"/>
    <w:tmpl w:val="A7305D48"/>
    <w:lvl w:ilvl="0" w:tplc="0409000F">
      <w:start w:val="1"/>
      <w:numFmt w:val="decimal"/>
      <w:pStyle w:val="NHASBullet1-la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84393"/>
    <w:multiLevelType w:val="hybridMultilevel"/>
    <w:tmpl w:val="4AA2A65E"/>
    <w:lvl w:ilvl="0" w:tplc="F44A5B8E">
      <w:start w:val="1"/>
      <w:numFmt w:val="decimal"/>
      <w:pStyle w:val="NHASListLevel1numbered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350D21"/>
    <w:multiLevelType w:val="hybridMultilevel"/>
    <w:tmpl w:val="D8389614"/>
    <w:lvl w:ilvl="0" w:tplc="E7682626">
      <w:start w:val="1"/>
      <w:numFmt w:val="bullet"/>
      <w:pStyle w:val="NHASBullet2"/>
      <w:lvlText w:val="–"/>
      <w:lvlJc w:val="left"/>
      <w:pPr>
        <w:ind w:left="1080" w:hanging="360"/>
      </w:pPr>
      <w:rPr>
        <w:rFonts w:ascii="Times New Roman" w:hAnsi="Times New Roman" w:cs="Times New Roman" w:hint="default"/>
        <w:color w:val="49176D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F6"/>
    <w:rsid w:val="00092DD3"/>
    <w:rsid w:val="000A1375"/>
    <w:rsid w:val="00152FEE"/>
    <w:rsid w:val="002368BA"/>
    <w:rsid w:val="002D63D0"/>
    <w:rsid w:val="003C2895"/>
    <w:rsid w:val="00413A73"/>
    <w:rsid w:val="00501880"/>
    <w:rsid w:val="00584303"/>
    <w:rsid w:val="006B7A85"/>
    <w:rsid w:val="006E7673"/>
    <w:rsid w:val="00742F0E"/>
    <w:rsid w:val="00833CE3"/>
    <w:rsid w:val="0085236F"/>
    <w:rsid w:val="008A0E3A"/>
    <w:rsid w:val="009646C3"/>
    <w:rsid w:val="00AC6652"/>
    <w:rsid w:val="00BB75BB"/>
    <w:rsid w:val="00D039E9"/>
    <w:rsid w:val="00D228FF"/>
    <w:rsid w:val="00DB3070"/>
    <w:rsid w:val="00DF7BF6"/>
    <w:rsid w:val="00E3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303"/>
    <w:rPr>
      <w:rFonts w:ascii="Calibri" w:eastAsia="Times New Roman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28FF"/>
    <w:pPr>
      <w:keepNext/>
      <w:keepLines/>
      <w:spacing w:after="120" w:line="240" w:lineRule="auto"/>
      <w:ind w:left="907" w:hanging="907"/>
      <w:outlineLvl w:val="3"/>
    </w:pPr>
    <w:rPr>
      <w:rFonts w:ascii="Arial" w:hAnsi="Arial"/>
      <w:b/>
      <w:bCs/>
      <w:iCs/>
      <w:color w:val="49176D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4303"/>
    <w:pPr>
      <w:keepNext/>
      <w:keepLines/>
      <w:spacing w:before="200" w:after="120"/>
      <w:outlineLvl w:val="4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228FF"/>
    <w:rPr>
      <w:rFonts w:ascii="Arial" w:eastAsia="Times New Roman" w:hAnsi="Arial" w:cs="Times New Roman"/>
      <w:b/>
      <w:bCs/>
      <w:iCs/>
      <w:color w:val="49176D"/>
      <w:sz w:val="26"/>
    </w:rPr>
  </w:style>
  <w:style w:type="paragraph" w:styleId="FootnoteText">
    <w:name w:val="footnote text"/>
    <w:basedOn w:val="Normal"/>
    <w:link w:val="FootnoteTextChar"/>
    <w:uiPriority w:val="99"/>
    <w:rsid w:val="00584303"/>
    <w:pPr>
      <w:ind w:left="144" w:hanging="144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430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584303"/>
    <w:rPr>
      <w:vertAlign w:val="superscript"/>
    </w:rPr>
  </w:style>
  <w:style w:type="paragraph" w:customStyle="1" w:styleId="NHASBodyText">
    <w:name w:val="NHAS_Body Text"/>
    <w:rsid w:val="00D228FF"/>
    <w:pPr>
      <w:spacing w:after="240" w:line="240" w:lineRule="auto"/>
    </w:pPr>
    <w:rPr>
      <w:rFonts w:ascii="Times New Roman" w:eastAsia="Times New Roman" w:hAnsi="Times New Roman" w:cs="Times"/>
      <w:sz w:val="24"/>
    </w:rPr>
  </w:style>
  <w:style w:type="paragraph" w:customStyle="1" w:styleId="NHASReference">
    <w:name w:val="NHAS_Reference"/>
    <w:basedOn w:val="NHASBodyText"/>
    <w:qFormat/>
    <w:rsid w:val="00584303"/>
    <w:pPr>
      <w:spacing w:after="0"/>
      <w:ind w:left="216" w:hanging="216"/>
    </w:pPr>
    <w:rPr>
      <w:rFonts w:cs="Times New Roman"/>
      <w:noProof/>
      <w:sz w:val="20"/>
      <w:szCs w:val="24"/>
    </w:rPr>
  </w:style>
  <w:style w:type="character" w:styleId="Hyperlink">
    <w:name w:val="Hyperlink"/>
    <w:uiPriority w:val="99"/>
    <w:rsid w:val="00584303"/>
    <w:rPr>
      <w:color w:val="0000FF"/>
      <w:u w:val="single"/>
      <w:lang w:val="en-US"/>
    </w:rPr>
  </w:style>
  <w:style w:type="character" w:styleId="EndnoteReference">
    <w:name w:val="endnote reference"/>
    <w:unhideWhenUsed/>
    <w:rsid w:val="00584303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584303"/>
    <w:rPr>
      <w:rFonts w:ascii="Arial" w:eastAsia="Times New Roman" w:hAnsi="Arial" w:cs="Arial"/>
      <w:b/>
    </w:rPr>
  </w:style>
  <w:style w:type="paragraph" w:styleId="ListBullet">
    <w:name w:val="List Bullet"/>
    <w:basedOn w:val="Normal"/>
    <w:uiPriority w:val="99"/>
    <w:unhideWhenUsed/>
    <w:rsid w:val="00584303"/>
    <w:pPr>
      <w:numPr>
        <w:numId w:val="2"/>
      </w:numPr>
      <w:contextualSpacing/>
    </w:pPr>
  </w:style>
  <w:style w:type="paragraph" w:customStyle="1" w:styleId="NHASBodyTextPreBullet">
    <w:name w:val="NHAS_Body Text_PreBullet"/>
    <w:basedOn w:val="NHASBodyText"/>
    <w:qFormat/>
    <w:rsid w:val="00584303"/>
    <w:pPr>
      <w:spacing w:after="120"/>
    </w:pPr>
    <w:rPr>
      <w:b/>
    </w:rPr>
  </w:style>
  <w:style w:type="paragraph" w:customStyle="1" w:styleId="NHASBullet1">
    <w:name w:val="NHAS_Bullet 1"/>
    <w:basedOn w:val="ListBullet"/>
    <w:qFormat/>
    <w:rsid w:val="00584303"/>
    <w:pPr>
      <w:spacing w:after="120"/>
      <w:ind w:left="720"/>
      <w:contextualSpacing w:val="0"/>
    </w:pPr>
    <w:rPr>
      <w:rFonts w:ascii="Times New Roman" w:hAnsi="Times New Roman"/>
      <w:sz w:val="24"/>
    </w:rPr>
  </w:style>
  <w:style w:type="paragraph" w:customStyle="1" w:styleId="NHASListLevel1numbered">
    <w:name w:val="NHAS_List Level 1_numbered"/>
    <w:basedOn w:val="ListParagraph"/>
    <w:qFormat/>
    <w:rsid w:val="00584303"/>
    <w:pPr>
      <w:numPr>
        <w:numId w:val="3"/>
      </w:numPr>
      <w:tabs>
        <w:tab w:val="num" w:pos="360"/>
      </w:tabs>
      <w:spacing w:after="240" w:line="264" w:lineRule="auto"/>
      <w:ind w:left="720" w:firstLine="0"/>
      <w:contextualSpacing w:val="0"/>
    </w:pPr>
    <w:rPr>
      <w:rFonts w:ascii="Times New Roman" w:eastAsia="Calibri" w:hAnsi="Times New Roman"/>
      <w:sz w:val="24"/>
    </w:rPr>
  </w:style>
  <w:style w:type="paragraph" w:customStyle="1" w:styleId="NHASBullet2">
    <w:name w:val="NHAS_Bullet 2"/>
    <w:basedOn w:val="ListParagraph"/>
    <w:qFormat/>
    <w:rsid w:val="00584303"/>
    <w:pPr>
      <w:numPr>
        <w:numId w:val="1"/>
      </w:numPr>
      <w:tabs>
        <w:tab w:val="num" w:pos="360"/>
      </w:tabs>
      <w:ind w:left="720" w:firstLine="0"/>
    </w:pPr>
    <w:rPr>
      <w:rFonts w:ascii="Times New Roman" w:hAnsi="Times New Roman"/>
      <w:sz w:val="24"/>
    </w:rPr>
  </w:style>
  <w:style w:type="paragraph" w:customStyle="1" w:styleId="NHASBulletSpecialCircleCheckox">
    <w:name w:val="NHAS_Bullet_Special Circle Checkox"/>
    <w:basedOn w:val="Normal"/>
    <w:qFormat/>
    <w:rsid w:val="00584303"/>
    <w:pPr>
      <w:spacing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4303"/>
    <w:pPr>
      <w:ind w:left="720"/>
      <w:contextualSpacing/>
    </w:pPr>
  </w:style>
  <w:style w:type="paragraph" w:customStyle="1" w:styleId="NHASBullet1-last">
    <w:name w:val="NHAS_Bullet 1-last"/>
    <w:basedOn w:val="NHASBullet1"/>
    <w:qFormat/>
    <w:rsid w:val="00584303"/>
    <w:pPr>
      <w:numPr>
        <w:numId w:val="6"/>
      </w:num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303"/>
    <w:rPr>
      <w:rFonts w:ascii="Calibri" w:eastAsia="Times New Roman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28FF"/>
    <w:pPr>
      <w:keepNext/>
      <w:keepLines/>
      <w:spacing w:after="120" w:line="240" w:lineRule="auto"/>
      <w:ind w:left="907" w:hanging="907"/>
      <w:outlineLvl w:val="3"/>
    </w:pPr>
    <w:rPr>
      <w:rFonts w:ascii="Arial" w:hAnsi="Arial"/>
      <w:b/>
      <w:bCs/>
      <w:iCs/>
      <w:color w:val="49176D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4303"/>
    <w:pPr>
      <w:keepNext/>
      <w:keepLines/>
      <w:spacing w:before="200" w:after="120"/>
      <w:outlineLvl w:val="4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228FF"/>
    <w:rPr>
      <w:rFonts w:ascii="Arial" w:eastAsia="Times New Roman" w:hAnsi="Arial" w:cs="Times New Roman"/>
      <w:b/>
      <w:bCs/>
      <w:iCs/>
      <w:color w:val="49176D"/>
      <w:sz w:val="26"/>
    </w:rPr>
  </w:style>
  <w:style w:type="paragraph" w:styleId="FootnoteText">
    <w:name w:val="footnote text"/>
    <w:basedOn w:val="Normal"/>
    <w:link w:val="FootnoteTextChar"/>
    <w:uiPriority w:val="99"/>
    <w:rsid w:val="00584303"/>
    <w:pPr>
      <w:ind w:left="144" w:hanging="144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430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584303"/>
    <w:rPr>
      <w:vertAlign w:val="superscript"/>
    </w:rPr>
  </w:style>
  <w:style w:type="paragraph" w:customStyle="1" w:styleId="NHASBodyText">
    <w:name w:val="NHAS_Body Text"/>
    <w:rsid w:val="00D228FF"/>
    <w:pPr>
      <w:spacing w:after="240" w:line="240" w:lineRule="auto"/>
    </w:pPr>
    <w:rPr>
      <w:rFonts w:ascii="Times New Roman" w:eastAsia="Times New Roman" w:hAnsi="Times New Roman" w:cs="Times"/>
      <w:sz w:val="24"/>
    </w:rPr>
  </w:style>
  <w:style w:type="paragraph" w:customStyle="1" w:styleId="NHASReference">
    <w:name w:val="NHAS_Reference"/>
    <w:basedOn w:val="NHASBodyText"/>
    <w:qFormat/>
    <w:rsid w:val="00584303"/>
    <w:pPr>
      <w:spacing w:after="0"/>
      <w:ind w:left="216" w:hanging="216"/>
    </w:pPr>
    <w:rPr>
      <w:rFonts w:cs="Times New Roman"/>
      <w:noProof/>
      <w:sz w:val="20"/>
      <w:szCs w:val="24"/>
    </w:rPr>
  </w:style>
  <w:style w:type="character" w:styleId="Hyperlink">
    <w:name w:val="Hyperlink"/>
    <w:uiPriority w:val="99"/>
    <w:rsid w:val="00584303"/>
    <w:rPr>
      <w:color w:val="0000FF"/>
      <w:u w:val="single"/>
      <w:lang w:val="en-US"/>
    </w:rPr>
  </w:style>
  <w:style w:type="character" w:styleId="EndnoteReference">
    <w:name w:val="endnote reference"/>
    <w:unhideWhenUsed/>
    <w:rsid w:val="00584303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584303"/>
    <w:rPr>
      <w:rFonts w:ascii="Arial" w:eastAsia="Times New Roman" w:hAnsi="Arial" w:cs="Arial"/>
      <w:b/>
    </w:rPr>
  </w:style>
  <w:style w:type="paragraph" w:styleId="ListBullet">
    <w:name w:val="List Bullet"/>
    <w:basedOn w:val="Normal"/>
    <w:uiPriority w:val="99"/>
    <w:unhideWhenUsed/>
    <w:rsid w:val="00584303"/>
    <w:pPr>
      <w:numPr>
        <w:numId w:val="2"/>
      </w:numPr>
      <w:contextualSpacing/>
    </w:pPr>
  </w:style>
  <w:style w:type="paragraph" w:customStyle="1" w:styleId="NHASBodyTextPreBullet">
    <w:name w:val="NHAS_Body Text_PreBullet"/>
    <w:basedOn w:val="NHASBodyText"/>
    <w:qFormat/>
    <w:rsid w:val="00584303"/>
    <w:pPr>
      <w:spacing w:after="120"/>
    </w:pPr>
    <w:rPr>
      <w:b/>
    </w:rPr>
  </w:style>
  <w:style w:type="paragraph" w:customStyle="1" w:styleId="NHASBullet1">
    <w:name w:val="NHAS_Bullet 1"/>
    <w:basedOn w:val="ListBullet"/>
    <w:qFormat/>
    <w:rsid w:val="00584303"/>
    <w:pPr>
      <w:spacing w:after="120"/>
      <w:ind w:left="720"/>
      <w:contextualSpacing w:val="0"/>
    </w:pPr>
    <w:rPr>
      <w:rFonts w:ascii="Times New Roman" w:hAnsi="Times New Roman"/>
      <w:sz w:val="24"/>
    </w:rPr>
  </w:style>
  <w:style w:type="paragraph" w:customStyle="1" w:styleId="NHASListLevel1numbered">
    <w:name w:val="NHAS_List Level 1_numbered"/>
    <w:basedOn w:val="ListParagraph"/>
    <w:qFormat/>
    <w:rsid w:val="00584303"/>
    <w:pPr>
      <w:numPr>
        <w:numId w:val="3"/>
      </w:numPr>
      <w:tabs>
        <w:tab w:val="num" w:pos="360"/>
      </w:tabs>
      <w:spacing w:after="240" w:line="264" w:lineRule="auto"/>
      <w:ind w:left="720" w:firstLine="0"/>
      <w:contextualSpacing w:val="0"/>
    </w:pPr>
    <w:rPr>
      <w:rFonts w:ascii="Times New Roman" w:eastAsia="Calibri" w:hAnsi="Times New Roman"/>
      <w:sz w:val="24"/>
    </w:rPr>
  </w:style>
  <w:style w:type="paragraph" w:customStyle="1" w:styleId="NHASBullet2">
    <w:name w:val="NHAS_Bullet 2"/>
    <w:basedOn w:val="ListParagraph"/>
    <w:qFormat/>
    <w:rsid w:val="00584303"/>
    <w:pPr>
      <w:numPr>
        <w:numId w:val="1"/>
      </w:numPr>
      <w:tabs>
        <w:tab w:val="num" w:pos="360"/>
      </w:tabs>
      <w:ind w:left="720" w:firstLine="0"/>
    </w:pPr>
    <w:rPr>
      <w:rFonts w:ascii="Times New Roman" w:hAnsi="Times New Roman"/>
      <w:sz w:val="24"/>
    </w:rPr>
  </w:style>
  <w:style w:type="paragraph" w:customStyle="1" w:styleId="NHASBulletSpecialCircleCheckox">
    <w:name w:val="NHAS_Bullet_Special Circle Checkox"/>
    <w:basedOn w:val="Normal"/>
    <w:qFormat/>
    <w:rsid w:val="00584303"/>
    <w:pPr>
      <w:spacing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4303"/>
    <w:pPr>
      <w:ind w:left="720"/>
      <w:contextualSpacing/>
    </w:pPr>
  </w:style>
  <w:style w:type="paragraph" w:customStyle="1" w:styleId="NHASBullet1-last">
    <w:name w:val="NHAS_Bullet 1-last"/>
    <w:basedOn w:val="NHASBullet1"/>
    <w:qFormat/>
    <w:rsid w:val="00584303"/>
    <w:pPr>
      <w:numPr>
        <w:numId w:val="6"/>
      </w:num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c.gov/nchs/data/nvsr/nvsr59/nvsr59_02.pdf.%20Accessed%20June%2018" TargetMode="External"/><Relationship Id="rId1" Type="http://schemas.openxmlformats.org/officeDocument/2006/relationships/hyperlink" Target="http://www.cdc.gov/getsmart/healthcare/pdfs/GetSmartWeek_NursingHom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5B72C-4F7A-4013-B25F-5B425C48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Head</dc:creator>
  <cp:lastModifiedBy>Chris Heidenrich OCKT</cp:lastModifiedBy>
  <cp:revision>2</cp:revision>
  <dcterms:created xsi:type="dcterms:W3CDTF">2016-10-20T22:05:00Z</dcterms:created>
  <dcterms:modified xsi:type="dcterms:W3CDTF">2016-10-20T22:05:00Z</dcterms:modified>
</cp:coreProperties>
</file>