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72" w:rsidRPr="005A5B63" w:rsidRDefault="00173872" w:rsidP="00173872">
      <w:pPr>
        <w:pStyle w:val="Heading4"/>
        <w:spacing w:before="0" w:after="120"/>
        <w:rPr>
          <w:rFonts w:ascii="Arial" w:hAnsi="Arial"/>
          <w:i w:val="0"/>
          <w:color w:val="49176D"/>
          <w:sz w:val="26"/>
        </w:rPr>
      </w:pPr>
      <w:bookmarkStart w:id="0" w:name="_GoBack"/>
      <w:bookmarkEnd w:id="0"/>
      <w:proofErr w:type="gramStart"/>
      <w:r>
        <w:rPr>
          <w:rFonts w:ascii="Arial" w:hAnsi="Arial"/>
          <w:i w:val="0"/>
          <w:color w:val="49176D"/>
          <w:sz w:val="26"/>
        </w:rPr>
        <w:t>Tool 1.</w:t>
      </w:r>
      <w:proofErr w:type="gramEnd"/>
      <w:r>
        <w:rPr>
          <w:rFonts w:ascii="Arial" w:hAnsi="Arial"/>
          <w:i w:val="0"/>
          <w:color w:val="49176D"/>
          <w:sz w:val="26"/>
        </w:rPr>
        <w:t xml:space="preserve"> </w:t>
      </w:r>
      <w:r w:rsidRPr="005A5B63">
        <w:rPr>
          <w:rFonts w:ascii="Arial" w:hAnsi="Arial"/>
          <w:i w:val="0"/>
          <w:color w:val="49176D"/>
          <w:sz w:val="26"/>
        </w:rPr>
        <w:t>Background: Purpose and Use of the Antibiogram</w:t>
      </w:r>
    </w:p>
    <w:p w:rsidR="00173872" w:rsidRPr="00F75802" w:rsidRDefault="00173872" w:rsidP="00173872">
      <w:pPr>
        <w:pStyle w:val="Heading2"/>
        <w:rPr>
          <w:rFonts w:ascii="Times New Roman" w:hAnsi="Times New Roman"/>
          <w:sz w:val="24"/>
          <w:szCs w:val="24"/>
        </w:rPr>
      </w:pPr>
      <w:r w:rsidRPr="00F75802">
        <w:rPr>
          <w:rFonts w:ascii="Times New Roman" w:hAnsi="Times New Roman"/>
          <w:sz w:val="24"/>
          <w:szCs w:val="24"/>
        </w:rPr>
        <w:t>What is an antibiogram?</w:t>
      </w:r>
    </w:p>
    <w:p w:rsidR="00173872" w:rsidRPr="00F75802" w:rsidRDefault="00173872" w:rsidP="00173872">
      <w:pPr>
        <w:pStyle w:val="NoSpacing"/>
        <w:numPr>
          <w:ilvl w:val="0"/>
          <w:numId w:val="3"/>
        </w:numPr>
        <w:spacing w:after="120"/>
        <w:rPr>
          <w:rFonts w:ascii="Times New Roman" w:hAnsi="Times New Roman"/>
        </w:rPr>
      </w:pPr>
      <w:r w:rsidRPr="00F75802">
        <w:rPr>
          <w:rFonts w:ascii="Times New Roman" w:hAnsi="Times New Roman"/>
        </w:rPr>
        <w:t>Antibiograms are important tools for health care professionals involved in prescribing empiric antibiotics for suspected bacterial infections. These tools utilize microbiologic data from resident specimens from a nursing facility to estimate prevalence of antibiotic susceptibilities for common bacterial pathogens. They are also an important component of monitoring trends in antimicrobial resistance within a nursing home</w:t>
      </w:r>
      <w:r>
        <w:rPr>
          <w:rFonts w:ascii="Times New Roman" w:hAnsi="Times New Roman"/>
        </w:rPr>
        <w:t>.</w:t>
      </w:r>
    </w:p>
    <w:p w:rsidR="00173872" w:rsidRPr="00F75802" w:rsidRDefault="00173872" w:rsidP="00173872">
      <w:pPr>
        <w:pStyle w:val="NoSpacing"/>
        <w:numPr>
          <w:ilvl w:val="0"/>
          <w:numId w:val="2"/>
        </w:numPr>
        <w:rPr>
          <w:rFonts w:ascii="Times New Roman" w:hAnsi="Times New Roman"/>
        </w:rPr>
      </w:pPr>
      <w:r w:rsidRPr="00F75802">
        <w:rPr>
          <w:rFonts w:ascii="Times New Roman" w:hAnsi="Times New Roman"/>
          <w:color w:val="000000"/>
        </w:rPr>
        <w:t>Hospitals use antibiograms as part of their infection control measures to classify types of bacteria found in cultures, to identify patterns of antibiotic susceptibility in those bacteria, and to track changes in antibiotic susceptibility over time. Hospitals use these cumulative antimicrobial susceptibility test data reports to determine the most appropriate agents for initial empirical antimicrobial therapy and to target efforts to reduce inappropriate antibiotic use.</w:t>
      </w:r>
    </w:p>
    <w:p w:rsidR="00173872" w:rsidRPr="00F75802" w:rsidRDefault="00173872" w:rsidP="00173872">
      <w:pPr>
        <w:pStyle w:val="Heading2"/>
        <w:rPr>
          <w:rFonts w:ascii="Times New Roman" w:hAnsi="Times New Roman"/>
          <w:sz w:val="24"/>
          <w:szCs w:val="24"/>
        </w:rPr>
      </w:pPr>
      <w:r w:rsidRPr="00F75802">
        <w:rPr>
          <w:rFonts w:ascii="Times New Roman" w:hAnsi="Times New Roman"/>
          <w:sz w:val="24"/>
          <w:szCs w:val="24"/>
        </w:rPr>
        <w:t>Why should you develop and use an antibiogram at your nursing home?</w:t>
      </w:r>
    </w:p>
    <w:p w:rsidR="00173872" w:rsidRPr="00F75802" w:rsidRDefault="00173872" w:rsidP="00173872">
      <w:pPr>
        <w:pStyle w:val="NoSpacing"/>
        <w:numPr>
          <w:ilvl w:val="0"/>
          <w:numId w:val="1"/>
        </w:numPr>
        <w:spacing w:after="120"/>
        <w:rPr>
          <w:rFonts w:ascii="Times New Roman" w:hAnsi="Times New Roman"/>
        </w:rPr>
      </w:pPr>
      <w:r w:rsidRPr="00F75802">
        <w:rPr>
          <w:rFonts w:ascii="Times New Roman" w:hAnsi="Times New Roman"/>
        </w:rPr>
        <w:t xml:space="preserve">Antibiograms encourage responsible use of antibiotics throughout facilities. Prescribing clinicians—physicians, nurse practitioners, and physician assistants—can consult these tools before initiating empiric antibiotic therapy, which may improve outcomes among residents </w:t>
      </w:r>
      <w:r>
        <w:rPr>
          <w:rFonts w:ascii="Times New Roman" w:hAnsi="Times New Roman"/>
        </w:rPr>
        <w:t>with </w:t>
      </w:r>
      <w:r w:rsidRPr="00F75802">
        <w:rPr>
          <w:rFonts w:ascii="Times New Roman" w:hAnsi="Times New Roman"/>
        </w:rPr>
        <w:t>infections</w:t>
      </w:r>
      <w:r>
        <w:rPr>
          <w:rFonts w:ascii="Times New Roman" w:hAnsi="Times New Roman"/>
        </w:rPr>
        <w:t>.</w:t>
      </w:r>
    </w:p>
    <w:p w:rsidR="00173872" w:rsidRPr="00F75802" w:rsidRDefault="00173872" w:rsidP="00173872">
      <w:pPr>
        <w:pStyle w:val="NoSpacing"/>
        <w:numPr>
          <w:ilvl w:val="0"/>
          <w:numId w:val="1"/>
        </w:numPr>
        <w:spacing w:after="120"/>
        <w:rPr>
          <w:rFonts w:ascii="Times New Roman" w:hAnsi="Times New Roman"/>
        </w:rPr>
      </w:pPr>
      <w:r w:rsidRPr="00F75802">
        <w:rPr>
          <w:rFonts w:ascii="Times New Roman" w:hAnsi="Times New Roman"/>
        </w:rPr>
        <w:t>Antibiograms are a good way to detect changes in resistance patterns.</w:t>
      </w:r>
    </w:p>
    <w:p w:rsidR="00E32D5F" w:rsidRDefault="00173872" w:rsidP="0072721C">
      <w:pPr>
        <w:pStyle w:val="NoSpacing"/>
        <w:numPr>
          <w:ilvl w:val="0"/>
          <w:numId w:val="1"/>
        </w:numPr>
        <w:spacing w:after="120"/>
      </w:pPr>
      <w:r w:rsidRPr="0072721C">
        <w:rPr>
          <w:rFonts w:ascii="Times New Roman" w:hAnsi="Times New Roman"/>
        </w:rPr>
        <w:t>Antibiograms can be inexpensive to develop and maintain. The results are easily accessible to health care providers.</w:t>
      </w:r>
    </w:p>
    <w:p w:rsidR="003C2895" w:rsidRDefault="003C2895">
      <w:pPr>
        <w:sectPr w:rsidR="003C2895" w:rsidSect="00833CE3">
          <w:headerReference w:type="default" r:id="rId9"/>
          <w:pgSz w:w="12240" w:h="15840"/>
          <w:pgMar w:top="2880" w:right="1440" w:bottom="1440" w:left="1440" w:header="0" w:footer="0" w:gutter="0"/>
          <w:cols w:space="720"/>
          <w:docGrid w:linePitch="360"/>
        </w:sectPr>
      </w:pPr>
    </w:p>
    <w:p w:rsidR="0072721C" w:rsidRPr="00F75802" w:rsidRDefault="0072721C" w:rsidP="0072721C">
      <w:pPr>
        <w:pStyle w:val="Heading2"/>
        <w:rPr>
          <w:rFonts w:ascii="Times New Roman" w:hAnsi="Times New Roman"/>
          <w:sz w:val="24"/>
          <w:szCs w:val="24"/>
        </w:rPr>
      </w:pPr>
      <w:r w:rsidRPr="00F75802">
        <w:rPr>
          <w:rFonts w:ascii="Times New Roman" w:hAnsi="Times New Roman"/>
          <w:sz w:val="24"/>
          <w:szCs w:val="24"/>
        </w:rPr>
        <w:lastRenderedPageBreak/>
        <w:t>What should you know before you decide to use an antibiogram?</w:t>
      </w:r>
    </w:p>
    <w:p w:rsidR="0072721C" w:rsidRPr="00F75802" w:rsidRDefault="0072721C" w:rsidP="0072721C">
      <w:pPr>
        <w:pStyle w:val="NoSpacing"/>
        <w:numPr>
          <w:ilvl w:val="0"/>
          <w:numId w:val="3"/>
        </w:numPr>
        <w:spacing w:after="120"/>
        <w:rPr>
          <w:rFonts w:ascii="Times New Roman" w:hAnsi="Times New Roman"/>
        </w:rPr>
      </w:pPr>
      <w:r w:rsidRPr="00F75802">
        <w:rPr>
          <w:rFonts w:ascii="Times New Roman" w:hAnsi="Times New Roman"/>
        </w:rPr>
        <w:t xml:space="preserve">Antibiograms are not generalizable to different nursing homes; they can be useful tools for guiding empiric therapy and monitoring antibiotic susceptibility trends within a </w:t>
      </w:r>
      <w:r w:rsidRPr="00906FF5">
        <w:rPr>
          <w:rFonts w:ascii="Times New Roman" w:hAnsi="Times New Roman"/>
          <w:i/>
        </w:rPr>
        <w:t>specific</w:t>
      </w:r>
      <w:r w:rsidRPr="00F75802">
        <w:rPr>
          <w:rFonts w:ascii="Times New Roman" w:hAnsi="Times New Roman"/>
        </w:rPr>
        <w:t xml:space="preserve"> </w:t>
      </w:r>
      <w:r>
        <w:rPr>
          <w:rFonts w:ascii="Times New Roman" w:hAnsi="Times New Roman"/>
        </w:rPr>
        <w:t>nursing </w:t>
      </w:r>
      <w:r w:rsidRPr="00F75802">
        <w:rPr>
          <w:rFonts w:ascii="Times New Roman" w:hAnsi="Times New Roman"/>
        </w:rPr>
        <w:t>home</w:t>
      </w:r>
      <w:r>
        <w:rPr>
          <w:rFonts w:ascii="Times New Roman" w:hAnsi="Times New Roman"/>
        </w:rPr>
        <w:t>.</w:t>
      </w:r>
    </w:p>
    <w:p w:rsidR="0072721C" w:rsidRPr="00F75802" w:rsidRDefault="0072721C" w:rsidP="0072721C">
      <w:pPr>
        <w:pStyle w:val="NoSpacing"/>
        <w:numPr>
          <w:ilvl w:val="0"/>
          <w:numId w:val="3"/>
        </w:numPr>
        <w:spacing w:after="120"/>
        <w:rPr>
          <w:rFonts w:ascii="Times New Roman" w:hAnsi="Times New Roman"/>
        </w:rPr>
      </w:pPr>
      <w:r w:rsidRPr="00F75802">
        <w:rPr>
          <w:rFonts w:ascii="Times New Roman" w:hAnsi="Times New Roman"/>
        </w:rPr>
        <w:t>Selection of empiric therapy in a particular resident should not be based solely on an antibiogram. A resident’s particular infection history, including past antimicrobia</w:t>
      </w:r>
      <w:r>
        <w:rPr>
          <w:rFonts w:ascii="Times New Roman" w:hAnsi="Times New Roman"/>
        </w:rPr>
        <w:t>l use, must also be considered.</w:t>
      </w:r>
    </w:p>
    <w:p w:rsidR="0072721C" w:rsidRPr="00F75802" w:rsidRDefault="0072721C" w:rsidP="0072721C">
      <w:pPr>
        <w:pStyle w:val="NoSpacing"/>
        <w:numPr>
          <w:ilvl w:val="0"/>
          <w:numId w:val="3"/>
        </w:numPr>
        <w:spacing w:after="120"/>
        <w:rPr>
          <w:rFonts w:ascii="Times New Roman" w:hAnsi="Times New Roman"/>
        </w:rPr>
      </w:pPr>
      <w:r w:rsidRPr="00F75802">
        <w:rPr>
          <w:rFonts w:ascii="Times New Roman" w:hAnsi="Times New Roman"/>
        </w:rPr>
        <w:t>Antibiograms only capture the aggregate proportion of susceptibl</w:t>
      </w:r>
      <w:r>
        <w:rPr>
          <w:rFonts w:ascii="Times New Roman" w:hAnsi="Times New Roman"/>
        </w:rPr>
        <w:t xml:space="preserve">e isolates for a given </w:t>
      </w:r>
      <w:r>
        <w:rPr>
          <w:rFonts w:ascii="Times New Roman" w:hAnsi="Times New Roman"/>
        </w:rPr>
        <w:br/>
        <w:t>organism–</w:t>
      </w:r>
      <w:r w:rsidRPr="00F75802">
        <w:rPr>
          <w:rFonts w:ascii="Times New Roman" w:hAnsi="Times New Roman"/>
        </w:rPr>
        <w:t>antibiotic combination. They do not provide the prevalence resi</w:t>
      </w:r>
      <w:r>
        <w:rPr>
          <w:rFonts w:ascii="Times New Roman" w:hAnsi="Times New Roman"/>
        </w:rPr>
        <w:t>stance to multiple antibiotics.</w:t>
      </w:r>
    </w:p>
    <w:p w:rsidR="00173872" w:rsidRDefault="00173872" w:rsidP="00173872">
      <w:pPr>
        <w:pStyle w:val="NoSpacing"/>
        <w:numPr>
          <w:ilvl w:val="0"/>
          <w:numId w:val="3"/>
        </w:numPr>
        <w:spacing w:after="120"/>
        <w:rPr>
          <w:rFonts w:ascii="Times New Roman" w:hAnsi="Times New Roman"/>
        </w:rPr>
      </w:pPr>
      <w:r w:rsidRPr="00F75802">
        <w:rPr>
          <w:rFonts w:ascii="Times New Roman" w:hAnsi="Times New Roman"/>
        </w:rPr>
        <w:t>Antibiograms provide guidance for empiric antibiotic use in residents, but other factors including resident characteristics and prevalence of other risk factors should be incorporated when making therapeutic decisions.</w:t>
      </w:r>
    </w:p>
    <w:p w:rsidR="006B7A85" w:rsidRPr="00173872" w:rsidRDefault="00173872" w:rsidP="00173872">
      <w:pPr>
        <w:pStyle w:val="NoSpacing"/>
        <w:numPr>
          <w:ilvl w:val="0"/>
          <w:numId w:val="3"/>
        </w:numPr>
        <w:spacing w:after="120"/>
        <w:rPr>
          <w:rFonts w:ascii="Times New Roman" w:hAnsi="Times New Roman"/>
        </w:rPr>
      </w:pPr>
      <w:r>
        <w:rPr>
          <w:rFonts w:ascii="Times New Roman" w:hAnsi="Times New Roman"/>
        </w:rPr>
        <w:t>If it is wanted, interpretive guidance can be given to prescribing clinicians. It may be helpful to examine the antibiogram and identify the one two antibiotics that are not working with a specific organism. It may be, for example, that the key message is that [name of antibiotic] is not working for urinary tract infections because of significant resistance. Please avoid that antibiotic.</w:t>
      </w:r>
    </w:p>
    <w:sectPr w:rsidR="006B7A85" w:rsidRPr="00173872" w:rsidSect="00833CE3">
      <w:headerReference w:type="default" r:id="rId10"/>
      <w:footerReference w:type="default" r:id="rId11"/>
      <w:pgSz w:w="12240" w:h="15840"/>
      <w:pgMar w:top="1440" w:right="1440" w:bottom="1440" w:left="1440"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72" w:rsidRDefault="00173872" w:rsidP="00E32D5F">
      <w:pPr>
        <w:spacing w:after="0" w:line="240" w:lineRule="auto"/>
      </w:pPr>
      <w:r>
        <w:separator/>
      </w:r>
    </w:p>
  </w:endnote>
  <w:endnote w:type="continuationSeparator" w:id="0">
    <w:p w:rsidR="00173872" w:rsidRDefault="00173872"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Default="00833CE3" w:rsidP="00833CE3">
    <w:pPr>
      <w:pStyle w:val="Footer"/>
      <w:tabs>
        <w:tab w:val="clear" w:pos="4680"/>
      </w:tabs>
      <w:jc w:val="right"/>
      <w:rPr>
        <w:rFonts w:ascii="Arial" w:hAnsi="Arial" w:cs="Arial"/>
      </w:rPr>
    </w:pPr>
    <w:r>
      <w:rPr>
        <w:rFonts w:ascii="Arial" w:hAnsi="Arial" w:cs="Arial"/>
      </w:rPr>
      <w:t xml:space="preserve">AHRQ Pub. No. </w:t>
    </w:r>
    <w:r w:rsidR="00173872">
      <w:rPr>
        <w:rFonts w:ascii="Arial" w:hAnsi="Arial" w:cs="Arial"/>
      </w:rPr>
      <w:t>17-0006-6</w:t>
    </w:r>
    <w:r>
      <w:rPr>
        <w:rFonts w:ascii="Arial" w:hAnsi="Arial" w:cs="Arial"/>
      </w:rPr>
      <w:t>-EF</w:t>
    </w:r>
  </w:p>
  <w:p w:rsidR="00833CE3" w:rsidRDefault="00833CE3" w:rsidP="00833CE3">
    <w:pPr>
      <w:pStyle w:val="Footer"/>
      <w:tabs>
        <w:tab w:val="clear" w:pos="4680"/>
      </w:tabs>
      <w:spacing w:after="440"/>
      <w:jc w:val="right"/>
      <w:rPr>
        <w:rFonts w:ascii="Arial" w:hAnsi="Arial" w:cs="Arial"/>
      </w:rPr>
    </w:pPr>
    <w:r>
      <w:rPr>
        <w:rFonts w:ascii="Arial" w:hAnsi="Arial" w:cs="Arial"/>
      </w:rPr>
      <w:t>October 2016</w:t>
    </w:r>
  </w:p>
  <w:p w:rsidR="00833CE3" w:rsidRDefault="00833CE3">
    <w:pPr>
      <w:pStyle w:val="Footer"/>
      <w:rPr>
        <w:rFonts w:ascii="Arial" w:hAnsi="Arial" w:cs="Arial"/>
      </w:rPr>
    </w:pPr>
    <w:r w:rsidRPr="004A60C0">
      <w:rPr>
        <w:rFonts w:ascii="Arial" w:hAnsi="Arial" w:cs="Arial"/>
      </w:rPr>
      <w:t>Nursing Home Antimicrobial Stewardship Guid</w:t>
    </w:r>
    <w:r>
      <w:rPr>
        <w:rFonts w:ascii="Arial" w:hAnsi="Arial" w:cs="Arial"/>
      </w:rPr>
      <w:t>e</w:t>
    </w:r>
  </w:p>
  <w:p w:rsidR="00833CE3" w:rsidRPr="00BB75BB" w:rsidRDefault="00173872" w:rsidP="00833CE3">
    <w:pPr>
      <w:pStyle w:val="Footer"/>
      <w:tabs>
        <w:tab w:val="clear" w:pos="4680"/>
        <w:tab w:val="clear" w:pos="9360"/>
        <w:tab w:val="left" w:pos="7387"/>
        <w:tab w:val="right" w:pos="10080"/>
      </w:tabs>
      <w:rPr>
        <w:rFonts w:ascii="Arial" w:hAnsi="Arial" w:cs="Arial"/>
      </w:rPr>
    </w:pPr>
    <w:r>
      <w:rPr>
        <w:rFonts w:ascii="Arial" w:hAnsi="Arial" w:cs="Arial"/>
      </w:rPr>
      <w:t>Help Clinicians Choose the Right Antibiotic</w:t>
    </w:r>
    <w:r w:rsidR="00833CE3">
      <w:rPr>
        <w:rFonts w:ascii="Arial" w:hAnsi="Arial" w:cs="Arial"/>
      </w:rPr>
      <w:tab/>
    </w:r>
    <w:r w:rsidR="00833CE3">
      <w:rPr>
        <w:rFonts w:ascii="Arial" w:hAnsi="Arial" w:cs="Arial"/>
        <w:color w:val="FFFFFF" w:themeColor="background1"/>
      </w:rPr>
      <w:t>Toolkit 1/Tool 1</w:t>
    </w:r>
    <w:r w:rsidR="00833CE3">
      <w:rPr>
        <w:rFonts w:ascii="Arial" w:hAnsi="Arial" w:cs="Arial"/>
        <w:color w:val="FFFFFF" w:themeColor="background1"/>
      </w:rPr>
      <w:tab/>
    </w:r>
    <w:r w:rsidR="00833CE3" w:rsidRPr="004A60C0">
      <w:rPr>
        <w:rFonts w:ascii="Arial" w:hAnsi="Arial" w:cs="Arial"/>
        <w:color w:val="FFFFFF" w:themeColor="background1"/>
      </w:rPr>
      <w:fldChar w:fldCharType="begin"/>
    </w:r>
    <w:r w:rsidR="00833CE3" w:rsidRPr="004A60C0">
      <w:rPr>
        <w:rFonts w:ascii="Arial" w:hAnsi="Arial" w:cs="Arial"/>
        <w:color w:val="FFFFFF" w:themeColor="background1"/>
      </w:rPr>
      <w:instrText xml:space="preserve"> PAGE   \* MERGEFORMAT </w:instrText>
    </w:r>
    <w:r w:rsidR="00833CE3" w:rsidRPr="004A60C0">
      <w:rPr>
        <w:rFonts w:ascii="Arial" w:hAnsi="Arial" w:cs="Arial"/>
        <w:color w:val="FFFFFF" w:themeColor="background1"/>
      </w:rPr>
      <w:fldChar w:fldCharType="separate"/>
    </w:r>
    <w:r w:rsidR="00114065">
      <w:rPr>
        <w:rFonts w:ascii="Arial" w:hAnsi="Arial" w:cs="Arial"/>
        <w:noProof/>
        <w:color w:val="FFFFFF" w:themeColor="background1"/>
      </w:rPr>
      <w:t>2</w:t>
    </w:r>
    <w:r w:rsidR="00833CE3" w:rsidRPr="004A60C0">
      <w:rPr>
        <w:rFonts w:ascii="Arial" w:hAnsi="Arial" w:cs="Arial"/>
        <w:noProof/>
        <w:color w:val="FFFFFF" w:themeColor="background1"/>
      </w:rPr>
      <w:fldChar w:fldCharType="end"/>
    </w:r>
    <w:r w:rsidR="00833CE3" w:rsidRPr="00BB75BB">
      <w:rPr>
        <w:rFonts w:ascii="Arial" w:hAnsi="Arial" w:cs="Arial"/>
        <w:noProof/>
      </w:rPr>
      <w:drawing>
        <wp:anchor distT="0" distB="0" distL="114300" distR="114300" simplePos="0" relativeHeight="251661312" behindDoc="1" locked="0" layoutInCell="1" allowOverlap="1" wp14:anchorId="7985931C" wp14:editId="14699E19">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72" w:rsidRDefault="00173872" w:rsidP="00E32D5F">
      <w:pPr>
        <w:spacing w:after="0" w:line="240" w:lineRule="auto"/>
      </w:pPr>
      <w:r>
        <w:separator/>
      </w:r>
    </w:p>
  </w:footnote>
  <w:footnote w:type="continuationSeparator" w:id="0">
    <w:p w:rsidR="00173872" w:rsidRDefault="00173872"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5F" w:rsidRDefault="00833CE3" w:rsidP="00833CE3">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sidR="00AC6652">
      <w:rPr>
        <w:noProof/>
      </w:rPr>
      <w:drawing>
        <wp:anchor distT="0" distB="0" distL="114300" distR="114300" simplePos="0" relativeHeight="251659264" behindDoc="1" locked="0" layoutInCell="1" allowOverlap="1" wp14:anchorId="6430DC71" wp14:editId="4185C1A1">
          <wp:simplePos x="0" y="0"/>
          <wp:positionH relativeFrom="page">
            <wp:posOffset>-45720</wp:posOffset>
          </wp:positionH>
          <wp:positionV relativeFrom="page">
            <wp:posOffset>-8890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833CE3" w:rsidRPr="00C03366" w:rsidRDefault="00833CE3" w:rsidP="00833CE3">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833CE3" w:rsidRPr="0023152B" w:rsidRDefault="00173872" w:rsidP="00833CE3">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Help Clinicians Choose the Right Antibiotic</w:t>
    </w:r>
  </w:p>
  <w:p w:rsidR="00833CE3" w:rsidRPr="00BB75BB" w:rsidRDefault="00833CE3" w:rsidP="00833CE3">
    <w:pPr>
      <w:pStyle w:val="Header"/>
      <w:tabs>
        <w:tab w:val="clear" w:pos="9360"/>
        <w:tab w:val="right" w:pos="9900"/>
      </w:tabs>
      <w:jc w:val="center"/>
      <w:rPr>
        <w:rFonts w:ascii="Arial" w:hAnsi="Arial" w:cs="Arial"/>
        <w:color w:val="FFFFFF" w:themeColor="background1"/>
        <w:sz w:val="36"/>
        <w:szCs w:val="36"/>
      </w:rPr>
    </w:pPr>
  </w:p>
  <w:p w:rsidR="00833CE3" w:rsidRDefault="00833CE3" w:rsidP="00BB75BB">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sidR="00173872">
      <w:rPr>
        <w:rFonts w:ascii="Arial" w:hAnsi="Arial" w:cs="Arial"/>
        <w:sz w:val="32"/>
        <w:szCs w:val="32"/>
      </w:rPr>
      <w:t>Working With a Lab To Improve Antibiotic Prescribing</w:t>
    </w:r>
  </w:p>
  <w:p w:rsidR="00833CE3" w:rsidRPr="00BB75BB" w:rsidRDefault="00833CE3" w:rsidP="00833CE3">
    <w:pPr>
      <w:pStyle w:val="Header"/>
      <w:spacing w:before="320"/>
      <w:jc w:val="center"/>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48855"/>
      <w:docPartObj>
        <w:docPartGallery w:val="Watermarks"/>
        <w:docPartUnique/>
      </w:docPartObj>
    </w:sdtPr>
    <w:sdtEndPr/>
    <w:sdtContent>
      <w:p w:rsidR="00833CE3" w:rsidRPr="00BB75BB" w:rsidRDefault="00EA18B5">
        <w:pPr>
          <w:pStyle w:val="Header"/>
          <w:rPr>
            <w:rFonts w:ascii="Arial" w:hAnsi="Arial" w:cs="Arial"/>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11020"/>
    <w:multiLevelType w:val="hybridMultilevel"/>
    <w:tmpl w:val="9C3A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45328"/>
    <w:multiLevelType w:val="hybridMultilevel"/>
    <w:tmpl w:val="F1D4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7D2AA0"/>
    <w:multiLevelType w:val="hybridMultilevel"/>
    <w:tmpl w:val="10F8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72"/>
    <w:rsid w:val="00092DD3"/>
    <w:rsid w:val="00114065"/>
    <w:rsid w:val="00173872"/>
    <w:rsid w:val="002C69E5"/>
    <w:rsid w:val="003C2895"/>
    <w:rsid w:val="00501880"/>
    <w:rsid w:val="005A2167"/>
    <w:rsid w:val="006B7A85"/>
    <w:rsid w:val="0072721C"/>
    <w:rsid w:val="00833CE3"/>
    <w:rsid w:val="00AC6652"/>
    <w:rsid w:val="00BB75BB"/>
    <w:rsid w:val="00C622BE"/>
    <w:rsid w:val="00E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72"/>
  </w:style>
  <w:style w:type="paragraph" w:styleId="Heading2">
    <w:name w:val="heading 2"/>
    <w:basedOn w:val="Normal"/>
    <w:next w:val="Normal"/>
    <w:link w:val="Heading2Char"/>
    <w:uiPriority w:val="9"/>
    <w:unhideWhenUsed/>
    <w:qFormat/>
    <w:rsid w:val="00173872"/>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173872"/>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2Char">
    <w:name w:val="Heading 2 Char"/>
    <w:basedOn w:val="DefaultParagraphFont"/>
    <w:link w:val="Heading2"/>
    <w:uiPriority w:val="9"/>
    <w:rsid w:val="00173872"/>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173872"/>
    <w:rPr>
      <w:rFonts w:ascii="Cambria" w:eastAsia="Times New Roman" w:hAnsi="Cambria" w:cs="Times New Roman"/>
      <w:b/>
      <w:bCs/>
      <w:i/>
      <w:iCs/>
      <w:color w:val="4F81BD"/>
    </w:rPr>
  </w:style>
  <w:style w:type="paragraph" w:styleId="NoSpacing">
    <w:name w:val="No Spacing"/>
    <w:uiPriority w:val="1"/>
    <w:qFormat/>
    <w:rsid w:val="0017387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72"/>
  </w:style>
  <w:style w:type="paragraph" w:styleId="Heading2">
    <w:name w:val="heading 2"/>
    <w:basedOn w:val="Normal"/>
    <w:next w:val="Normal"/>
    <w:link w:val="Heading2Char"/>
    <w:uiPriority w:val="9"/>
    <w:unhideWhenUsed/>
    <w:qFormat/>
    <w:rsid w:val="00173872"/>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173872"/>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2Char">
    <w:name w:val="Heading 2 Char"/>
    <w:basedOn w:val="DefaultParagraphFont"/>
    <w:link w:val="Heading2"/>
    <w:uiPriority w:val="9"/>
    <w:rsid w:val="00173872"/>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173872"/>
    <w:rPr>
      <w:rFonts w:ascii="Cambria" w:eastAsia="Times New Roman" w:hAnsi="Cambria" w:cs="Times New Roman"/>
      <w:b/>
      <w:bCs/>
      <w:i/>
      <w:iCs/>
      <w:color w:val="4F81BD"/>
    </w:rPr>
  </w:style>
  <w:style w:type="paragraph" w:styleId="NoSpacing">
    <w:name w:val="No Spacing"/>
    <w:uiPriority w:val="1"/>
    <w:qFormat/>
    <w:rsid w:val="0017387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C435-9215-4216-985F-CA7A31D1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2016-10-19T21:02:00Z</dcterms:created>
  <dcterms:modified xsi:type="dcterms:W3CDTF">2016-10-19T21:02:00Z</dcterms:modified>
</cp:coreProperties>
</file>