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89D" w:rsidRDefault="0094289D" w:rsidP="00DA4ECD">
      <w:pPr>
        <w:jc w:val="center"/>
        <w:rPr>
          <w:color w:val="1F3864" w:themeColor="accent5" w:themeShade="80"/>
          <w:sz w:val="32"/>
          <w:szCs w:val="32"/>
        </w:rPr>
      </w:pPr>
    </w:p>
    <w:p w:rsidR="008E4BA2" w:rsidRPr="0094289D" w:rsidRDefault="00FD3C0D" w:rsidP="00DA4ECD">
      <w:pPr>
        <w:jc w:val="center"/>
        <w:rPr>
          <w:b/>
          <w:sz w:val="32"/>
          <w:szCs w:val="32"/>
        </w:rPr>
      </w:pPr>
      <w:r w:rsidRPr="0094289D">
        <w:rPr>
          <w:b/>
          <w:sz w:val="32"/>
          <w:szCs w:val="32"/>
        </w:rPr>
        <w:t>Sustainability Checklist for Hospitals</w:t>
      </w:r>
    </w:p>
    <w:p w:rsidR="0072295C" w:rsidRDefault="0072295C"/>
    <w:p w:rsidR="003C021B" w:rsidRDefault="003C021B"/>
    <w:tbl>
      <w:tblPr>
        <w:tblStyle w:val="TableGrid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17"/>
        <w:gridCol w:w="6750"/>
        <w:gridCol w:w="1887"/>
      </w:tblGrid>
      <w:tr w:rsidR="009A6CC6" w:rsidTr="00903559">
        <w:trPr>
          <w:trHeight w:val="432"/>
        </w:trPr>
        <w:tc>
          <w:tcPr>
            <w:tcW w:w="7467" w:type="dxa"/>
            <w:gridSpan w:val="2"/>
            <w:shd w:val="clear" w:color="auto" w:fill="1F4E79" w:themeFill="accent1" w:themeFillShade="80"/>
          </w:tcPr>
          <w:p w:rsidR="009A6CC6" w:rsidRPr="009A6CC6" w:rsidRDefault="009A6CC6">
            <w:pPr>
              <w:rPr>
                <w:b/>
                <w:color w:val="FFFFFF" w:themeColor="background1"/>
              </w:rPr>
            </w:pPr>
            <w:r w:rsidRPr="009A6CC6">
              <w:rPr>
                <w:b/>
                <w:color w:val="FFFFFF" w:themeColor="background1"/>
              </w:rPr>
              <w:t>Activity</w:t>
            </w:r>
          </w:p>
        </w:tc>
        <w:tc>
          <w:tcPr>
            <w:tcW w:w="1887" w:type="dxa"/>
            <w:shd w:val="clear" w:color="auto" w:fill="1F4E79" w:themeFill="accent1" w:themeFillShade="80"/>
          </w:tcPr>
          <w:p w:rsidR="009A6CC6" w:rsidRPr="009A6CC6" w:rsidRDefault="009A6CC6">
            <w:pPr>
              <w:rPr>
                <w:b/>
                <w:color w:val="FFFFFF" w:themeColor="background1"/>
              </w:rPr>
            </w:pPr>
            <w:r w:rsidRPr="009A6CC6">
              <w:rPr>
                <w:b/>
                <w:color w:val="FFFFFF" w:themeColor="background1"/>
              </w:rPr>
              <w:t>Frequency</w:t>
            </w:r>
          </w:p>
        </w:tc>
      </w:tr>
      <w:tr w:rsidR="003925EB" w:rsidTr="009A6CC6">
        <w:tc>
          <w:tcPr>
            <w:tcW w:w="9354" w:type="dxa"/>
            <w:gridSpan w:val="3"/>
            <w:shd w:val="clear" w:color="auto" w:fill="D9D9D9" w:themeFill="background1" w:themeFillShade="D9"/>
            <w:vAlign w:val="center"/>
          </w:tcPr>
          <w:p w:rsidR="003925EB" w:rsidRPr="009A6CC6" w:rsidRDefault="00AB12D0" w:rsidP="003925EB">
            <w:pPr>
              <w:rPr>
                <w:b/>
              </w:rPr>
            </w:pPr>
            <w:r>
              <w:rPr>
                <w:b/>
              </w:rPr>
              <w:t>Comprehensive Unit-based Safety Program (CUSP)</w:t>
            </w:r>
          </w:p>
        </w:tc>
      </w:tr>
      <w:tr w:rsidR="00852BAF" w:rsidTr="002D2B92">
        <w:tc>
          <w:tcPr>
            <w:tcW w:w="717" w:type="dxa"/>
            <w:tcBorders>
              <w:right w:val="nil"/>
            </w:tcBorders>
          </w:tcPr>
          <w:p w:rsidR="003925EB" w:rsidRPr="003925EB" w:rsidRDefault="003925EB" w:rsidP="002D2B92">
            <w:pPr>
              <w:jc w:val="right"/>
              <w:rPr>
                <w:sz w:val="28"/>
                <w:szCs w:val="28"/>
              </w:rPr>
            </w:pPr>
            <w:r w:rsidRPr="003925EB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6750" w:type="dxa"/>
            <w:tcBorders>
              <w:left w:val="nil"/>
            </w:tcBorders>
            <w:shd w:val="clear" w:color="auto" w:fill="auto"/>
          </w:tcPr>
          <w:p w:rsidR="003925EB" w:rsidRPr="003925EB" w:rsidRDefault="003925EB" w:rsidP="00EB5301">
            <w:r w:rsidRPr="003925EB">
              <w:t>Educate all new team members on the Science of Safety</w:t>
            </w:r>
          </w:p>
        </w:tc>
        <w:tc>
          <w:tcPr>
            <w:tcW w:w="1887" w:type="dxa"/>
            <w:shd w:val="clear" w:color="auto" w:fill="auto"/>
          </w:tcPr>
          <w:p w:rsidR="003925EB" w:rsidRPr="003925EB" w:rsidRDefault="003925EB" w:rsidP="003925EB">
            <w:r w:rsidRPr="003925EB">
              <w:t>Rolling</w:t>
            </w:r>
          </w:p>
        </w:tc>
      </w:tr>
      <w:tr w:rsidR="00DF4B7F" w:rsidTr="002D2B92">
        <w:tc>
          <w:tcPr>
            <w:tcW w:w="717" w:type="dxa"/>
            <w:tcBorders>
              <w:right w:val="nil"/>
            </w:tcBorders>
          </w:tcPr>
          <w:p w:rsidR="00DF4B7F" w:rsidRPr="003925EB" w:rsidRDefault="00DF4B7F" w:rsidP="002D2B92">
            <w:pPr>
              <w:jc w:val="right"/>
              <w:rPr>
                <w:sz w:val="28"/>
                <w:szCs w:val="28"/>
              </w:rPr>
            </w:pPr>
            <w:r w:rsidRPr="003925EB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6750" w:type="dxa"/>
            <w:tcBorders>
              <w:left w:val="nil"/>
            </w:tcBorders>
            <w:shd w:val="clear" w:color="auto" w:fill="auto"/>
          </w:tcPr>
          <w:p w:rsidR="00DF4B7F" w:rsidRPr="003925EB" w:rsidRDefault="00DF4B7F" w:rsidP="00EB5301">
            <w:r>
              <w:t>Reeducate all team members on the Science of Safety</w:t>
            </w:r>
          </w:p>
        </w:tc>
        <w:tc>
          <w:tcPr>
            <w:tcW w:w="1887" w:type="dxa"/>
            <w:shd w:val="clear" w:color="auto" w:fill="auto"/>
          </w:tcPr>
          <w:p w:rsidR="00DF4B7F" w:rsidRPr="003925EB" w:rsidRDefault="00DF4B7F" w:rsidP="003925EB">
            <w:r>
              <w:t>Every year</w:t>
            </w:r>
          </w:p>
        </w:tc>
      </w:tr>
      <w:tr w:rsidR="00852BAF" w:rsidTr="002D2B92">
        <w:tc>
          <w:tcPr>
            <w:tcW w:w="717" w:type="dxa"/>
            <w:tcBorders>
              <w:right w:val="nil"/>
            </w:tcBorders>
          </w:tcPr>
          <w:p w:rsidR="003925EB" w:rsidRPr="003925EB" w:rsidRDefault="003925EB" w:rsidP="002D2B92">
            <w:pPr>
              <w:jc w:val="right"/>
              <w:rPr>
                <w:sz w:val="28"/>
                <w:szCs w:val="28"/>
              </w:rPr>
            </w:pPr>
            <w:r w:rsidRPr="003925EB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6750" w:type="dxa"/>
            <w:tcBorders>
              <w:left w:val="nil"/>
            </w:tcBorders>
            <w:shd w:val="clear" w:color="auto" w:fill="auto"/>
          </w:tcPr>
          <w:p w:rsidR="003925EB" w:rsidRPr="003925EB" w:rsidRDefault="003925EB" w:rsidP="00EB5301">
            <w:r w:rsidRPr="003925EB">
              <w:t>Continue to identify defects</w:t>
            </w:r>
          </w:p>
        </w:tc>
        <w:tc>
          <w:tcPr>
            <w:tcW w:w="1887" w:type="dxa"/>
            <w:shd w:val="clear" w:color="auto" w:fill="auto"/>
          </w:tcPr>
          <w:p w:rsidR="003925EB" w:rsidRPr="003925EB" w:rsidRDefault="003925EB" w:rsidP="003925EB">
            <w:r w:rsidRPr="003925EB">
              <w:t>At least every 6 months</w:t>
            </w:r>
          </w:p>
        </w:tc>
      </w:tr>
      <w:tr w:rsidR="00852BAF" w:rsidTr="002D2B92">
        <w:tc>
          <w:tcPr>
            <w:tcW w:w="717" w:type="dxa"/>
            <w:tcBorders>
              <w:right w:val="nil"/>
            </w:tcBorders>
          </w:tcPr>
          <w:p w:rsidR="003925EB" w:rsidRPr="003925EB" w:rsidRDefault="003925EB" w:rsidP="002D2B92">
            <w:pPr>
              <w:jc w:val="right"/>
              <w:rPr>
                <w:sz w:val="28"/>
                <w:szCs w:val="28"/>
              </w:rPr>
            </w:pPr>
            <w:r w:rsidRPr="003925EB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6750" w:type="dxa"/>
            <w:tcBorders>
              <w:left w:val="nil"/>
            </w:tcBorders>
            <w:shd w:val="clear" w:color="auto" w:fill="auto"/>
          </w:tcPr>
          <w:p w:rsidR="003925EB" w:rsidRPr="003925EB" w:rsidRDefault="003925EB" w:rsidP="00EB5301">
            <w:r w:rsidRPr="003925EB">
              <w:t xml:space="preserve">Continue to use the Learning </w:t>
            </w:r>
            <w:r w:rsidR="00AB12D0">
              <w:t>F</w:t>
            </w:r>
            <w:r w:rsidRPr="003925EB">
              <w:t>rom Defects Tool</w:t>
            </w:r>
          </w:p>
        </w:tc>
        <w:tc>
          <w:tcPr>
            <w:tcW w:w="1887" w:type="dxa"/>
            <w:shd w:val="clear" w:color="auto" w:fill="auto"/>
          </w:tcPr>
          <w:p w:rsidR="003925EB" w:rsidRPr="003925EB" w:rsidRDefault="003925EB" w:rsidP="003925EB">
            <w:r w:rsidRPr="003925EB">
              <w:t>At least once every 3 months</w:t>
            </w:r>
          </w:p>
        </w:tc>
      </w:tr>
      <w:tr w:rsidR="00852BAF" w:rsidTr="002D2B92">
        <w:tc>
          <w:tcPr>
            <w:tcW w:w="717" w:type="dxa"/>
            <w:tcBorders>
              <w:right w:val="nil"/>
            </w:tcBorders>
          </w:tcPr>
          <w:p w:rsidR="003925EB" w:rsidRPr="003925EB" w:rsidRDefault="003925EB" w:rsidP="002D2B92">
            <w:pPr>
              <w:jc w:val="right"/>
              <w:rPr>
                <w:sz w:val="28"/>
                <w:szCs w:val="28"/>
              </w:rPr>
            </w:pPr>
            <w:r w:rsidRPr="003925EB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6750" w:type="dxa"/>
            <w:tcBorders>
              <w:left w:val="nil"/>
            </w:tcBorders>
            <w:shd w:val="clear" w:color="auto" w:fill="auto"/>
          </w:tcPr>
          <w:p w:rsidR="003925EB" w:rsidRPr="003925EB" w:rsidRDefault="003925EB" w:rsidP="00EB5301">
            <w:r w:rsidRPr="003925EB">
              <w:t xml:space="preserve">Continue to have monthly CUSP </w:t>
            </w:r>
            <w:r w:rsidR="0094289D">
              <w:t>t</w:t>
            </w:r>
            <w:r w:rsidRPr="003925EB">
              <w:t xml:space="preserve">eam meetings and involve your </w:t>
            </w:r>
            <w:r w:rsidR="0003396A">
              <w:t>s</w:t>
            </w:r>
            <w:r w:rsidRPr="003925EB">
              <w:t xml:space="preserve">enior </w:t>
            </w:r>
            <w:r w:rsidR="0003396A">
              <w:t>e</w:t>
            </w:r>
            <w:r w:rsidRPr="003925EB">
              <w:t>xecutive</w:t>
            </w:r>
          </w:p>
        </w:tc>
        <w:tc>
          <w:tcPr>
            <w:tcW w:w="1887" w:type="dxa"/>
            <w:shd w:val="clear" w:color="auto" w:fill="auto"/>
          </w:tcPr>
          <w:p w:rsidR="003925EB" w:rsidRPr="003925EB" w:rsidRDefault="003925EB" w:rsidP="003925EB">
            <w:r w:rsidRPr="003925EB">
              <w:t>Every month</w:t>
            </w:r>
          </w:p>
        </w:tc>
      </w:tr>
      <w:tr w:rsidR="00852BAF" w:rsidTr="002D2B92">
        <w:tc>
          <w:tcPr>
            <w:tcW w:w="717" w:type="dxa"/>
            <w:tcBorders>
              <w:right w:val="nil"/>
            </w:tcBorders>
          </w:tcPr>
          <w:p w:rsidR="00852BAF" w:rsidRPr="003925EB" w:rsidRDefault="00852BAF" w:rsidP="002D2B92">
            <w:pPr>
              <w:jc w:val="right"/>
              <w:rPr>
                <w:sz w:val="28"/>
                <w:szCs w:val="28"/>
              </w:rPr>
            </w:pPr>
            <w:r w:rsidRPr="003925EB"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6750" w:type="dxa"/>
            <w:tcBorders>
              <w:left w:val="nil"/>
            </w:tcBorders>
            <w:shd w:val="clear" w:color="auto" w:fill="auto"/>
          </w:tcPr>
          <w:p w:rsidR="00852BAF" w:rsidRPr="003925EB" w:rsidRDefault="00852BAF" w:rsidP="000F74F9">
            <w:r>
              <w:t xml:space="preserve">Complete the </w:t>
            </w:r>
            <w:r w:rsidR="000F74F9">
              <w:t>Sustainability</w:t>
            </w:r>
            <w:r>
              <w:t xml:space="preserve"> Scorecard</w:t>
            </w:r>
          </w:p>
        </w:tc>
        <w:tc>
          <w:tcPr>
            <w:tcW w:w="1887" w:type="dxa"/>
            <w:shd w:val="clear" w:color="auto" w:fill="auto"/>
          </w:tcPr>
          <w:p w:rsidR="00852BAF" w:rsidRPr="003925EB" w:rsidRDefault="00852BAF" w:rsidP="003925EB">
            <w:r>
              <w:t>Every 6 months</w:t>
            </w:r>
          </w:p>
        </w:tc>
      </w:tr>
      <w:tr w:rsidR="003925EB" w:rsidTr="009A6CC6">
        <w:tc>
          <w:tcPr>
            <w:tcW w:w="9354" w:type="dxa"/>
            <w:gridSpan w:val="3"/>
            <w:shd w:val="clear" w:color="auto" w:fill="D9D9D9" w:themeFill="background1" w:themeFillShade="D9"/>
            <w:vAlign w:val="center"/>
          </w:tcPr>
          <w:p w:rsidR="003925EB" w:rsidRPr="009A6CC6" w:rsidRDefault="003925EB" w:rsidP="003925EB">
            <w:pPr>
              <w:rPr>
                <w:b/>
              </w:rPr>
            </w:pPr>
            <w:r w:rsidRPr="009A6CC6">
              <w:rPr>
                <w:b/>
              </w:rPr>
              <w:t>Daily Care Processes</w:t>
            </w:r>
          </w:p>
        </w:tc>
      </w:tr>
      <w:tr w:rsidR="003925EB" w:rsidTr="002D2B92">
        <w:tc>
          <w:tcPr>
            <w:tcW w:w="717" w:type="dxa"/>
            <w:tcBorders>
              <w:right w:val="nil"/>
            </w:tcBorders>
          </w:tcPr>
          <w:p w:rsidR="003925EB" w:rsidRDefault="00DF4B7F" w:rsidP="002D2B92">
            <w:pPr>
              <w:jc w:val="right"/>
            </w:pPr>
            <w:r>
              <w:rPr>
                <w:sz w:val="28"/>
                <w:szCs w:val="28"/>
              </w:rPr>
              <w:sym w:font="Symbol" w:char="F0B7"/>
            </w:r>
          </w:p>
        </w:tc>
        <w:tc>
          <w:tcPr>
            <w:tcW w:w="6750" w:type="dxa"/>
            <w:tcBorders>
              <w:left w:val="nil"/>
            </w:tcBorders>
            <w:shd w:val="clear" w:color="auto" w:fill="auto"/>
          </w:tcPr>
          <w:p w:rsidR="003925EB" w:rsidRPr="003925EB" w:rsidRDefault="009A6CC6" w:rsidP="00EB5301">
            <w:r>
              <w:t xml:space="preserve">Continue to </w:t>
            </w:r>
            <w:r w:rsidR="00903559">
              <w:t>ensure that</w:t>
            </w:r>
            <w:r w:rsidR="00A21C58">
              <w:t xml:space="preserve"> every eligible</w:t>
            </w:r>
            <w:r w:rsidR="002D0890">
              <w:t xml:space="preserve"> patient’s head of the bed is at </w:t>
            </w:r>
            <w:r w:rsidR="00AB12D0">
              <w:t>least 30 degrees</w:t>
            </w:r>
            <w:r>
              <w:t xml:space="preserve"> </w:t>
            </w:r>
            <w:r w:rsidR="002D0890">
              <w:t>from the horizontal</w:t>
            </w:r>
            <w:r w:rsidR="00AB12D0">
              <w:t xml:space="preserve"> position</w:t>
            </w:r>
          </w:p>
        </w:tc>
        <w:tc>
          <w:tcPr>
            <w:tcW w:w="1887" w:type="dxa"/>
            <w:shd w:val="clear" w:color="auto" w:fill="auto"/>
          </w:tcPr>
          <w:p w:rsidR="003925EB" w:rsidRPr="003925EB" w:rsidRDefault="002D0890" w:rsidP="003925EB">
            <w:r>
              <w:t>Daily</w:t>
            </w:r>
            <w:r w:rsidR="00903559">
              <w:t>*</w:t>
            </w:r>
          </w:p>
        </w:tc>
      </w:tr>
      <w:tr w:rsidR="00DF4B7F" w:rsidTr="002D2B92">
        <w:tc>
          <w:tcPr>
            <w:tcW w:w="717" w:type="dxa"/>
            <w:tcBorders>
              <w:right w:val="nil"/>
            </w:tcBorders>
          </w:tcPr>
          <w:p w:rsidR="00DF4B7F" w:rsidRDefault="00DF4B7F" w:rsidP="002D2B92">
            <w:pPr>
              <w:jc w:val="right"/>
            </w:pPr>
            <w:r w:rsidRPr="00E6363C">
              <w:rPr>
                <w:sz w:val="28"/>
                <w:szCs w:val="28"/>
              </w:rPr>
              <w:sym w:font="Symbol" w:char="F0B7"/>
            </w:r>
          </w:p>
        </w:tc>
        <w:tc>
          <w:tcPr>
            <w:tcW w:w="6750" w:type="dxa"/>
            <w:tcBorders>
              <w:left w:val="nil"/>
            </w:tcBorders>
            <w:shd w:val="clear" w:color="auto" w:fill="auto"/>
          </w:tcPr>
          <w:p w:rsidR="00DF4B7F" w:rsidRPr="003925EB" w:rsidRDefault="00DF4B7F" w:rsidP="00EB5301">
            <w:r>
              <w:t>Continue to conduct a sedation assessment for patients receiving mechanical ventilation</w:t>
            </w:r>
          </w:p>
        </w:tc>
        <w:tc>
          <w:tcPr>
            <w:tcW w:w="1887" w:type="dxa"/>
            <w:shd w:val="clear" w:color="auto" w:fill="auto"/>
          </w:tcPr>
          <w:p w:rsidR="00DF4B7F" w:rsidRPr="003925EB" w:rsidRDefault="00DF4B7F" w:rsidP="00DF4B7F">
            <w:r>
              <w:t>Daily</w:t>
            </w:r>
            <w:r w:rsidR="00903559">
              <w:t>*</w:t>
            </w:r>
          </w:p>
        </w:tc>
      </w:tr>
      <w:tr w:rsidR="00DF4B7F" w:rsidTr="002D2B92">
        <w:tc>
          <w:tcPr>
            <w:tcW w:w="717" w:type="dxa"/>
            <w:tcBorders>
              <w:right w:val="nil"/>
            </w:tcBorders>
          </w:tcPr>
          <w:p w:rsidR="00DF4B7F" w:rsidRDefault="00DF4B7F" w:rsidP="002D2B92">
            <w:pPr>
              <w:jc w:val="right"/>
            </w:pPr>
            <w:r w:rsidRPr="00E6363C">
              <w:rPr>
                <w:sz w:val="28"/>
                <w:szCs w:val="28"/>
              </w:rPr>
              <w:sym w:font="Symbol" w:char="F0B7"/>
            </w:r>
          </w:p>
        </w:tc>
        <w:tc>
          <w:tcPr>
            <w:tcW w:w="6750" w:type="dxa"/>
            <w:tcBorders>
              <w:left w:val="nil"/>
            </w:tcBorders>
            <w:shd w:val="clear" w:color="auto" w:fill="auto"/>
          </w:tcPr>
          <w:p w:rsidR="00DF4B7F" w:rsidRPr="003925EB" w:rsidRDefault="00DF4B7F" w:rsidP="00EB5301">
            <w:r>
              <w:t>Continue to conduct a delirium assessment for patients receiving mechanical ventilation</w:t>
            </w:r>
          </w:p>
        </w:tc>
        <w:tc>
          <w:tcPr>
            <w:tcW w:w="1887" w:type="dxa"/>
            <w:shd w:val="clear" w:color="auto" w:fill="auto"/>
          </w:tcPr>
          <w:p w:rsidR="00DF4B7F" w:rsidRPr="003925EB" w:rsidRDefault="00DF4B7F" w:rsidP="00DF4B7F">
            <w:r>
              <w:t>Daily</w:t>
            </w:r>
            <w:r w:rsidR="00903559">
              <w:t>*</w:t>
            </w:r>
          </w:p>
        </w:tc>
      </w:tr>
      <w:tr w:rsidR="00DF4B7F" w:rsidTr="002D2B92">
        <w:tc>
          <w:tcPr>
            <w:tcW w:w="717" w:type="dxa"/>
            <w:tcBorders>
              <w:right w:val="nil"/>
            </w:tcBorders>
          </w:tcPr>
          <w:p w:rsidR="00DF4B7F" w:rsidRDefault="00DF4B7F" w:rsidP="002D2B92">
            <w:pPr>
              <w:jc w:val="right"/>
            </w:pPr>
            <w:r w:rsidRPr="00E6363C">
              <w:rPr>
                <w:sz w:val="28"/>
                <w:szCs w:val="28"/>
              </w:rPr>
              <w:sym w:font="Symbol" w:char="F0B7"/>
            </w:r>
          </w:p>
        </w:tc>
        <w:tc>
          <w:tcPr>
            <w:tcW w:w="6750" w:type="dxa"/>
            <w:tcBorders>
              <w:left w:val="nil"/>
            </w:tcBorders>
            <w:shd w:val="clear" w:color="auto" w:fill="auto"/>
          </w:tcPr>
          <w:p w:rsidR="00DF4B7F" w:rsidRPr="003925EB" w:rsidRDefault="00903559" w:rsidP="00EB5301">
            <w:r>
              <w:t>Continue to ensure that</w:t>
            </w:r>
            <w:r w:rsidR="00DF4B7F">
              <w:t xml:space="preserve"> eligible patients are receiving a spontaneous awakening trial (SAT)</w:t>
            </w:r>
          </w:p>
        </w:tc>
        <w:tc>
          <w:tcPr>
            <w:tcW w:w="1887" w:type="dxa"/>
            <w:shd w:val="clear" w:color="auto" w:fill="auto"/>
          </w:tcPr>
          <w:p w:rsidR="00DF4B7F" w:rsidRPr="003925EB" w:rsidRDefault="00DF4B7F" w:rsidP="00DF4B7F">
            <w:r>
              <w:t>Daily</w:t>
            </w:r>
            <w:r w:rsidR="00903559">
              <w:t>*</w:t>
            </w:r>
          </w:p>
        </w:tc>
      </w:tr>
      <w:tr w:rsidR="00DF4B7F" w:rsidTr="002D2B92">
        <w:tc>
          <w:tcPr>
            <w:tcW w:w="717" w:type="dxa"/>
            <w:tcBorders>
              <w:right w:val="nil"/>
            </w:tcBorders>
          </w:tcPr>
          <w:p w:rsidR="00DF4B7F" w:rsidRDefault="00DF4B7F" w:rsidP="002D2B92">
            <w:pPr>
              <w:jc w:val="right"/>
            </w:pPr>
            <w:r w:rsidRPr="00E6363C">
              <w:rPr>
                <w:sz w:val="28"/>
                <w:szCs w:val="28"/>
              </w:rPr>
              <w:sym w:font="Symbol" w:char="F0B7"/>
            </w:r>
          </w:p>
        </w:tc>
        <w:tc>
          <w:tcPr>
            <w:tcW w:w="6750" w:type="dxa"/>
            <w:tcBorders>
              <w:left w:val="nil"/>
            </w:tcBorders>
            <w:shd w:val="clear" w:color="auto" w:fill="auto"/>
          </w:tcPr>
          <w:p w:rsidR="00DF4B7F" w:rsidRPr="003925EB" w:rsidRDefault="00DF4B7F" w:rsidP="00903559">
            <w:r>
              <w:t xml:space="preserve">Continue to </w:t>
            </w:r>
            <w:r w:rsidR="00903559">
              <w:t>ensure that</w:t>
            </w:r>
            <w:r>
              <w:t xml:space="preserve"> eligible patients are receiving a spontaneous breathing trial (SBT)</w:t>
            </w:r>
          </w:p>
        </w:tc>
        <w:tc>
          <w:tcPr>
            <w:tcW w:w="1887" w:type="dxa"/>
            <w:shd w:val="clear" w:color="auto" w:fill="auto"/>
          </w:tcPr>
          <w:p w:rsidR="00DF4B7F" w:rsidRPr="003925EB" w:rsidRDefault="00DF4B7F" w:rsidP="00DF4B7F">
            <w:r>
              <w:t>Daily</w:t>
            </w:r>
            <w:r w:rsidR="00903559">
              <w:t>*</w:t>
            </w:r>
          </w:p>
        </w:tc>
      </w:tr>
      <w:tr w:rsidR="003925EB" w:rsidTr="009A6CC6">
        <w:tc>
          <w:tcPr>
            <w:tcW w:w="9354" w:type="dxa"/>
            <w:gridSpan w:val="3"/>
            <w:shd w:val="clear" w:color="auto" w:fill="D9D9D9" w:themeFill="background1" w:themeFillShade="D9"/>
            <w:vAlign w:val="center"/>
          </w:tcPr>
          <w:p w:rsidR="003925EB" w:rsidRPr="009A6CC6" w:rsidRDefault="003925EB" w:rsidP="003925EB">
            <w:pPr>
              <w:rPr>
                <w:b/>
              </w:rPr>
            </w:pPr>
            <w:r w:rsidRPr="009A6CC6">
              <w:rPr>
                <w:b/>
              </w:rPr>
              <w:t>Daily Early Mobility</w:t>
            </w:r>
          </w:p>
        </w:tc>
      </w:tr>
      <w:tr w:rsidR="00DF4B7F" w:rsidTr="00903559">
        <w:tc>
          <w:tcPr>
            <w:tcW w:w="717" w:type="dxa"/>
            <w:tcBorders>
              <w:right w:val="nil"/>
            </w:tcBorders>
          </w:tcPr>
          <w:p w:rsidR="00DF4B7F" w:rsidRDefault="00DF4B7F" w:rsidP="00DF4B7F">
            <w:pPr>
              <w:jc w:val="right"/>
            </w:pPr>
            <w:r w:rsidRPr="001F014E">
              <w:rPr>
                <w:sz w:val="28"/>
                <w:szCs w:val="28"/>
              </w:rPr>
              <w:sym w:font="Symbol" w:char="F0B7"/>
            </w:r>
          </w:p>
        </w:tc>
        <w:tc>
          <w:tcPr>
            <w:tcW w:w="6750" w:type="dxa"/>
            <w:tcBorders>
              <w:left w:val="nil"/>
            </w:tcBorders>
            <w:shd w:val="clear" w:color="auto" w:fill="auto"/>
          </w:tcPr>
          <w:p w:rsidR="00DF4B7F" w:rsidRPr="003925EB" w:rsidRDefault="00DF4B7F" w:rsidP="00EB5301">
            <w:r>
              <w:t>Continue to conduct a sedation assessment for patients receiving mechanical ventilation</w:t>
            </w:r>
          </w:p>
        </w:tc>
        <w:tc>
          <w:tcPr>
            <w:tcW w:w="1887" w:type="dxa"/>
            <w:shd w:val="clear" w:color="auto" w:fill="auto"/>
          </w:tcPr>
          <w:p w:rsidR="00DF4B7F" w:rsidRPr="003925EB" w:rsidRDefault="00DF4B7F" w:rsidP="00DF4B7F">
            <w:r>
              <w:t>Daily</w:t>
            </w:r>
            <w:r w:rsidR="00903559">
              <w:t>*</w:t>
            </w:r>
          </w:p>
        </w:tc>
      </w:tr>
      <w:tr w:rsidR="00DF4B7F" w:rsidTr="00903559">
        <w:tc>
          <w:tcPr>
            <w:tcW w:w="717" w:type="dxa"/>
            <w:tcBorders>
              <w:right w:val="nil"/>
            </w:tcBorders>
          </w:tcPr>
          <w:p w:rsidR="00DF4B7F" w:rsidRDefault="00DF4B7F" w:rsidP="00DF4B7F">
            <w:pPr>
              <w:jc w:val="right"/>
            </w:pPr>
            <w:r w:rsidRPr="001F014E">
              <w:rPr>
                <w:sz w:val="28"/>
                <w:szCs w:val="28"/>
              </w:rPr>
              <w:sym w:font="Symbol" w:char="F0B7"/>
            </w:r>
          </w:p>
        </w:tc>
        <w:tc>
          <w:tcPr>
            <w:tcW w:w="6750" w:type="dxa"/>
            <w:tcBorders>
              <w:left w:val="nil"/>
            </w:tcBorders>
            <w:shd w:val="clear" w:color="auto" w:fill="auto"/>
          </w:tcPr>
          <w:p w:rsidR="00DF4B7F" w:rsidRPr="003925EB" w:rsidRDefault="00DF4B7F" w:rsidP="00DF4B7F">
            <w:r>
              <w:t>Continue to conduct a delirium assessment for patients receiving mechanical ventilation</w:t>
            </w:r>
          </w:p>
        </w:tc>
        <w:tc>
          <w:tcPr>
            <w:tcW w:w="1887" w:type="dxa"/>
            <w:shd w:val="clear" w:color="auto" w:fill="auto"/>
          </w:tcPr>
          <w:p w:rsidR="00DF4B7F" w:rsidRPr="003925EB" w:rsidRDefault="00DF4B7F" w:rsidP="00DF4B7F">
            <w:r>
              <w:t>Daily</w:t>
            </w:r>
            <w:r w:rsidR="00903559">
              <w:t>*</w:t>
            </w:r>
          </w:p>
        </w:tc>
      </w:tr>
      <w:tr w:rsidR="00DF4B7F" w:rsidTr="00903559">
        <w:tc>
          <w:tcPr>
            <w:tcW w:w="717" w:type="dxa"/>
            <w:tcBorders>
              <w:right w:val="nil"/>
            </w:tcBorders>
          </w:tcPr>
          <w:p w:rsidR="00DF4B7F" w:rsidRDefault="00DF4B7F" w:rsidP="00DF4B7F">
            <w:pPr>
              <w:jc w:val="right"/>
            </w:pPr>
            <w:r w:rsidRPr="001F014E">
              <w:rPr>
                <w:sz w:val="28"/>
                <w:szCs w:val="28"/>
              </w:rPr>
              <w:sym w:font="Symbol" w:char="F0B7"/>
            </w:r>
          </w:p>
        </w:tc>
        <w:tc>
          <w:tcPr>
            <w:tcW w:w="6750" w:type="dxa"/>
            <w:tcBorders>
              <w:left w:val="nil"/>
            </w:tcBorders>
            <w:shd w:val="clear" w:color="auto" w:fill="auto"/>
          </w:tcPr>
          <w:p w:rsidR="00DF4B7F" w:rsidRPr="003925EB" w:rsidRDefault="00903559" w:rsidP="00903559">
            <w:r>
              <w:t xml:space="preserve">Continue to ensure that </w:t>
            </w:r>
            <w:r w:rsidR="00DF4B7F">
              <w:t>patients are undergoing the hig</w:t>
            </w:r>
            <w:r w:rsidR="00EB5301">
              <w:t>hest level of mobility possible</w:t>
            </w:r>
          </w:p>
        </w:tc>
        <w:tc>
          <w:tcPr>
            <w:tcW w:w="1887" w:type="dxa"/>
            <w:shd w:val="clear" w:color="auto" w:fill="auto"/>
          </w:tcPr>
          <w:p w:rsidR="00DF4B7F" w:rsidRPr="003925EB" w:rsidRDefault="00DF4B7F" w:rsidP="00DF4B7F">
            <w:r>
              <w:t>Daily</w:t>
            </w:r>
            <w:r w:rsidR="00903559">
              <w:t>*</w:t>
            </w:r>
          </w:p>
        </w:tc>
      </w:tr>
      <w:tr w:rsidR="003925EB" w:rsidTr="00852BAF">
        <w:tc>
          <w:tcPr>
            <w:tcW w:w="9354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3925EB" w:rsidRPr="009A6CC6" w:rsidRDefault="003925EB" w:rsidP="003925EB">
            <w:pPr>
              <w:rPr>
                <w:b/>
              </w:rPr>
            </w:pPr>
            <w:r w:rsidRPr="009A6CC6">
              <w:rPr>
                <w:b/>
              </w:rPr>
              <w:t xml:space="preserve">Low Tidal Volume </w:t>
            </w:r>
            <w:r w:rsidR="009A6CC6" w:rsidRPr="009A6CC6">
              <w:rPr>
                <w:b/>
              </w:rPr>
              <w:t>Ventilation</w:t>
            </w:r>
          </w:p>
        </w:tc>
      </w:tr>
      <w:tr w:rsidR="00DF4B7F" w:rsidTr="002D2B92">
        <w:tc>
          <w:tcPr>
            <w:tcW w:w="717" w:type="dxa"/>
            <w:tcBorders>
              <w:right w:val="nil"/>
            </w:tcBorders>
          </w:tcPr>
          <w:p w:rsidR="00DF4B7F" w:rsidRDefault="00DF4B7F" w:rsidP="002D2B92">
            <w:pPr>
              <w:jc w:val="right"/>
            </w:pPr>
            <w:r w:rsidRPr="002C2970">
              <w:rPr>
                <w:sz w:val="28"/>
                <w:szCs w:val="28"/>
              </w:rPr>
              <w:sym w:font="Symbol" w:char="F0B7"/>
            </w:r>
          </w:p>
        </w:tc>
        <w:tc>
          <w:tcPr>
            <w:tcW w:w="6750" w:type="dxa"/>
            <w:tcBorders>
              <w:left w:val="nil"/>
            </w:tcBorders>
            <w:shd w:val="clear" w:color="auto" w:fill="auto"/>
          </w:tcPr>
          <w:p w:rsidR="00DF4B7F" w:rsidRPr="003925EB" w:rsidRDefault="00DF4B7F" w:rsidP="00DF4B7F">
            <w:r>
              <w:t>Continue to use recommended tidal volume</w:t>
            </w:r>
          </w:p>
        </w:tc>
        <w:tc>
          <w:tcPr>
            <w:tcW w:w="1887" w:type="dxa"/>
            <w:shd w:val="clear" w:color="auto" w:fill="auto"/>
          </w:tcPr>
          <w:p w:rsidR="00DF4B7F" w:rsidRPr="003925EB" w:rsidRDefault="00DF4B7F" w:rsidP="00DF4B7F">
            <w:r>
              <w:t>Daily</w:t>
            </w:r>
            <w:r w:rsidR="00903559">
              <w:t>*</w:t>
            </w:r>
          </w:p>
        </w:tc>
      </w:tr>
      <w:tr w:rsidR="00DF4B7F" w:rsidTr="002D2B92">
        <w:tc>
          <w:tcPr>
            <w:tcW w:w="717" w:type="dxa"/>
            <w:tcBorders>
              <w:right w:val="nil"/>
            </w:tcBorders>
          </w:tcPr>
          <w:p w:rsidR="00DF4B7F" w:rsidRDefault="00DF4B7F" w:rsidP="002D2B92">
            <w:pPr>
              <w:jc w:val="right"/>
            </w:pPr>
            <w:r w:rsidRPr="002C2970">
              <w:rPr>
                <w:sz w:val="28"/>
                <w:szCs w:val="28"/>
              </w:rPr>
              <w:sym w:font="Symbol" w:char="F0B7"/>
            </w:r>
          </w:p>
        </w:tc>
        <w:tc>
          <w:tcPr>
            <w:tcW w:w="6750" w:type="dxa"/>
            <w:tcBorders>
              <w:left w:val="nil"/>
            </w:tcBorders>
            <w:shd w:val="clear" w:color="auto" w:fill="auto"/>
          </w:tcPr>
          <w:p w:rsidR="00DF4B7F" w:rsidRPr="003925EB" w:rsidRDefault="00DF4B7F" w:rsidP="00DF4B7F">
            <w:r>
              <w:t>Continue to use recommended plateau pressure</w:t>
            </w:r>
          </w:p>
        </w:tc>
        <w:tc>
          <w:tcPr>
            <w:tcW w:w="1887" w:type="dxa"/>
            <w:shd w:val="clear" w:color="auto" w:fill="auto"/>
          </w:tcPr>
          <w:p w:rsidR="00DF4B7F" w:rsidRPr="003925EB" w:rsidRDefault="00DF4B7F" w:rsidP="00DF4B7F">
            <w:r>
              <w:t>Daily</w:t>
            </w:r>
            <w:r w:rsidR="00903559">
              <w:t>*</w:t>
            </w:r>
          </w:p>
        </w:tc>
      </w:tr>
      <w:tr w:rsidR="00DF4B7F" w:rsidTr="002D2B92">
        <w:tc>
          <w:tcPr>
            <w:tcW w:w="717" w:type="dxa"/>
            <w:tcBorders>
              <w:right w:val="nil"/>
            </w:tcBorders>
          </w:tcPr>
          <w:p w:rsidR="00DF4B7F" w:rsidRDefault="00DF4B7F" w:rsidP="002D2B92">
            <w:pPr>
              <w:jc w:val="right"/>
            </w:pPr>
            <w:r w:rsidRPr="002C2970">
              <w:rPr>
                <w:sz w:val="28"/>
                <w:szCs w:val="28"/>
              </w:rPr>
              <w:sym w:font="Symbol" w:char="F0B7"/>
            </w:r>
          </w:p>
        </w:tc>
        <w:tc>
          <w:tcPr>
            <w:tcW w:w="6750" w:type="dxa"/>
            <w:tcBorders>
              <w:left w:val="nil"/>
            </w:tcBorders>
            <w:shd w:val="clear" w:color="auto" w:fill="auto"/>
          </w:tcPr>
          <w:p w:rsidR="00DF4B7F" w:rsidRPr="003925EB" w:rsidRDefault="00DF4B7F" w:rsidP="00DF4B7F">
            <w:r>
              <w:t xml:space="preserve">Continue to use </w:t>
            </w:r>
            <w:r w:rsidR="00AB12D0">
              <w:t>positive end-expiratory pressure (</w:t>
            </w:r>
            <w:r>
              <w:t>PEEP</w:t>
            </w:r>
            <w:r w:rsidR="00AB12D0">
              <w:t>)</w:t>
            </w:r>
            <w:r>
              <w:t xml:space="preserve"> </w:t>
            </w:r>
            <w:r>
              <w:sym w:font="Symbol" w:char="F0B3"/>
            </w:r>
            <w:r>
              <w:t xml:space="preserve"> 5 cm/H</w:t>
            </w:r>
            <w:r w:rsidRPr="00DF4B7F"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887" w:type="dxa"/>
            <w:shd w:val="clear" w:color="auto" w:fill="auto"/>
          </w:tcPr>
          <w:p w:rsidR="00DF4B7F" w:rsidRPr="003925EB" w:rsidRDefault="00DF4B7F" w:rsidP="00DF4B7F">
            <w:r>
              <w:t>Daily</w:t>
            </w:r>
            <w:r w:rsidR="00903559">
              <w:t>*</w:t>
            </w:r>
          </w:p>
        </w:tc>
      </w:tr>
      <w:tr w:rsidR="00DF4B7F" w:rsidTr="002D2B92">
        <w:tc>
          <w:tcPr>
            <w:tcW w:w="717" w:type="dxa"/>
            <w:tcBorders>
              <w:bottom w:val="single" w:sz="2" w:space="0" w:color="7F7F7F" w:themeColor="text1" w:themeTint="80"/>
              <w:right w:val="nil"/>
            </w:tcBorders>
          </w:tcPr>
          <w:p w:rsidR="00DF4B7F" w:rsidRDefault="00DF4B7F" w:rsidP="002D2B92">
            <w:pPr>
              <w:jc w:val="right"/>
            </w:pPr>
            <w:r w:rsidRPr="002C2970">
              <w:rPr>
                <w:sz w:val="28"/>
                <w:szCs w:val="28"/>
              </w:rPr>
              <w:sym w:font="Symbol" w:char="F0B7"/>
            </w:r>
          </w:p>
        </w:tc>
        <w:tc>
          <w:tcPr>
            <w:tcW w:w="6750" w:type="dxa"/>
            <w:tcBorders>
              <w:left w:val="nil"/>
              <w:bottom w:val="single" w:sz="2" w:space="0" w:color="7F7F7F" w:themeColor="text1" w:themeTint="80"/>
            </w:tcBorders>
            <w:shd w:val="clear" w:color="auto" w:fill="auto"/>
          </w:tcPr>
          <w:p w:rsidR="00DF4B7F" w:rsidRPr="003925EB" w:rsidRDefault="00DF4B7F" w:rsidP="00DF4B7F">
            <w:r>
              <w:t>Continue to evaluate whether</w:t>
            </w:r>
            <w:r w:rsidR="00A21C58">
              <w:t xml:space="preserve"> every</w:t>
            </w:r>
            <w:r>
              <w:t xml:space="preserve"> patient has a risk factor for acute respiratory distr</w:t>
            </w:r>
            <w:r w:rsidR="00EB5301">
              <w:t>ess syndrome (ARDS) or has ARDS</w:t>
            </w:r>
          </w:p>
        </w:tc>
        <w:tc>
          <w:tcPr>
            <w:tcW w:w="1887" w:type="dxa"/>
            <w:tcBorders>
              <w:bottom w:val="single" w:sz="2" w:space="0" w:color="7F7F7F" w:themeColor="text1" w:themeTint="80"/>
            </w:tcBorders>
            <w:shd w:val="clear" w:color="auto" w:fill="auto"/>
          </w:tcPr>
          <w:p w:rsidR="00DF4B7F" w:rsidRPr="003925EB" w:rsidRDefault="00DF4B7F" w:rsidP="00DF4B7F">
            <w:r>
              <w:t>Daily</w:t>
            </w:r>
            <w:r w:rsidR="00903559">
              <w:t>*</w:t>
            </w:r>
          </w:p>
        </w:tc>
      </w:tr>
      <w:tr w:rsidR="00903559" w:rsidTr="00903559">
        <w:tc>
          <w:tcPr>
            <w:tcW w:w="9354" w:type="dxa"/>
            <w:gridSpan w:val="3"/>
            <w:tcBorders>
              <w:left w:val="nil"/>
              <w:bottom w:val="nil"/>
              <w:right w:val="nil"/>
            </w:tcBorders>
          </w:tcPr>
          <w:p w:rsidR="00903559" w:rsidRDefault="0094289D" w:rsidP="00903559">
            <w:r>
              <w:t>*</w:t>
            </w:r>
            <w:r w:rsidR="00903559">
              <w:t>These are daily evidence based best practices that we encourage you to use to ensure that mechanically ventilated patients are receiving the best care possible.</w:t>
            </w:r>
          </w:p>
        </w:tc>
      </w:tr>
    </w:tbl>
    <w:p w:rsidR="00B55718" w:rsidRDefault="00A4590A" w:rsidP="00AB12D0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33699" wp14:editId="2EA25F94">
                <wp:simplePos x="0" y="0"/>
                <wp:positionH relativeFrom="column">
                  <wp:posOffset>4310380</wp:posOffset>
                </wp:positionH>
                <wp:positionV relativeFrom="paragraph">
                  <wp:posOffset>93980</wp:posOffset>
                </wp:positionV>
                <wp:extent cx="2374265" cy="1403985"/>
                <wp:effectExtent l="0" t="0" r="3810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90A" w:rsidRDefault="00A4590A" w:rsidP="00A4590A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AHRQ Pub. No. 16</w:t>
                            </w:r>
                            <w:r w:rsidR="006A5E7E">
                              <w:rPr>
                                <w:sz w:val="20"/>
                                <w:szCs w:val="20"/>
                              </w:rPr>
                              <w:t>(17)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-0018-46-EF</w:t>
                            </w:r>
                          </w:p>
                          <w:p w:rsidR="00A4590A" w:rsidRPr="00A4590A" w:rsidRDefault="006A5E7E" w:rsidP="00A4590A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January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9.4pt;margin-top:7.4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" stroked="f">
                <v:textbox style="mso-fit-shape-to-text:t">
                  <w:txbxContent>
                    <w:p w:rsidR="00A4590A" w:rsidRDefault="00A4590A" w:rsidP="00A4590A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AHRQ Pub. No. 16</w:t>
                      </w:r>
                      <w:r w:rsidR="006A5E7E">
                        <w:rPr>
                          <w:sz w:val="20"/>
                          <w:szCs w:val="20"/>
                        </w:rPr>
                        <w:t>(17)</w:t>
                      </w:r>
                      <w:r>
                        <w:rPr>
                          <w:sz w:val="20"/>
                          <w:szCs w:val="20"/>
                        </w:rPr>
                        <w:t>-0018-46-EF</w:t>
                      </w:r>
                    </w:p>
                    <w:p w:rsidR="00A4590A" w:rsidRPr="00A4590A" w:rsidRDefault="006A5E7E" w:rsidP="00A4590A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January 2017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B55718" w:rsidSect="00AB12D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D17" w:rsidRDefault="00F05D17" w:rsidP="00BA1456">
      <w:r>
        <w:separator/>
      </w:r>
    </w:p>
  </w:endnote>
  <w:endnote w:type="continuationSeparator" w:id="0">
    <w:p w:rsidR="00F05D17" w:rsidRDefault="00F05D17" w:rsidP="00BA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9D" w:rsidRDefault="0094289D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6FBC9F4" wp14:editId="647F8B34">
          <wp:simplePos x="0" y="0"/>
          <wp:positionH relativeFrom="column">
            <wp:posOffset>-923925</wp:posOffset>
          </wp:positionH>
          <wp:positionV relativeFrom="paragraph">
            <wp:posOffset>-210820</wp:posOffset>
          </wp:positionV>
          <wp:extent cx="7772400" cy="710565"/>
          <wp:effectExtent l="0" t="0" r="0" b="0"/>
          <wp:wrapNone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174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D17" w:rsidRDefault="00F05D17" w:rsidP="00BA1456">
      <w:r>
        <w:separator/>
      </w:r>
    </w:p>
  </w:footnote>
  <w:footnote w:type="continuationSeparator" w:id="0">
    <w:p w:rsidR="00F05D17" w:rsidRDefault="00F05D17" w:rsidP="00BA1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9D" w:rsidRDefault="0094289D" w:rsidP="0094289D">
    <w:pPr>
      <w:pStyle w:val="Header"/>
      <w:jc w:val="center"/>
      <w:rPr>
        <w:b/>
        <w:color w:val="FFFFFF" w:themeColor="background1"/>
        <w:sz w:val="48"/>
        <w:szCs w:val="48"/>
      </w:rPr>
    </w:pPr>
    <w:r w:rsidRPr="0094289D">
      <w:rPr>
        <w:b/>
        <w:noProof/>
        <w:color w:val="FFFFFF" w:themeColor="background1"/>
        <w:sz w:val="48"/>
        <w:szCs w:val="48"/>
      </w:rPr>
      <w:drawing>
        <wp:anchor distT="0" distB="0" distL="114300" distR="114300" simplePos="0" relativeHeight="251659264" behindDoc="1" locked="0" layoutInCell="1" allowOverlap="1" wp14:anchorId="11F18B88" wp14:editId="7A82AD34">
          <wp:simplePos x="0" y="0"/>
          <wp:positionH relativeFrom="column">
            <wp:posOffset>-923925</wp:posOffset>
          </wp:positionH>
          <wp:positionV relativeFrom="paragraph">
            <wp:posOffset>-798830</wp:posOffset>
          </wp:positionV>
          <wp:extent cx="7772400" cy="2056130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5768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205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289D">
      <w:rPr>
        <w:b/>
        <w:color w:val="FFFFFF" w:themeColor="background1"/>
        <w:sz w:val="48"/>
        <w:szCs w:val="48"/>
      </w:rPr>
      <w:t xml:space="preserve">AHRQ Safety Program for </w:t>
    </w:r>
  </w:p>
  <w:p w:rsidR="00E7378B" w:rsidRPr="0094289D" w:rsidRDefault="0094289D" w:rsidP="0094289D">
    <w:pPr>
      <w:pStyle w:val="Header"/>
      <w:jc w:val="center"/>
      <w:rPr>
        <w:b/>
        <w:sz w:val="48"/>
        <w:szCs w:val="48"/>
      </w:rPr>
    </w:pPr>
    <w:r w:rsidRPr="0094289D">
      <w:rPr>
        <w:b/>
        <w:color w:val="FFFFFF" w:themeColor="background1"/>
        <w:sz w:val="48"/>
        <w:szCs w:val="48"/>
      </w:rPr>
      <w:t>Mechanically Ventilated Patients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97.6pt;height:691.4pt" o:bullet="t">
        <v:imagedata r:id="rId1" o:title="Lightbulb_by_Trixyrogue[1]"/>
      </v:shape>
    </w:pict>
  </w:numPicBullet>
  <w:abstractNum w:abstractNumId="0">
    <w:nsid w:val="1A991EA7"/>
    <w:multiLevelType w:val="hybridMultilevel"/>
    <w:tmpl w:val="21620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A16AD"/>
    <w:multiLevelType w:val="hybridMultilevel"/>
    <w:tmpl w:val="251E7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A209B"/>
    <w:multiLevelType w:val="hybridMultilevel"/>
    <w:tmpl w:val="BED69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E092C"/>
    <w:multiLevelType w:val="hybridMultilevel"/>
    <w:tmpl w:val="CD641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32751D"/>
    <w:multiLevelType w:val="hybridMultilevel"/>
    <w:tmpl w:val="3F260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C4223"/>
    <w:multiLevelType w:val="hybridMultilevel"/>
    <w:tmpl w:val="CDC820CA"/>
    <w:lvl w:ilvl="0" w:tplc="530439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1643CE"/>
    <w:multiLevelType w:val="hybridMultilevel"/>
    <w:tmpl w:val="BB34733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44E"/>
    <w:rsid w:val="000004DA"/>
    <w:rsid w:val="0000715E"/>
    <w:rsid w:val="0003396A"/>
    <w:rsid w:val="00047642"/>
    <w:rsid w:val="00052AC0"/>
    <w:rsid w:val="0008126A"/>
    <w:rsid w:val="000D1547"/>
    <w:rsid w:val="000E0560"/>
    <w:rsid w:val="000E1D32"/>
    <w:rsid w:val="000F1584"/>
    <w:rsid w:val="000F74F9"/>
    <w:rsid w:val="00132A13"/>
    <w:rsid w:val="00134101"/>
    <w:rsid w:val="001B2879"/>
    <w:rsid w:val="001B4FC1"/>
    <w:rsid w:val="001E3ED5"/>
    <w:rsid w:val="0021524F"/>
    <w:rsid w:val="00257F2E"/>
    <w:rsid w:val="0028388F"/>
    <w:rsid w:val="002A539A"/>
    <w:rsid w:val="002B6800"/>
    <w:rsid w:val="002D0240"/>
    <w:rsid w:val="002D0890"/>
    <w:rsid w:val="002D2B92"/>
    <w:rsid w:val="002F191E"/>
    <w:rsid w:val="002F481C"/>
    <w:rsid w:val="0030359C"/>
    <w:rsid w:val="00306154"/>
    <w:rsid w:val="00311B55"/>
    <w:rsid w:val="003925EB"/>
    <w:rsid w:val="003A1005"/>
    <w:rsid w:val="003B08CD"/>
    <w:rsid w:val="003C021B"/>
    <w:rsid w:val="003C7082"/>
    <w:rsid w:val="003E435D"/>
    <w:rsid w:val="0040354D"/>
    <w:rsid w:val="004A6B4A"/>
    <w:rsid w:val="0050088C"/>
    <w:rsid w:val="0051474D"/>
    <w:rsid w:val="00516535"/>
    <w:rsid w:val="00534F9F"/>
    <w:rsid w:val="005473A8"/>
    <w:rsid w:val="00554F76"/>
    <w:rsid w:val="00556643"/>
    <w:rsid w:val="00556A78"/>
    <w:rsid w:val="00560144"/>
    <w:rsid w:val="00577924"/>
    <w:rsid w:val="005D5BFC"/>
    <w:rsid w:val="00605264"/>
    <w:rsid w:val="00617A07"/>
    <w:rsid w:val="006278CA"/>
    <w:rsid w:val="00652C82"/>
    <w:rsid w:val="00657041"/>
    <w:rsid w:val="00671537"/>
    <w:rsid w:val="00674537"/>
    <w:rsid w:val="006A23D6"/>
    <w:rsid w:val="006A5E7E"/>
    <w:rsid w:val="006E2DE6"/>
    <w:rsid w:val="006F22C9"/>
    <w:rsid w:val="00700AC6"/>
    <w:rsid w:val="00711DAC"/>
    <w:rsid w:val="0072295C"/>
    <w:rsid w:val="00741E2C"/>
    <w:rsid w:val="007578AF"/>
    <w:rsid w:val="00770B8B"/>
    <w:rsid w:val="007A4B7A"/>
    <w:rsid w:val="007C292C"/>
    <w:rsid w:val="007C5F2A"/>
    <w:rsid w:val="008152FA"/>
    <w:rsid w:val="00844C59"/>
    <w:rsid w:val="00852BAF"/>
    <w:rsid w:val="00861AB9"/>
    <w:rsid w:val="00864660"/>
    <w:rsid w:val="00867BB6"/>
    <w:rsid w:val="00870993"/>
    <w:rsid w:val="00896BE0"/>
    <w:rsid w:val="008A05EC"/>
    <w:rsid w:val="008C026E"/>
    <w:rsid w:val="008E4BA2"/>
    <w:rsid w:val="008E7064"/>
    <w:rsid w:val="009010E8"/>
    <w:rsid w:val="00903559"/>
    <w:rsid w:val="00906828"/>
    <w:rsid w:val="0091408F"/>
    <w:rsid w:val="00914530"/>
    <w:rsid w:val="0093777F"/>
    <w:rsid w:val="0094289D"/>
    <w:rsid w:val="0095365E"/>
    <w:rsid w:val="0098678D"/>
    <w:rsid w:val="009A6CC6"/>
    <w:rsid w:val="009D7605"/>
    <w:rsid w:val="009F4C2A"/>
    <w:rsid w:val="00A21C58"/>
    <w:rsid w:val="00A23B9E"/>
    <w:rsid w:val="00A31534"/>
    <w:rsid w:val="00A43752"/>
    <w:rsid w:val="00A450B6"/>
    <w:rsid w:val="00A4590A"/>
    <w:rsid w:val="00A50462"/>
    <w:rsid w:val="00A57959"/>
    <w:rsid w:val="00A640D5"/>
    <w:rsid w:val="00A73F51"/>
    <w:rsid w:val="00A95546"/>
    <w:rsid w:val="00AA6374"/>
    <w:rsid w:val="00AB12D0"/>
    <w:rsid w:val="00AC7466"/>
    <w:rsid w:val="00AD7C17"/>
    <w:rsid w:val="00B54819"/>
    <w:rsid w:val="00B55718"/>
    <w:rsid w:val="00B66C64"/>
    <w:rsid w:val="00B8168C"/>
    <w:rsid w:val="00B931C8"/>
    <w:rsid w:val="00BA1456"/>
    <w:rsid w:val="00BA72A9"/>
    <w:rsid w:val="00BC1317"/>
    <w:rsid w:val="00BC1925"/>
    <w:rsid w:val="00BC5225"/>
    <w:rsid w:val="00BD6C40"/>
    <w:rsid w:val="00BE16A5"/>
    <w:rsid w:val="00C06C0E"/>
    <w:rsid w:val="00C15451"/>
    <w:rsid w:val="00C15780"/>
    <w:rsid w:val="00C62F15"/>
    <w:rsid w:val="00CA0488"/>
    <w:rsid w:val="00CA6CF3"/>
    <w:rsid w:val="00CB79D8"/>
    <w:rsid w:val="00CC644E"/>
    <w:rsid w:val="00CD46D5"/>
    <w:rsid w:val="00CD5434"/>
    <w:rsid w:val="00CE66F9"/>
    <w:rsid w:val="00D1498A"/>
    <w:rsid w:val="00D15B15"/>
    <w:rsid w:val="00D15D8F"/>
    <w:rsid w:val="00D4452D"/>
    <w:rsid w:val="00D8036A"/>
    <w:rsid w:val="00D879D6"/>
    <w:rsid w:val="00D91D92"/>
    <w:rsid w:val="00DA4ECD"/>
    <w:rsid w:val="00DB165E"/>
    <w:rsid w:val="00DB71F5"/>
    <w:rsid w:val="00DC6235"/>
    <w:rsid w:val="00DC7195"/>
    <w:rsid w:val="00DD6212"/>
    <w:rsid w:val="00DE2668"/>
    <w:rsid w:val="00DE5B9B"/>
    <w:rsid w:val="00DF4B7F"/>
    <w:rsid w:val="00DF5797"/>
    <w:rsid w:val="00E06E62"/>
    <w:rsid w:val="00E14C81"/>
    <w:rsid w:val="00E33DA5"/>
    <w:rsid w:val="00E5157B"/>
    <w:rsid w:val="00E60579"/>
    <w:rsid w:val="00E63FAE"/>
    <w:rsid w:val="00E7378B"/>
    <w:rsid w:val="00E856C0"/>
    <w:rsid w:val="00E92AEA"/>
    <w:rsid w:val="00EA266A"/>
    <w:rsid w:val="00EA54FF"/>
    <w:rsid w:val="00EB3829"/>
    <w:rsid w:val="00EB5301"/>
    <w:rsid w:val="00EC7814"/>
    <w:rsid w:val="00ED6D74"/>
    <w:rsid w:val="00EE437C"/>
    <w:rsid w:val="00EF1052"/>
    <w:rsid w:val="00F05D17"/>
    <w:rsid w:val="00F109D6"/>
    <w:rsid w:val="00F10C60"/>
    <w:rsid w:val="00F14EB7"/>
    <w:rsid w:val="00F87BF1"/>
    <w:rsid w:val="00FA0C17"/>
    <w:rsid w:val="00FA5767"/>
    <w:rsid w:val="00FC3B6C"/>
    <w:rsid w:val="00FD3C0D"/>
    <w:rsid w:val="00FE4E74"/>
    <w:rsid w:val="00FE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05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1B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5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E0560"/>
    <w:pPr>
      <w:spacing w:line="259" w:lineRule="auto"/>
      <w:outlineLvl w:val="9"/>
    </w:pPr>
  </w:style>
  <w:style w:type="paragraph" w:styleId="ListParagraph">
    <w:name w:val="List Paragraph"/>
    <w:basedOn w:val="Normal"/>
    <w:uiPriority w:val="34"/>
    <w:qFormat/>
    <w:rsid w:val="008E4BA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11B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FD3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74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466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6F22C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F22C9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F22C9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BA1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14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456"/>
  </w:style>
  <w:style w:type="paragraph" w:styleId="Footer">
    <w:name w:val="footer"/>
    <w:basedOn w:val="Normal"/>
    <w:link w:val="FooterChar"/>
    <w:uiPriority w:val="99"/>
    <w:unhideWhenUsed/>
    <w:rsid w:val="00BA14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456"/>
  </w:style>
  <w:style w:type="character" w:styleId="CommentReference">
    <w:name w:val="annotation reference"/>
    <w:basedOn w:val="DefaultParagraphFont"/>
    <w:uiPriority w:val="99"/>
    <w:semiHidden/>
    <w:unhideWhenUsed/>
    <w:rsid w:val="00CD4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6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6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6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D46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05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1B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5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E0560"/>
    <w:pPr>
      <w:spacing w:line="259" w:lineRule="auto"/>
      <w:outlineLvl w:val="9"/>
    </w:pPr>
  </w:style>
  <w:style w:type="paragraph" w:styleId="ListParagraph">
    <w:name w:val="List Paragraph"/>
    <w:basedOn w:val="Normal"/>
    <w:uiPriority w:val="34"/>
    <w:qFormat/>
    <w:rsid w:val="008E4BA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11B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FD3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74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466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6F22C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F22C9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F22C9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BA1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14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456"/>
  </w:style>
  <w:style w:type="paragraph" w:styleId="Footer">
    <w:name w:val="footer"/>
    <w:basedOn w:val="Normal"/>
    <w:link w:val="FooterChar"/>
    <w:uiPriority w:val="99"/>
    <w:unhideWhenUsed/>
    <w:rsid w:val="00BA14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456"/>
  </w:style>
  <w:style w:type="character" w:styleId="CommentReference">
    <w:name w:val="annotation reference"/>
    <w:basedOn w:val="DefaultParagraphFont"/>
    <w:uiPriority w:val="99"/>
    <w:semiHidden/>
    <w:unhideWhenUsed/>
    <w:rsid w:val="00CD4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6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6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6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D4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1B49B-9677-4F60-BDA9-1ECB63936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Mayowa Ijagbemi</dc:creator>
  <cp:lastModifiedBy>Chris Heidenrich OCKT</cp:lastModifiedBy>
  <cp:revision>2</cp:revision>
  <cp:lastPrinted>2015-11-06T17:56:00Z</cp:lastPrinted>
  <dcterms:created xsi:type="dcterms:W3CDTF">2017-01-08T05:39:00Z</dcterms:created>
  <dcterms:modified xsi:type="dcterms:W3CDTF">2017-01-08T05:39:00Z</dcterms:modified>
</cp:coreProperties>
</file>