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5F" w:rsidRPr="00033AA9" w:rsidRDefault="0002115F" w:rsidP="0002115F">
      <w:pPr>
        <w:tabs>
          <w:tab w:val="left" w:pos="6720"/>
        </w:tabs>
        <w:jc w:val="center"/>
        <w:rPr>
          <w:b/>
          <w:sz w:val="48"/>
          <w:szCs w:val="48"/>
        </w:rPr>
      </w:pPr>
      <w:r w:rsidRPr="00033AA9">
        <w:rPr>
          <w:b/>
          <w:sz w:val="48"/>
          <w:szCs w:val="48"/>
        </w:rPr>
        <w:t>AHRQ Safety Program for Mechanically Ventilated Patients</w:t>
      </w:r>
    </w:p>
    <w:p w:rsidR="0002115F" w:rsidRDefault="0002115F" w:rsidP="0002115F">
      <w:pPr>
        <w:jc w:val="center"/>
        <w:rPr>
          <w:b/>
          <w:color w:val="215868" w:themeColor="accent5" w:themeShade="80"/>
          <w:spacing w:val="20"/>
          <w:sz w:val="32"/>
          <w:szCs w:val="32"/>
        </w:rPr>
      </w:pPr>
    </w:p>
    <w:p w:rsidR="0002115F" w:rsidRPr="00033AA9" w:rsidRDefault="0002115F" w:rsidP="0002115F">
      <w:pPr>
        <w:jc w:val="center"/>
        <w:rPr>
          <w:b/>
          <w:spacing w:val="20"/>
          <w:sz w:val="32"/>
          <w:szCs w:val="32"/>
        </w:rPr>
      </w:pPr>
      <w:r w:rsidRPr="00033AA9">
        <w:rPr>
          <w:b/>
          <w:spacing w:val="20"/>
          <w:sz w:val="32"/>
          <w:szCs w:val="32"/>
        </w:rPr>
        <w:t>Annual Sustainability Work Plan</w:t>
      </w:r>
    </w:p>
    <w:p w:rsidR="0002115F" w:rsidRPr="00B931C8" w:rsidRDefault="0002115F" w:rsidP="0002115F">
      <w:pPr>
        <w:jc w:val="center"/>
        <w:rPr>
          <w:i/>
          <w:spacing w:val="20"/>
        </w:rPr>
      </w:pPr>
      <w:r w:rsidRPr="00B931C8">
        <w:rPr>
          <w:i/>
          <w:spacing w:val="20"/>
        </w:rPr>
        <w:t>Caring for Mechanically Ventilated Patients</w:t>
      </w:r>
    </w:p>
    <w:p w:rsidR="0002115F" w:rsidRDefault="0002115F" w:rsidP="0002115F">
      <w:pPr>
        <w:rPr>
          <w:b/>
        </w:rPr>
      </w:pPr>
    </w:p>
    <w:p w:rsidR="0002115F" w:rsidRPr="00534F9F" w:rsidRDefault="0002115F" w:rsidP="0002115F">
      <w:pPr>
        <w:jc w:val="center"/>
        <w:rPr>
          <w:color w:val="595959" w:themeColor="text1" w:themeTint="A6"/>
        </w:rPr>
      </w:pPr>
      <w:r w:rsidRPr="00AC7466">
        <w:rPr>
          <w:b/>
        </w:rPr>
        <w:t>Year</w:t>
      </w:r>
      <w:r>
        <w:t xml:space="preserve"> </w:t>
      </w:r>
      <w:r>
        <w:rPr>
          <w:color w:val="595959" w:themeColor="text1" w:themeTint="A6"/>
        </w:rPr>
        <w:t>______________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D879D6">
        <w:rPr>
          <w:b/>
        </w:rPr>
        <w:t>Hospital Name</w:t>
      </w:r>
      <w:r>
        <w:rPr>
          <w:color w:val="595959" w:themeColor="text1" w:themeTint="A6"/>
        </w:rPr>
        <w:tab/>
      </w:r>
      <w:r w:rsidRPr="00FE5C48">
        <w:rPr>
          <w:color w:val="595959" w:themeColor="text1" w:themeTint="A6"/>
        </w:rPr>
        <w:t>____________</w:t>
      </w:r>
      <w:r>
        <w:rPr>
          <w:color w:val="595959" w:themeColor="text1" w:themeTint="A6"/>
        </w:rPr>
        <w:t>____________________________</w:t>
      </w:r>
      <w:r>
        <w:rPr>
          <w:color w:val="595959" w:themeColor="text1" w:themeTint="A6"/>
        </w:rPr>
        <w:tab/>
      </w:r>
      <w:r>
        <w:rPr>
          <w:b/>
        </w:rPr>
        <w:t>Unit</w:t>
      </w:r>
      <w:r>
        <w:rPr>
          <w:color w:val="595959" w:themeColor="text1" w:themeTint="A6"/>
        </w:rPr>
        <w:t xml:space="preserve"> </w:t>
      </w:r>
      <w:r w:rsidRPr="00FE5C48">
        <w:rPr>
          <w:color w:val="595959" w:themeColor="text1" w:themeTint="A6"/>
        </w:rPr>
        <w:t>____________</w:t>
      </w:r>
      <w:r>
        <w:rPr>
          <w:color w:val="595959" w:themeColor="text1" w:themeTint="A6"/>
        </w:rPr>
        <w:t>_______________</w:t>
      </w:r>
    </w:p>
    <w:p w:rsidR="0002115F" w:rsidRDefault="0002115F" w:rsidP="0002115F"/>
    <w:p w:rsidR="0002115F" w:rsidRDefault="0002115F" w:rsidP="0002115F"/>
    <w:p w:rsidR="0002115F" w:rsidRDefault="0002115F" w:rsidP="0002115F">
      <w:pPr>
        <w:jc w:val="center"/>
      </w:pPr>
      <w:r>
        <w:t>This Sustainability Plan template is designed to help you sustain your efforts in the AHRQ Safety Program for Mechanically Ventilated Patients. Below is a recommended list of activities to help keep you on track. Use the Sustainability Plan Timeline portion to set target dates for when you expect to complete each activity.</w:t>
      </w:r>
    </w:p>
    <w:p w:rsidR="0002115F" w:rsidRDefault="0002115F" w:rsidP="0002115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  <w:gridCol w:w="1530"/>
        <w:gridCol w:w="782"/>
        <w:gridCol w:w="783"/>
        <w:gridCol w:w="783"/>
        <w:gridCol w:w="783"/>
        <w:gridCol w:w="782"/>
        <w:gridCol w:w="783"/>
        <w:gridCol w:w="783"/>
        <w:gridCol w:w="783"/>
        <w:gridCol w:w="782"/>
        <w:gridCol w:w="783"/>
        <w:gridCol w:w="783"/>
        <w:gridCol w:w="783"/>
      </w:tblGrid>
      <w:tr w:rsidR="0002115F" w:rsidRPr="00D91D92" w:rsidTr="00A6019F">
        <w:trPr>
          <w:cantSplit/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2115F" w:rsidRPr="00657041" w:rsidRDefault="0002115F" w:rsidP="00A6019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93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244061" w:themeColor="accent1" w:themeShade="80"/>
              <w:right w:val="single" w:sz="2" w:space="0" w:color="auto"/>
            </w:tcBorders>
            <w:shd w:val="clear" w:color="auto" w:fill="auto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2D0240">
              <w:rPr>
                <w:b/>
                <w:sz w:val="20"/>
                <w:szCs w:val="20"/>
              </w:rPr>
              <w:t>Sustainability Plan Timeline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2D0240">
              <w:rPr>
                <w:i/>
                <w:sz w:val="20"/>
                <w:szCs w:val="20"/>
              </w:rPr>
              <w:t>In the cells below, write the date(s) that you intend to complete the activity.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top w:val="single" w:sz="4" w:space="0" w:color="auto"/>
              <w:left w:val="single" w:sz="2" w:space="0" w:color="auto"/>
              <w:bottom w:val="nil"/>
              <w:right w:val="dotted" w:sz="4" w:space="0" w:color="244061" w:themeColor="accent1" w:themeShade="80"/>
            </w:tcBorders>
            <w:shd w:val="clear" w:color="auto" w:fill="244061" w:themeFill="accent1" w:themeFillShade="80"/>
          </w:tcPr>
          <w:p w:rsidR="0002115F" w:rsidRPr="00657041" w:rsidRDefault="0002115F" w:rsidP="00A6019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7041">
              <w:rPr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244061" w:themeColor="accent1" w:themeShade="80"/>
              <w:bottom w:val="nil"/>
              <w:right w:val="single" w:sz="4" w:space="0" w:color="auto"/>
            </w:tcBorders>
            <w:shd w:val="clear" w:color="auto" w:fill="244061" w:themeFill="accent1" w:themeFillShade="80"/>
          </w:tcPr>
          <w:p w:rsidR="0002115F" w:rsidRPr="00657041" w:rsidRDefault="0002115F" w:rsidP="00A6019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7041">
              <w:rPr>
                <w:b/>
                <w:color w:val="FFFFFF" w:themeColor="background1"/>
                <w:sz w:val="20"/>
                <w:szCs w:val="20"/>
              </w:rPr>
              <w:t>Suggested Frequency</w:t>
            </w:r>
          </w:p>
        </w:tc>
        <w:tc>
          <w:tcPr>
            <w:tcW w:w="2348" w:type="dxa"/>
            <w:gridSpan w:val="3"/>
            <w:tcBorders>
              <w:top w:val="nil"/>
              <w:left w:val="single" w:sz="4" w:space="0" w:color="auto"/>
              <w:bottom w:val="single" w:sz="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Quarter 1</w:t>
            </w:r>
          </w:p>
        </w:tc>
        <w:tc>
          <w:tcPr>
            <w:tcW w:w="2348" w:type="dxa"/>
            <w:gridSpan w:val="3"/>
            <w:tcBorders>
              <w:top w:val="nil"/>
              <w:left w:val="single" w:sz="4" w:space="0" w:color="auto"/>
              <w:bottom w:val="single" w:sz="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Quarter 2</w:t>
            </w:r>
          </w:p>
        </w:tc>
        <w:tc>
          <w:tcPr>
            <w:tcW w:w="2348" w:type="dxa"/>
            <w:gridSpan w:val="3"/>
            <w:tcBorders>
              <w:top w:val="nil"/>
              <w:left w:val="single" w:sz="4" w:space="0" w:color="auto"/>
              <w:bottom w:val="single" w:sz="2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Quarter 3</w:t>
            </w:r>
          </w:p>
        </w:tc>
        <w:tc>
          <w:tcPr>
            <w:tcW w:w="2349" w:type="dxa"/>
            <w:gridSpan w:val="3"/>
            <w:tcBorders>
              <w:top w:val="nil"/>
              <w:left w:val="single" w:sz="4" w:space="0" w:color="auto"/>
              <w:bottom w:val="single" w:sz="2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Quarter 4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top w:val="nil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  <w:shd w:val="clear" w:color="auto" w:fill="244061" w:themeFill="accent1" w:themeFillShade="80"/>
          </w:tcPr>
          <w:p w:rsidR="0002115F" w:rsidRPr="00657041" w:rsidRDefault="0002115F" w:rsidP="00A6019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244061" w:themeFill="accent1" w:themeFillShade="80"/>
          </w:tcPr>
          <w:p w:rsidR="0002115F" w:rsidRPr="00657041" w:rsidRDefault="0002115F" w:rsidP="00A6019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Sep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657041" w:rsidRDefault="0002115F" w:rsidP="00A6019F">
            <w:pPr>
              <w:rPr>
                <w:b/>
                <w:sz w:val="20"/>
                <w:szCs w:val="20"/>
              </w:rPr>
            </w:pPr>
            <w:r w:rsidRPr="00657041">
              <w:rPr>
                <w:b/>
                <w:sz w:val="20"/>
                <w:szCs w:val="20"/>
              </w:rPr>
              <w:t>Dec</w:t>
            </w:r>
          </w:p>
        </w:tc>
      </w:tr>
      <w:tr w:rsidR="0002115F" w:rsidRPr="00D91D92" w:rsidTr="00A6019F">
        <w:trPr>
          <w:cantSplit/>
          <w:trHeight w:val="144"/>
        </w:trPr>
        <w:tc>
          <w:tcPr>
            <w:tcW w:w="14973" w:type="dxa"/>
            <w:gridSpan w:val="14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Adaptive Intervention: Comprehensive Unit-based Safety Program (</w:t>
            </w:r>
            <w:r w:rsidRPr="00CA6CF3">
              <w:rPr>
                <w:b/>
                <w:sz w:val="20"/>
                <w:szCs w:val="20"/>
              </w:rPr>
              <w:t>CUSP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162"/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>Educate all new team members on the Science of Safety.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new staff orientation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Reeducate all team members on the Science of Safety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162"/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>Continue to identify defects</w:t>
            </w:r>
            <w:r>
              <w:rPr>
                <w:sz w:val="20"/>
                <w:szCs w:val="20"/>
              </w:rPr>
              <w:t xml:space="preserve"> and update current staff on the Science of Safety.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>At least every 6 months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162"/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 xml:space="preserve">Continue to use the Learning </w:t>
            </w:r>
            <w:r>
              <w:rPr>
                <w:sz w:val="20"/>
                <w:szCs w:val="20"/>
              </w:rPr>
              <w:t>F</w:t>
            </w:r>
            <w:r w:rsidRPr="00AC7466">
              <w:rPr>
                <w:sz w:val="20"/>
                <w:szCs w:val="20"/>
              </w:rPr>
              <w:t>rom Defects Tool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>At least once every 3 months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  <w:trHeight w:val="64"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162"/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 xml:space="preserve">Continue to have monthly CUSP Team meetings and involve your </w:t>
            </w:r>
            <w:r>
              <w:rPr>
                <w:sz w:val="20"/>
                <w:szCs w:val="20"/>
              </w:rPr>
              <w:t>s</w:t>
            </w:r>
            <w:r w:rsidRPr="00AC7466">
              <w:rPr>
                <w:sz w:val="20"/>
                <w:szCs w:val="20"/>
              </w:rPr>
              <w:t xml:space="preserve">enior </w:t>
            </w:r>
            <w:r>
              <w:rPr>
                <w:sz w:val="20"/>
                <w:szCs w:val="20"/>
              </w:rPr>
              <w:t>e</w:t>
            </w:r>
            <w:r w:rsidRPr="00AC7466">
              <w:rPr>
                <w:sz w:val="20"/>
                <w:szCs w:val="20"/>
              </w:rPr>
              <w:t>xecutive.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>Every month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BD184D">
            <w:pPr>
              <w:ind w:left="162"/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 xml:space="preserve">Complete the </w:t>
            </w:r>
            <w:hyperlink r:id="rId7" w:history="1">
              <w:r w:rsidR="00BD184D" w:rsidRPr="002210DF">
                <w:rPr>
                  <w:rStyle w:val="Hyperlink"/>
                  <w:sz w:val="20"/>
                  <w:szCs w:val="20"/>
                </w:rPr>
                <w:t>Sustainability Scorecard</w:t>
              </w:r>
            </w:hyperlink>
            <w:r w:rsidR="00BA3DDB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 w:rsidRPr="00AC7466">
              <w:rPr>
                <w:sz w:val="20"/>
                <w:szCs w:val="20"/>
              </w:rPr>
              <w:t>At least every 6 months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4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  <w:trHeight w:val="144"/>
        </w:trPr>
        <w:tc>
          <w:tcPr>
            <w:tcW w:w="14973" w:type="dxa"/>
            <w:gridSpan w:val="14"/>
            <w:tcBorders>
              <w:left w:val="single" w:sz="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2115F" w:rsidRPr="003925EB" w:rsidRDefault="0002115F" w:rsidP="00A6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Surveillance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BD184D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Collect and monitor monthly ventilator-associated </w:t>
            </w:r>
            <w:r w:rsidR="00BD184D">
              <w:rPr>
                <w:sz w:val="20"/>
                <w:szCs w:val="20"/>
              </w:rPr>
              <w:t>events</w:t>
            </w:r>
            <w:r>
              <w:rPr>
                <w:sz w:val="20"/>
                <w:szCs w:val="20"/>
              </w:rPr>
              <w:t xml:space="preserve"> rates.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4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and monitor objective outcome measure data.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CA6CF3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4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</w:tbl>
    <w:p w:rsidR="0002115F" w:rsidRDefault="0002115F" w:rsidP="0002115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  <w:gridCol w:w="1530"/>
        <w:gridCol w:w="782"/>
        <w:gridCol w:w="783"/>
        <w:gridCol w:w="783"/>
        <w:gridCol w:w="783"/>
        <w:gridCol w:w="782"/>
        <w:gridCol w:w="783"/>
        <w:gridCol w:w="783"/>
        <w:gridCol w:w="783"/>
        <w:gridCol w:w="782"/>
        <w:gridCol w:w="783"/>
        <w:gridCol w:w="783"/>
        <w:gridCol w:w="783"/>
      </w:tblGrid>
      <w:tr w:rsidR="0002115F" w:rsidRPr="00D91D92" w:rsidTr="00A6019F">
        <w:trPr>
          <w:cantSplit/>
          <w:trHeight w:val="144"/>
        </w:trPr>
        <w:tc>
          <w:tcPr>
            <w:tcW w:w="14973" w:type="dxa"/>
            <w:gridSpan w:val="14"/>
            <w:tcBorders>
              <w:left w:val="single" w:sz="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Technical Intervention: Daily Care Processes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8" w:history="1">
              <w:r w:rsidRPr="00FE459E">
                <w:rPr>
                  <w:rStyle w:val="Hyperlink"/>
                  <w:sz w:val="20"/>
                  <w:szCs w:val="20"/>
                </w:rPr>
                <w:t>Daily Care Processes Data Collection Tool</w:t>
              </w:r>
            </w:hyperlink>
            <w:r>
              <w:rPr>
                <w:sz w:val="20"/>
                <w:szCs w:val="20"/>
              </w:rPr>
              <w:t xml:space="preserve">, collect data on and monitor how many of your mechanically ventilated patients receive a </w:t>
            </w:r>
            <w:r w:rsidRPr="00EA266A">
              <w:rPr>
                <w:b/>
                <w:sz w:val="20"/>
                <w:szCs w:val="20"/>
              </w:rPr>
              <w:t xml:space="preserve">RASS </w:t>
            </w:r>
            <w:r>
              <w:rPr>
                <w:b/>
                <w:sz w:val="20"/>
                <w:szCs w:val="20"/>
              </w:rPr>
              <w:t xml:space="preserve">(Richmond Agitation-Sedation Scale) </w:t>
            </w:r>
            <w:r w:rsidRPr="00EA266A">
              <w:rPr>
                <w:b/>
                <w:sz w:val="20"/>
                <w:szCs w:val="20"/>
              </w:rPr>
              <w:t xml:space="preserve">or SAS </w:t>
            </w:r>
            <w:r>
              <w:rPr>
                <w:b/>
                <w:sz w:val="20"/>
                <w:szCs w:val="20"/>
              </w:rPr>
              <w:t xml:space="preserve">(Riker Sedation-Agitation Scale) </w:t>
            </w:r>
            <w:r w:rsidRPr="00EA266A">
              <w:rPr>
                <w:b/>
                <w:sz w:val="20"/>
                <w:szCs w:val="20"/>
              </w:rPr>
              <w:t>sedation assessment.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4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9" w:history="1">
              <w:r w:rsidRPr="00FE459E">
                <w:rPr>
                  <w:rStyle w:val="Hyperlink"/>
                  <w:sz w:val="20"/>
                  <w:szCs w:val="20"/>
                </w:rPr>
                <w:t>Daily Care Processes Data Collection Tool</w:t>
              </w:r>
            </w:hyperlink>
            <w:r>
              <w:rPr>
                <w:sz w:val="20"/>
                <w:szCs w:val="20"/>
              </w:rPr>
              <w:t xml:space="preserve">, collect data on and monitor how many of your mechanically ventilated patients receive a </w:t>
            </w:r>
            <w:r w:rsidRPr="00EA266A">
              <w:rPr>
                <w:b/>
                <w:sz w:val="20"/>
                <w:szCs w:val="20"/>
              </w:rPr>
              <w:t>delirium assessment.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2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4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10" w:history="1">
              <w:r w:rsidRPr="00FE459E">
                <w:rPr>
                  <w:rStyle w:val="Hyperlink"/>
                  <w:sz w:val="20"/>
                  <w:szCs w:val="20"/>
                </w:rPr>
                <w:t>Daily Care Processes Data Collection Tool</w:t>
              </w:r>
            </w:hyperlink>
            <w:r>
              <w:rPr>
                <w:sz w:val="20"/>
                <w:szCs w:val="20"/>
              </w:rPr>
              <w:t xml:space="preserve">, collect data on and monitor how many of your mechanically ventilated patients receive a </w:t>
            </w:r>
            <w:r w:rsidRPr="00EA266A">
              <w:rPr>
                <w:b/>
                <w:sz w:val="20"/>
                <w:szCs w:val="20"/>
              </w:rPr>
              <w:t>spontaneous awakening trial (SAT)</w:t>
            </w:r>
            <w:r w:rsidRPr="00EA266A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4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11" w:history="1">
              <w:r w:rsidRPr="00FE459E">
                <w:rPr>
                  <w:rStyle w:val="Hyperlink"/>
                  <w:sz w:val="20"/>
                  <w:szCs w:val="20"/>
                </w:rPr>
                <w:t>Daily Care Processes Data Collection Tool</w:t>
              </w:r>
            </w:hyperlink>
            <w:r>
              <w:rPr>
                <w:sz w:val="20"/>
                <w:szCs w:val="20"/>
              </w:rPr>
              <w:t xml:space="preserve">, collect data on and monitor how many of your mechanically ventilated patients receive a </w:t>
            </w:r>
            <w:r w:rsidRPr="00EA266A">
              <w:rPr>
                <w:b/>
                <w:sz w:val="20"/>
                <w:szCs w:val="20"/>
              </w:rPr>
              <w:t>spontaneous breathing trial (SBT)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Default="0002115F" w:rsidP="00A6019F">
            <w:pPr>
              <w:rPr>
                <w:sz w:val="20"/>
                <w:szCs w:val="20"/>
              </w:rPr>
            </w:pPr>
            <w:r w:rsidRPr="00FA0C17"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4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  <w:trHeight w:val="144"/>
        </w:trPr>
        <w:tc>
          <w:tcPr>
            <w:tcW w:w="14973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Intervention: Early Mobility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12" w:history="1">
              <w:r w:rsidRPr="00FE459E">
                <w:rPr>
                  <w:rStyle w:val="Hyperlink"/>
                  <w:sz w:val="20"/>
                  <w:szCs w:val="20"/>
                </w:rPr>
                <w:t>Early Mobility Data Collection Tool</w:t>
              </w:r>
            </w:hyperlink>
            <w:r>
              <w:rPr>
                <w:sz w:val="20"/>
                <w:szCs w:val="20"/>
              </w:rPr>
              <w:t xml:space="preserve">, collect data on and monitor how many of your mechanically ventilated patients receive a </w:t>
            </w:r>
            <w:r w:rsidRPr="00EA266A">
              <w:rPr>
                <w:b/>
                <w:sz w:val="20"/>
                <w:szCs w:val="20"/>
              </w:rPr>
              <w:t>RASS or SAS sedation assessment</w:t>
            </w:r>
            <w:r w:rsidRPr="00EA266A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4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13" w:history="1">
              <w:r w:rsidRPr="00FE459E">
                <w:rPr>
                  <w:rStyle w:val="Hyperlink"/>
                  <w:sz w:val="20"/>
                  <w:szCs w:val="20"/>
                </w:rPr>
                <w:t>Early Mobility Data Collection Tool</w:t>
              </w:r>
            </w:hyperlink>
            <w:r>
              <w:rPr>
                <w:sz w:val="20"/>
                <w:szCs w:val="20"/>
              </w:rPr>
              <w:t xml:space="preserve">, collect data on and monitor how many of your mechanically ventilated patients receive a </w:t>
            </w:r>
            <w:r w:rsidRPr="00EA266A">
              <w:rPr>
                <w:b/>
                <w:sz w:val="20"/>
                <w:szCs w:val="20"/>
              </w:rPr>
              <w:t>delirium assessment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4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14" w:history="1">
              <w:r w:rsidRPr="00FE459E">
                <w:rPr>
                  <w:rStyle w:val="Hyperlink"/>
                  <w:sz w:val="20"/>
                  <w:szCs w:val="20"/>
                </w:rPr>
                <w:t>Early Mobility Data Collection Tool</w:t>
              </w:r>
            </w:hyperlink>
            <w:r>
              <w:rPr>
                <w:sz w:val="20"/>
                <w:szCs w:val="20"/>
              </w:rPr>
              <w:t>, collect data on and monitor how many of your patients are achieving a score of 0 in the perceived barrier to achieving a higher level of mobility.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right w:val="single" w:sz="4" w:space="0" w:color="auto"/>
            </w:tcBorders>
            <w:shd w:val="clear" w:color="auto" w:fill="DBE5F1" w:themeFill="accent1" w:themeFillTint="33"/>
          </w:tcPr>
          <w:p w:rsidR="0002115F" w:rsidRPr="00AC7466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4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244061" w:themeColor="accent1" w:themeShade="80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  <w:tr w:rsidR="0002115F" w:rsidRPr="00D91D92" w:rsidTr="00A6019F">
        <w:trPr>
          <w:cantSplit/>
          <w:trHeight w:val="144"/>
        </w:trPr>
        <w:tc>
          <w:tcPr>
            <w:tcW w:w="14973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02115F" w:rsidRPr="00D15B15" w:rsidRDefault="0002115F" w:rsidP="00A6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Intervention: Low Tidal Volume Ventilation</w:t>
            </w:r>
          </w:p>
        </w:tc>
      </w:tr>
      <w:tr w:rsidR="0002115F" w:rsidRPr="00D91D92" w:rsidTr="00A6019F">
        <w:trPr>
          <w:cantSplit/>
        </w:trPr>
        <w:tc>
          <w:tcPr>
            <w:tcW w:w="4050" w:type="dxa"/>
            <w:tcBorders>
              <w:left w:val="single" w:sz="2" w:space="0" w:color="auto"/>
              <w:bottom w:val="single" w:sz="2" w:space="0" w:color="auto"/>
              <w:right w:val="dotted" w:sz="4" w:space="0" w:color="244061" w:themeColor="accent1" w:themeShade="80"/>
            </w:tcBorders>
            <w:shd w:val="clear" w:color="auto" w:fill="DBE5F1" w:themeFill="accent1" w:themeFillTint="33"/>
          </w:tcPr>
          <w:p w:rsidR="0002115F" w:rsidRDefault="0002115F" w:rsidP="00A6019F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</w:t>
            </w:r>
            <w:hyperlink r:id="rId15" w:history="1">
              <w:r w:rsidRPr="00FE459E">
                <w:rPr>
                  <w:rStyle w:val="Hyperlink"/>
                  <w:sz w:val="20"/>
                  <w:szCs w:val="20"/>
                </w:rPr>
                <w:t>Low Tidal Volume Ventilation Tool</w:t>
              </w:r>
            </w:hyperlink>
            <w:r w:rsidR="00FE45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collect data on and monitor whether PEEP (positive end-expiratory pressure), plateau pressure, and tidal volume a</w:t>
            </w:r>
            <w:bookmarkStart w:id="0" w:name="_GoBack"/>
            <w:bookmarkEnd w:id="0"/>
            <w:r>
              <w:rPr>
                <w:sz w:val="20"/>
                <w:szCs w:val="20"/>
              </w:rPr>
              <w:t>re within the recommended ranges.</w:t>
            </w:r>
          </w:p>
        </w:tc>
        <w:tc>
          <w:tcPr>
            <w:tcW w:w="1530" w:type="dxa"/>
            <w:tcBorders>
              <w:left w:val="dotted" w:sz="4" w:space="0" w:color="244061" w:themeColor="accent1" w:themeShade="80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15F" w:rsidRDefault="0002115F" w:rsidP="00A6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consecutive days per quarter</w:t>
            </w: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single" w:sz="4" w:space="0" w:color="auto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  <w:r w:rsidRPr="00636EF8"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92148" wp14:editId="515E839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727710</wp:posOffset>
                      </wp:positionV>
                      <wp:extent cx="3867150" cy="4286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115F" w:rsidRPr="00F05395" w:rsidRDefault="0002115F" w:rsidP="0002115F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5395">
                                    <w:rPr>
                                      <w:sz w:val="20"/>
                                      <w:szCs w:val="20"/>
                                    </w:rPr>
                                    <w:t>AHRQ Pub. No. 16</w:t>
                                  </w:r>
                                  <w:r w:rsidR="00F05395">
                                    <w:rPr>
                                      <w:sz w:val="20"/>
                                      <w:szCs w:val="20"/>
                                    </w:rPr>
                                    <w:t>(17)</w:t>
                                  </w:r>
                                  <w:r w:rsidRPr="00F05395">
                                    <w:rPr>
                                      <w:sz w:val="20"/>
                                      <w:szCs w:val="20"/>
                                    </w:rPr>
                                    <w:t>-0018-47-EF</w:t>
                                  </w:r>
                                </w:p>
                                <w:p w:rsidR="0002115F" w:rsidRPr="00F05395" w:rsidRDefault="00F05395" w:rsidP="0002115F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January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1pt;margin-top:57.3pt;width:30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" filled="f" stroked="f">
                      <v:textbox>
                        <w:txbxContent>
                          <w:p w:rsidR="0002115F" w:rsidRPr="00F05395" w:rsidRDefault="0002115F" w:rsidP="0002115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05395">
                              <w:rPr>
                                <w:sz w:val="20"/>
                                <w:szCs w:val="20"/>
                              </w:rPr>
                              <w:t>AHRQ Pub. No. 16</w:t>
                            </w:r>
                            <w:r w:rsidR="00F05395">
                              <w:rPr>
                                <w:sz w:val="20"/>
                                <w:szCs w:val="20"/>
                              </w:rPr>
                              <w:t>(17)</w:t>
                            </w:r>
                            <w:r w:rsidRPr="00F05395">
                              <w:rPr>
                                <w:sz w:val="20"/>
                                <w:szCs w:val="20"/>
                              </w:rPr>
                              <w:t>-0018-47-EF</w:t>
                            </w:r>
                          </w:p>
                          <w:p w:rsidR="0002115F" w:rsidRPr="00F05395" w:rsidRDefault="00F05395" w:rsidP="0002115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January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single" w:sz="2" w:space="0" w:color="auto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dotted" w:sz="4" w:space="0" w:color="244061" w:themeColor="accent1" w:themeShade="80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244061" w:themeColor="accent1" w:themeShade="80"/>
              <w:left w:val="dotted" w:sz="4" w:space="0" w:color="244061" w:themeColor="accent1" w:themeShade="80"/>
              <w:bottom w:val="single" w:sz="2" w:space="0" w:color="auto"/>
              <w:right w:val="single" w:sz="2" w:space="0" w:color="auto"/>
            </w:tcBorders>
          </w:tcPr>
          <w:p w:rsidR="0002115F" w:rsidRPr="00D91D92" w:rsidRDefault="0002115F" w:rsidP="00A6019F">
            <w:pPr>
              <w:rPr>
                <w:sz w:val="20"/>
                <w:szCs w:val="20"/>
              </w:rPr>
            </w:pPr>
          </w:p>
        </w:tc>
      </w:tr>
    </w:tbl>
    <w:p w:rsidR="000A729D" w:rsidRDefault="000A729D"/>
    <w:sectPr w:rsidR="000A729D" w:rsidSect="0002115F">
      <w:footerReference w:type="default" r:id="rId16"/>
      <w:footerReference w:type="first" r:id="rId17"/>
      <w:pgSz w:w="15840" w:h="12240" w:orient="landscape"/>
      <w:pgMar w:top="432" w:right="432" w:bottom="432" w:left="432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D3" w:rsidRDefault="00780ED3" w:rsidP="0002115F">
      <w:r>
        <w:separator/>
      </w:r>
    </w:p>
  </w:endnote>
  <w:endnote w:type="continuationSeparator" w:id="0">
    <w:p w:rsidR="00780ED3" w:rsidRDefault="00780ED3" w:rsidP="000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5F" w:rsidRPr="0002115F" w:rsidRDefault="0002115F" w:rsidP="0002115F">
    <w:pPr>
      <w:pStyle w:val="Footer"/>
    </w:pPr>
    <w:r>
      <w:t>AHRQ Safety Program for Mechanically Ventilated Patients</w:t>
    </w:r>
    <w:r>
      <w:tab/>
    </w:r>
    <w:r>
      <w:tab/>
    </w:r>
    <w:r>
      <w:tab/>
      <w:t>Annual Sustainability Work Plan</w:t>
    </w:r>
    <w:r>
      <w:tab/>
    </w:r>
    <w:r>
      <w:tab/>
      <w:t xml:space="preserve"> 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5F" w:rsidRPr="0002115F" w:rsidRDefault="0002115F" w:rsidP="0002115F">
    <w:pPr>
      <w:pStyle w:val="Foo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0CD6077" wp14:editId="51FA733C">
          <wp:extent cx="1828800" cy="6217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-AHRQ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D3" w:rsidRDefault="00780ED3" w:rsidP="0002115F">
      <w:r>
        <w:separator/>
      </w:r>
    </w:p>
  </w:footnote>
  <w:footnote w:type="continuationSeparator" w:id="0">
    <w:p w:rsidR="00780ED3" w:rsidRDefault="00780ED3" w:rsidP="0002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5F"/>
    <w:rsid w:val="0002115F"/>
    <w:rsid w:val="000A729D"/>
    <w:rsid w:val="002210DF"/>
    <w:rsid w:val="00294556"/>
    <w:rsid w:val="005831BE"/>
    <w:rsid w:val="00737C59"/>
    <w:rsid w:val="00780ED3"/>
    <w:rsid w:val="00946C37"/>
    <w:rsid w:val="00BA3DDB"/>
    <w:rsid w:val="00BD184D"/>
    <w:rsid w:val="00EA0E82"/>
    <w:rsid w:val="00F05395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15F"/>
  </w:style>
  <w:style w:type="paragraph" w:styleId="Footer">
    <w:name w:val="footer"/>
    <w:basedOn w:val="Normal"/>
    <w:link w:val="FooterChar"/>
    <w:uiPriority w:val="99"/>
    <w:unhideWhenUsed/>
    <w:rsid w:val="00021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5F"/>
  </w:style>
  <w:style w:type="table" w:styleId="TableGrid">
    <w:name w:val="Table Grid"/>
    <w:basedOn w:val="TableNormal"/>
    <w:uiPriority w:val="39"/>
    <w:rsid w:val="0002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1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C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15F"/>
  </w:style>
  <w:style w:type="paragraph" w:styleId="Footer">
    <w:name w:val="footer"/>
    <w:basedOn w:val="Normal"/>
    <w:link w:val="FooterChar"/>
    <w:uiPriority w:val="99"/>
    <w:unhideWhenUsed/>
    <w:rsid w:val="00021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5F"/>
  </w:style>
  <w:style w:type="table" w:styleId="TableGrid">
    <w:name w:val="Table Grid"/>
    <w:basedOn w:val="TableNormal"/>
    <w:uiPriority w:val="39"/>
    <w:rsid w:val="0002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1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C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wysiwyg/professionals/quality-patient-safety/hais/tools/mvp/modules/technical/daily-care-processes-tool.docx" TargetMode="External"/><Relationship Id="rId13" Type="http://schemas.openxmlformats.org/officeDocument/2006/relationships/hyperlink" Target="https://www.ahrq.gov/sites/default/files/wysiwyg/professionals/quality-patient-safety/hais/tools/mvp/modules/technical/early-mobility-tool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hrq.gov/sites/default/files/wysiwyg/professionals/quality-patient-safety/hais/tools/mvp/modules/sustainability/sustainability-scorecard.docx" TargetMode="External"/><Relationship Id="rId12" Type="http://schemas.openxmlformats.org/officeDocument/2006/relationships/hyperlink" Target="https://www.ahrq.gov/sites/default/files/wysiwyg/professionals/quality-patient-safety/hais/tools/mvp/modules/technical/early-mobility-tool.docx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ahrq.gov/sites/default/files/wysiwyg/professionals/quality-patient-safety/hais/tools/mvp/modules/technical/daily-care-processes-tool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hrq.gov/sites/default/files/wysiwyg/professionals/quality-patient-safety/hais/tools/mvp/modules/technical/daily-ltvv-tool.docx" TargetMode="External"/><Relationship Id="rId10" Type="http://schemas.openxmlformats.org/officeDocument/2006/relationships/hyperlink" Target="https://www.ahrq.gov/sites/default/files/wysiwyg/professionals/quality-patient-safety/hais/tools/mvp/modules/technical/daily-care-processes-tool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wysiwyg/professionals/quality-patient-safety/hais/tools/mvp/modules/technical/daily-care-processes-tool.docx" TargetMode="External"/><Relationship Id="rId14" Type="http://schemas.openxmlformats.org/officeDocument/2006/relationships/hyperlink" Target="https://www.ahrq.gov/sites/default/files/wysiwyg/professionals/quality-patient-safety/hais/tools/mvp/modules/technical/early-mobility-tool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2017-01-10T22:18:00Z</dcterms:created>
  <dcterms:modified xsi:type="dcterms:W3CDTF">2017-01-10T22:18:00Z</dcterms:modified>
</cp:coreProperties>
</file>