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0C5F8" w14:textId="69293B8A" w:rsidR="004A368A" w:rsidRDefault="004A368A" w:rsidP="004A368A">
      <w:pPr>
        <w:pStyle w:val="Heading1"/>
      </w:pPr>
      <w:r>
        <w:t>Did You Know?</w:t>
      </w:r>
    </w:p>
    <w:p w14:paraId="15E76DF9" w14:textId="728FBB5F" w:rsidR="004A368A" w:rsidRDefault="004A368A" w:rsidP="004A368A">
      <w:r>
        <w:t xml:space="preserve">Low tidal volume ventilation (LTVV) is one of the interventions specifically designed to prevent ventilator-associated </w:t>
      </w:r>
      <w:r w:rsidR="008F2254">
        <w:t xml:space="preserve">conditions </w:t>
      </w:r>
      <w:r>
        <w:t xml:space="preserve">(VAC).  </w:t>
      </w:r>
    </w:p>
    <w:p w14:paraId="6A72A9BE" w14:textId="284EE559" w:rsidR="004A368A" w:rsidRDefault="004A368A" w:rsidP="004A368A">
      <w:r>
        <w:t>For patients without acute respiratory distress syndrome (ARDS), target the recommended tidal volume of 6–8 mL/kg predicted body weight (PBW).</w:t>
      </w:r>
    </w:p>
    <w:p w14:paraId="4BE6D862" w14:textId="75C15C13" w:rsidR="004A368A" w:rsidRDefault="004A368A" w:rsidP="004A368A">
      <w:r>
        <w:t xml:space="preserve">For patients with ARDS, the recommended tidal volume target is between 4–6 mL/kg PBW. </w:t>
      </w:r>
    </w:p>
    <w:p w14:paraId="7207F2D4" w14:textId="434C97DA" w:rsidR="004A368A" w:rsidRDefault="004A368A" w:rsidP="004A368A">
      <w:r>
        <w:t>Emerging evidence links protective tidal ventilation to decreased incidence of acute lung injury (ALI) and ARDS, as well</w:t>
      </w:r>
      <w:r w:rsidR="0082430F">
        <w:t xml:space="preserve"> as</w:t>
      </w:r>
      <w:r>
        <w:t xml:space="preserve"> decreased time on the ventilator.</w:t>
      </w:r>
    </w:p>
    <w:p w14:paraId="35FB96F1" w14:textId="20873402" w:rsidR="004A368A" w:rsidRDefault="004A368A" w:rsidP="004A368A">
      <w:r>
        <w:t>Use at least 5 cm H2O positive end expiratory pressure (PEEP).</w:t>
      </w:r>
    </w:p>
    <w:p w14:paraId="0FDA72FF" w14:textId="77777777" w:rsidR="004A368A" w:rsidRPr="004A368A" w:rsidRDefault="004A368A" w:rsidP="004A368A">
      <w:pPr>
        <w:pStyle w:val="Heading2"/>
      </w:pPr>
      <w:r w:rsidRPr="004A368A">
        <w:t>Why wait? Initiate LTVV on all patients to prevent ALI and ARDS. Prevent the lung damage that can occur within a few hours of mechanical ventilation at high tidal volume.</w:t>
      </w:r>
    </w:p>
    <w:p w14:paraId="4A7A5323" w14:textId="7EA73038" w:rsidR="004A368A" w:rsidRDefault="52B2E129" w:rsidP="004A368A">
      <w:pPr>
        <w:pStyle w:val="Heading1"/>
      </w:pPr>
      <w:r>
        <w:t xml:space="preserve">What the Evidence Says </w:t>
      </w:r>
    </w:p>
    <w:p w14:paraId="51D44FE3" w14:textId="12ACD0C3" w:rsidR="004A368A" w:rsidRDefault="004A368A" w:rsidP="004A368A">
      <w:pPr>
        <w:pStyle w:val="ListParagraph"/>
        <w:numPr>
          <w:ilvl w:val="0"/>
          <w:numId w:val="46"/>
        </w:numPr>
      </w:pPr>
      <w:r>
        <w:t>Low tidal volume ventilation could shorten the duration of mechanical ventilation in general;</w:t>
      </w:r>
      <w:r w:rsidR="0082430F">
        <w:t xml:space="preserve"> LTVV</w:t>
      </w:r>
      <w:r>
        <w:t xml:space="preserve"> may therefore be an effective strategy to lower ventilator-associated events rates.</w:t>
      </w:r>
      <w:r w:rsidRPr="004A368A">
        <w:rPr>
          <w:vertAlign w:val="superscript"/>
        </w:rPr>
        <w:t>1</w:t>
      </w:r>
    </w:p>
    <w:p w14:paraId="5909A010" w14:textId="5B5A3C5F" w:rsidR="004A368A" w:rsidRDefault="004A368A" w:rsidP="004A368A">
      <w:pPr>
        <w:pStyle w:val="ListParagraph"/>
        <w:numPr>
          <w:ilvl w:val="0"/>
          <w:numId w:val="46"/>
        </w:numPr>
      </w:pPr>
      <w:r>
        <w:t>In patients with healthy lungs, low tidal volume ventilation, moderate PEEP, and repeated recruitment maneuvers can markedly help improve postoperative outcome</w:t>
      </w:r>
      <w:r w:rsidR="0082430F">
        <w:t xml:space="preserve"> in patient</w:t>
      </w:r>
      <w:r w:rsidR="001A5AD2">
        <w:t>s</w:t>
      </w:r>
      <w:r w:rsidR="0082430F">
        <w:t xml:space="preserve"> undergoing abdominal surgery</w:t>
      </w:r>
      <w:r>
        <w:t>.</w:t>
      </w:r>
      <w:r w:rsidRPr="004A368A">
        <w:rPr>
          <w:vertAlign w:val="superscript"/>
        </w:rPr>
        <w:t>2</w:t>
      </w:r>
    </w:p>
    <w:p w14:paraId="614E7587" w14:textId="4A36FFA3" w:rsidR="004A368A" w:rsidRDefault="004A368A" w:rsidP="004A368A">
      <w:pPr>
        <w:pStyle w:val="ListParagraph"/>
        <w:numPr>
          <w:ilvl w:val="0"/>
          <w:numId w:val="46"/>
        </w:numPr>
      </w:pPr>
      <w:r>
        <w:t xml:space="preserve">Low tidal volume ventilation </w:t>
      </w:r>
      <w:r w:rsidR="0082430F">
        <w:t>can</w:t>
      </w:r>
      <w:r>
        <w:t xml:space="preserve"> benefit patients with or without ARDS.</w:t>
      </w:r>
      <w:r w:rsidRPr="004A368A">
        <w:rPr>
          <w:vertAlign w:val="superscript"/>
        </w:rPr>
        <w:t>3</w:t>
      </w:r>
    </w:p>
    <w:p w14:paraId="19FFB594" w14:textId="20A34C1D" w:rsidR="004A368A" w:rsidRDefault="0082430F" w:rsidP="004A368A">
      <w:pPr>
        <w:pStyle w:val="ListParagraph"/>
        <w:numPr>
          <w:ilvl w:val="0"/>
          <w:numId w:val="46"/>
        </w:numPr>
      </w:pPr>
      <w:r>
        <w:t>L</w:t>
      </w:r>
      <w:r w:rsidR="004A368A">
        <w:t xml:space="preserve">ow tidal volume </w:t>
      </w:r>
      <w:r>
        <w:t>can</w:t>
      </w:r>
      <w:r w:rsidR="004A368A">
        <w:t xml:space="preserve"> reduce ARDS progression in patients without ARDS.</w:t>
      </w:r>
      <w:r w:rsidR="004A368A" w:rsidRPr="004A368A">
        <w:rPr>
          <w:vertAlign w:val="superscript"/>
        </w:rPr>
        <w:t>4</w:t>
      </w:r>
    </w:p>
    <w:p w14:paraId="01E5BA13" w14:textId="37FA661C" w:rsidR="004A368A" w:rsidRDefault="004A368A" w:rsidP="004A368A">
      <w:pPr>
        <w:pStyle w:val="ListParagraph"/>
        <w:numPr>
          <w:ilvl w:val="0"/>
          <w:numId w:val="46"/>
        </w:numPr>
      </w:pPr>
      <w:r>
        <w:t xml:space="preserve">Mechanical ventilation with </w:t>
      </w:r>
      <w:r w:rsidR="00E0034F">
        <w:t xml:space="preserve">higher </w:t>
      </w:r>
      <w:r>
        <w:t>tidal volumes contributes to the development of lung injury in patients without ALI at the onset of mechanical ventilation.</w:t>
      </w:r>
      <w:r w:rsidRPr="004A368A">
        <w:rPr>
          <w:vertAlign w:val="superscript"/>
        </w:rPr>
        <w:t>5</w:t>
      </w:r>
    </w:p>
    <w:p w14:paraId="65200D11" w14:textId="77777777" w:rsidR="004A368A" w:rsidRDefault="004A368A" w:rsidP="004A368A">
      <w:pPr>
        <w:pStyle w:val="ListParagraph"/>
        <w:numPr>
          <w:ilvl w:val="0"/>
          <w:numId w:val="46"/>
        </w:numPr>
      </w:pPr>
      <w:r>
        <w:t>Ventilation with low tidal volumes is associated with a lower risk of development of pulmonary complications in patients without ARDS.</w:t>
      </w:r>
      <w:r w:rsidRPr="004A368A">
        <w:rPr>
          <w:vertAlign w:val="superscript"/>
        </w:rPr>
        <w:t>6</w:t>
      </w:r>
    </w:p>
    <w:p w14:paraId="19A23ECA" w14:textId="77777777" w:rsidR="004A368A" w:rsidRDefault="004A368A" w:rsidP="004A368A">
      <w:pPr>
        <w:pStyle w:val="ListParagraph"/>
        <w:numPr>
          <w:ilvl w:val="0"/>
          <w:numId w:val="46"/>
        </w:numPr>
      </w:pPr>
      <w:r>
        <w:t>Strong consideration should be given to limiting large tidal volume, not only in patients with established acute lung injury but also in patients at risk for ALI.</w:t>
      </w:r>
      <w:r w:rsidRPr="004A368A">
        <w:rPr>
          <w:vertAlign w:val="superscript"/>
        </w:rPr>
        <w:t>7</w:t>
      </w:r>
    </w:p>
    <w:p w14:paraId="004F8E4C" w14:textId="77777777" w:rsidR="004A368A" w:rsidRDefault="004A368A" w:rsidP="004A368A">
      <w:pPr>
        <w:pStyle w:val="ListParagraph"/>
        <w:numPr>
          <w:ilvl w:val="0"/>
          <w:numId w:val="46"/>
        </w:numPr>
      </w:pPr>
      <w:r>
        <w:t>The prophylactic protective ventilation strategy can be recommended for almost all mechanically ventilated patients who do not yet have ARDS and particularly those with risk factors to prevent progressive development of lung injury.</w:t>
      </w:r>
      <w:r w:rsidRPr="004A368A">
        <w:rPr>
          <w:vertAlign w:val="superscript"/>
        </w:rPr>
        <w:t>8</w:t>
      </w:r>
    </w:p>
    <w:p w14:paraId="0712B4F5" w14:textId="77777777" w:rsidR="004A368A" w:rsidRDefault="004A368A" w:rsidP="004A368A">
      <w:pPr>
        <w:pStyle w:val="ListParagraph"/>
        <w:numPr>
          <w:ilvl w:val="0"/>
          <w:numId w:val="46"/>
        </w:numPr>
      </w:pPr>
      <w:r>
        <w:t>The use of lower tidal volume should be considered in all mechanically ventilated patients regardless of ALI.</w:t>
      </w:r>
      <w:r w:rsidRPr="004A368A">
        <w:rPr>
          <w:vertAlign w:val="superscript"/>
        </w:rPr>
        <w:t>9</w:t>
      </w:r>
      <w:r>
        <w:t xml:space="preserve"> </w:t>
      </w:r>
    </w:p>
    <w:p w14:paraId="381259E8" w14:textId="77777777" w:rsidR="002A7711" w:rsidRPr="002A7711" w:rsidRDefault="002A7711" w:rsidP="002A7711">
      <w:pPr>
        <w:sectPr w:rsidR="002A7711" w:rsidRPr="002A7711" w:rsidSect="007D13A4">
          <w:headerReference w:type="even" r:id="rId9"/>
          <w:headerReference w:type="default" r:id="rId10"/>
          <w:footerReference w:type="even" r:id="rId11"/>
          <w:footerReference w:type="default" r:id="rId12"/>
          <w:pgSz w:w="12240" w:h="15840"/>
          <w:pgMar w:top="2520" w:right="1440" w:bottom="1296" w:left="1440" w:header="360" w:footer="1008" w:gutter="0"/>
          <w:cols w:space="720"/>
          <w:docGrid w:linePitch="360"/>
        </w:sectPr>
      </w:pPr>
    </w:p>
    <w:p w14:paraId="1BD9A81D" w14:textId="77777777" w:rsidR="004A368A" w:rsidRPr="00E3528B" w:rsidRDefault="004A368A" w:rsidP="004A368A">
      <w:pPr>
        <w:pStyle w:val="Heading1"/>
        <w:rPr>
          <w:rFonts w:ascii="Verdana" w:hAnsi="Verdana"/>
          <w:sz w:val="20"/>
          <w:szCs w:val="18"/>
        </w:rPr>
      </w:pPr>
      <w:r w:rsidRPr="00E3528B">
        <w:lastRenderedPageBreak/>
        <w:t>References</w:t>
      </w:r>
    </w:p>
    <w:p w14:paraId="3A3D37BD" w14:textId="77777777" w:rsidR="004A368A" w:rsidRDefault="004A368A" w:rsidP="004A368A">
      <w:pPr>
        <w:pStyle w:val="ListParagraph"/>
        <w:sectPr w:rsidR="004A368A" w:rsidSect="00C55356">
          <w:headerReference w:type="default" r:id="rId13"/>
          <w:footerReference w:type="default" r:id="rId14"/>
          <w:pgSz w:w="12240" w:h="15840"/>
          <w:pgMar w:top="1440" w:right="1440" w:bottom="1440" w:left="1440" w:header="720" w:footer="720" w:gutter="0"/>
          <w:cols w:space="720"/>
          <w:docGrid w:linePitch="360"/>
        </w:sectPr>
      </w:pPr>
    </w:p>
    <w:p w14:paraId="08130EC5" w14:textId="4AC6732C" w:rsidR="004A368A" w:rsidRPr="008F2254" w:rsidRDefault="004A368A" w:rsidP="004A368A">
      <w:pPr>
        <w:pStyle w:val="ListParagraph"/>
        <w:rPr>
          <w:sz w:val="20"/>
          <w:szCs w:val="20"/>
        </w:rPr>
      </w:pPr>
      <w:r w:rsidRPr="008F2254">
        <w:rPr>
          <w:sz w:val="20"/>
          <w:szCs w:val="20"/>
        </w:rPr>
        <w:lastRenderedPageBreak/>
        <w:t>Klompas M, Branson R, Eichenwald EC, et al. Strategies to prevent ventilator-associated pneumonia in acute care hospitals: 2014 update. Infect Control Hosp Epidemiol. 2014;35(8):915-36. PMID: 25026607.</w:t>
      </w:r>
    </w:p>
    <w:p w14:paraId="5E2A51D0" w14:textId="576659F4" w:rsidR="004A368A" w:rsidRPr="008F2254" w:rsidRDefault="004A368A" w:rsidP="004A368A">
      <w:pPr>
        <w:pStyle w:val="ListParagraph"/>
        <w:rPr>
          <w:sz w:val="20"/>
          <w:szCs w:val="20"/>
        </w:rPr>
      </w:pPr>
      <w:r w:rsidRPr="008F2254">
        <w:rPr>
          <w:sz w:val="20"/>
          <w:szCs w:val="20"/>
        </w:rPr>
        <w:t>Futier E, Godet T, Millot A, et al. Mechanical ventilation in abdominal surgery. Ann Fr Anesth Reanim. 2014;33(7-8):472-5. PMID: 25153670.</w:t>
      </w:r>
    </w:p>
    <w:p w14:paraId="189185E3" w14:textId="77777777" w:rsidR="004A368A" w:rsidRPr="008F2254" w:rsidRDefault="004A368A" w:rsidP="004A368A">
      <w:pPr>
        <w:pStyle w:val="ListParagraph"/>
        <w:rPr>
          <w:sz w:val="20"/>
          <w:szCs w:val="20"/>
        </w:rPr>
      </w:pPr>
      <w:r w:rsidRPr="008F2254">
        <w:rPr>
          <w:sz w:val="20"/>
          <w:szCs w:val="20"/>
        </w:rPr>
        <w:t>Kilickaya O, Gajic O. Initial ventilator settings for critically ill patients. Crit Care. 2013;17(2):123. PMID: 23510269.</w:t>
      </w:r>
    </w:p>
    <w:p w14:paraId="21CA0978" w14:textId="77777777" w:rsidR="004A368A" w:rsidRPr="008F2254" w:rsidRDefault="004A368A" w:rsidP="004A368A">
      <w:pPr>
        <w:pStyle w:val="ListParagraph"/>
        <w:rPr>
          <w:sz w:val="20"/>
          <w:szCs w:val="20"/>
        </w:rPr>
      </w:pPr>
      <w:r w:rsidRPr="008F2254">
        <w:rPr>
          <w:sz w:val="20"/>
          <w:szCs w:val="20"/>
        </w:rPr>
        <w:t>Fuller BM, Mohr NM, Drewry AM, et al. Lower tidal volume at initiation of mechanical ventilation may reduce progression to acute respiratory distress syndrome: A systematic review. Crit Care. 2013;17(1):R11. PMID: 23331507.</w:t>
      </w:r>
    </w:p>
    <w:p w14:paraId="5ED9F651" w14:textId="77777777" w:rsidR="004A368A" w:rsidRPr="008F2254" w:rsidRDefault="004A368A" w:rsidP="004A368A">
      <w:pPr>
        <w:pStyle w:val="ListParagraph"/>
        <w:rPr>
          <w:sz w:val="20"/>
          <w:szCs w:val="20"/>
        </w:rPr>
      </w:pPr>
      <w:r w:rsidRPr="008F2254">
        <w:rPr>
          <w:sz w:val="20"/>
          <w:szCs w:val="20"/>
        </w:rPr>
        <w:t>Determann RM, Royakkers A, Wolthuis EK, et al. Ventilation with lower tidal volumes as compared with conventional tidal volumes for patients without acute lung injury: a preventive randomized controlled trial. Crit Care. 2010;14(1):R1. PMID: 20055989.</w:t>
      </w:r>
    </w:p>
    <w:p w14:paraId="6ACB6454" w14:textId="77777777" w:rsidR="004A368A" w:rsidRPr="008F2254" w:rsidRDefault="004A368A" w:rsidP="004A368A">
      <w:pPr>
        <w:pStyle w:val="ListParagraph"/>
        <w:rPr>
          <w:sz w:val="20"/>
          <w:szCs w:val="20"/>
        </w:rPr>
      </w:pPr>
      <w:r w:rsidRPr="008F2254">
        <w:rPr>
          <w:sz w:val="20"/>
          <w:szCs w:val="20"/>
        </w:rPr>
        <w:lastRenderedPageBreak/>
        <w:t>Neto AS, Simonis FD, Barbas CS, et al. Lung-protective ventilation with low tidal volumes and the occurrence of pulmonary complications in patients without acute respiratory distress syndrome: a systematic review and individual patient data analysis. Crit Care Med. 2015;43(10):2155-63. PMID: 26181219.</w:t>
      </w:r>
    </w:p>
    <w:p w14:paraId="17D4E1BB" w14:textId="77777777" w:rsidR="004A368A" w:rsidRPr="008F2254" w:rsidRDefault="004A368A" w:rsidP="004A368A">
      <w:pPr>
        <w:pStyle w:val="ListParagraph"/>
        <w:rPr>
          <w:sz w:val="20"/>
          <w:szCs w:val="20"/>
        </w:rPr>
      </w:pPr>
      <w:r w:rsidRPr="008F2254">
        <w:rPr>
          <w:sz w:val="20"/>
          <w:szCs w:val="20"/>
        </w:rPr>
        <w:t>Gajic O, Dara SI, Mendez JL, et al. Ventilator-associated lung injury in patients without acute lung injury at the onset of mechanical ventilation. Crit Care Med. 2004;32(9):1817-24. PMID: 15343007.</w:t>
      </w:r>
    </w:p>
    <w:p w14:paraId="5CE4761C" w14:textId="77777777" w:rsidR="004A368A" w:rsidRPr="008F2254" w:rsidRDefault="004A368A" w:rsidP="004A368A">
      <w:pPr>
        <w:pStyle w:val="ListParagraph"/>
        <w:rPr>
          <w:sz w:val="20"/>
          <w:szCs w:val="20"/>
        </w:rPr>
      </w:pPr>
      <w:r w:rsidRPr="008F2254">
        <w:rPr>
          <w:sz w:val="20"/>
          <w:szCs w:val="20"/>
        </w:rPr>
        <w:t>Lellouche F, Lipes J. Prophylactic protective ventilation: lower tidal volumes for all critically ill patients? Intensive Care Med. 2013;39(1):6-15. PMID: 23108608.</w:t>
      </w:r>
    </w:p>
    <w:p w14:paraId="4A06C2DF" w14:textId="46353718" w:rsidR="002A7711" w:rsidRPr="008F2254" w:rsidRDefault="004A368A" w:rsidP="004A368A">
      <w:pPr>
        <w:pStyle w:val="ListParagraph"/>
        <w:rPr>
          <w:sz w:val="20"/>
          <w:szCs w:val="20"/>
        </w:rPr>
      </w:pPr>
      <w:r w:rsidRPr="008F2254">
        <w:rPr>
          <w:sz w:val="20"/>
          <w:szCs w:val="20"/>
        </w:rPr>
        <w:t>Schultz MJ, Haitsma JJ, Slutsky AS, et al. What tidal volumes should be used in patients without acute lung injury? Anesthesiology. 2007;106(6):1226-31. PMID: 17525599.</w:t>
      </w:r>
    </w:p>
    <w:p w14:paraId="084B6211" w14:textId="77777777" w:rsidR="004A368A" w:rsidRDefault="004A368A" w:rsidP="004A368A">
      <w:pPr>
        <w:sectPr w:rsidR="004A368A" w:rsidSect="004A368A">
          <w:type w:val="continuous"/>
          <w:pgSz w:w="12240" w:h="15840"/>
          <w:pgMar w:top="1440" w:right="1440" w:bottom="1440" w:left="1440" w:header="720" w:footer="720" w:gutter="0"/>
          <w:cols w:num="2" w:space="288"/>
          <w:docGrid w:linePitch="360"/>
        </w:sectPr>
      </w:pPr>
    </w:p>
    <w:p w14:paraId="72D3256C" w14:textId="59901A3C" w:rsidR="00D3191B" w:rsidRPr="0008579B" w:rsidRDefault="00D3191B" w:rsidP="00D3191B"/>
    <w:p w14:paraId="17545AEF" w14:textId="77777777" w:rsidR="00E73DB8" w:rsidRDefault="00E73DB8" w:rsidP="00D3191B"/>
    <w:p w14:paraId="42D493FA" w14:textId="4BF31FFD" w:rsidR="00B90494" w:rsidRDefault="00B90494" w:rsidP="00D3191B"/>
    <w:p w14:paraId="703DC405" w14:textId="491F07A6" w:rsidR="00B90494" w:rsidRPr="00315286" w:rsidRDefault="00B90494" w:rsidP="00D3191B">
      <w:bookmarkStart w:id="0" w:name="_GoBack"/>
      <w:bookmarkEnd w:id="0"/>
      <w:r>
        <w:rPr>
          <w:noProof/>
        </w:rPr>
        <mc:AlternateContent>
          <mc:Choice Requires="wps">
            <w:drawing>
              <wp:anchor distT="0" distB="0" distL="114300" distR="114300" simplePos="0" relativeHeight="251659264" behindDoc="0" locked="0" layoutInCell="1" allowOverlap="1" wp14:anchorId="5E1A4670" wp14:editId="36F3F4CB">
                <wp:simplePos x="0" y="0"/>
                <wp:positionH relativeFrom="column">
                  <wp:posOffset>4380865</wp:posOffset>
                </wp:positionH>
                <wp:positionV relativeFrom="paragraph">
                  <wp:posOffset>3237230</wp:posOffset>
                </wp:positionV>
                <wp:extent cx="2286000" cy="45974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66103977" w14:textId="71232E51" w:rsidR="00B90494" w:rsidRPr="00FA7BE2" w:rsidRDefault="00DD5E9F" w:rsidP="00FA7BE2">
                            <w:pPr>
                              <w:pStyle w:val="Footer"/>
                              <w:jc w:val="right"/>
                              <w:rPr>
                                <w:rStyle w:val="Emphasis"/>
                                <w:sz w:val="20"/>
                                <w:szCs w:val="20"/>
                              </w:rPr>
                            </w:pPr>
                            <w:r>
                              <w:rPr>
                                <w:rStyle w:val="Emphasis"/>
                                <w:sz w:val="20"/>
                                <w:szCs w:val="20"/>
                              </w:rPr>
                              <w:t>AHRQ Pub.</w:t>
                            </w:r>
                            <w:r w:rsidR="00B90494" w:rsidRPr="00FA7BE2">
                              <w:rPr>
                                <w:rStyle w:val="Emphasis"/>
                                <w:sz w:val="20"/>
                                <w:szCs w:val="20"/>
                              </w:rPr>
                              <w:t xml:space="preserve"> No. 1</w:t>
                            </w:r>
                            <w:r w:rsidR="00B90494">
                              <w:rPr>
                                <w:rStyle w:val="Emphasis"/>
                                <w:sz w:val="20"/>
                                <w:szCs w:val="20"/>
                              </w:rPr>
                              <w:t>6</w:t>
                            </w:r>
                            <w:r>
                              <w:rPr>
                                <w:rStyle w:val="Emphasis"/>
                                <w:sz w:val="20"/>
                                <w:szCs w:val="20"/>
                              </w:rPr>
                              <w:t>(17)</w:t>
                            </w:r>
                            <w:r w:rsidR="00B90494" w:rsidRPr="00FA7BE2">
                              <w:rPr>
                                <w:rStyle w:val="Emphasis"/>
                                <w:sz w:val="20"/>
                                <w:szCs w:val="20"/>
                              </w:rPr>
                              <w:t>-00</w:t>
                            </w:r>
                            <w:r w:rsidR="00B90494">
                              <w:rPr>
                                <w:rStyle w:val="Emphasis"/>
                                <w:sz w:val="20"/>
                                <w:szCs w:val="20"/>
                              </w:rPr>
                              <w:t>18</w:t>
                            </w:r>
                            <w:r w:rsidR="004A368A">
                              <w:rPr>
                                <w:rStyle w:val="Emphasis"/>
                                <w:sz w:val="20"/>
                                <w:szCs w:val="20"/>
                              </w:rPr>
                              <w:t>-22</w:t>
                            </w:r>
                            <w:r w:rsidR="00B90494" w:rsidRPr="00FA7BE2">
                              <w:rPr>
                                <w:rStyle w:val="Emphasis"/>
                                <w:sz w:val="20"/>
                                <w:szCs w:val="20"/>
                              </w:rPr>
                              <w:t>-EF</w:t>
                            </w:r>
                          </w:p>
                          <w:p w14:paraId="17796678" w14:textId="09C575F9" w:rsidR="00B90494" w:rsidRPr="00FA7BE2" w:rsidRDefault="00DD5E9F" w:rsidP="00FA7BE2">
                            <w:pPr>
                              <w:pStyle w:val="Footer"/>
                              <w:jc w:val="right"/>
                              <w:rPr>
                                <w:rStyle w:val="Emphasis"/>
                                <w:sz w:val="20"/>
                                <w:szCs w:val="20"/>
                              </w:rPr>
                            </w:pPr>
                            <w:r>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44.95pt;margin-top:254.9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" filled="f" stroked="f">
                <v:textbox>
                  <w:txbxContent>
                    <w:p w14:paraId="66103977" w14:textId="71232E51" w:rsidR="00B90494" w:rsidRPr="00FA7BE2" w:rsidRDefault="00DD5E9F" w:rsidP="00FA7BE2">
                      <w:pPr>
                        <w:pStyle w:val="Footer"/>
                        <w:jc w:val="right"/>
                        <w:rPr>
                          <w:rStyle w:val="Emphasis"/>
                          <w:sz w:val="20"/>
                          <w:szCs w:val="20"/>
                        </w:rPr>
                      </w:pPr>
                      <w:r>
                        <w:rPr>
                          <w:rStyle w:val="Emphasis"/>
                          <w:sz w:val="20"/>
                          <w:szCs w:val="20"/>
                        </w:rPr>
                        <w:t>AHRQ Pub.</w:t>
                      </w:r>
                      <w:r w:rsidR="00B90494" w:rsidRPr="00FA7BE2">
                        <w:rPr>
                          <w:rStyle w:val="Emphasis"/>
                          <w:sz w:val="20"/>
                          <w:szCs w:val="20"/>
                        </w:rPr>
                        <w:t xml:space="preserve"> No. 1</w:t>
                      </w:r>
                      <w:r w:rsidR="00B90494">
                        <w:rPr>
                          <w:rStyle w:val="Emphasis"/>
                          <w:sz w:val="20"/>
                          <w:szCs w:val="20"/>
                        </w:rPr>
                        <w:t>6</w:t>
                      </w:r>
                      <w:r>
                        <w:rPr>
                          <w:rStyle w:val="Emphasis"/>
                          <w:sz w:val="20"/>
                          <w:szCs w:val="20"/>
                        </w:rPr>
                        <w:t>(17)</w:t>
                      </w:r>
                      <w:r w:rsidR="00B90494" w:rsidRPr="00FA7BE2">
                        <w:rPr>
                          <w:rStyle w:val="Emphasis"/>
                          <w:sz w:val="20"/>
                          <w:szCs w:val="20"/>
                        </w:rPr>
                        <w:t>-00</w:t>
                      </w:r>
                      <w:r w:rsidR="00B90494">
                        <w:rPr>
                          <w:rStyle w:val="Emphasis"/>
                          <w:sz w:val="20"/>
                          <w:szCs w:val="20"/>
                        </w:rPr>
                        <w:t>18</w:t>
                      </w:r>
                      <w:r w:rsidR="004A368A">
                        <w:rPr>
                          <w:rStyle w:val="Emphasis"/>
                          <w:sz w:val="20"/>
                          <w:szCs w:val="20"/>
                        </w:rPr>
                        <w:t>-22</w:t>
                      </w:r>
                      <w:r w:rsidR="00B90494" w:rsidRPr="00FA7BE2">
                        <w:rPr>
                          <w:rStyle w:val="Emphasis"/>
                          <w:sz w:val="20"/>
                          <w:szCs w:val="20"/>
                        </w:rPr>
                        <w:t>-EF</w:t>
                      </w:r>
                    </w:p>
                    <w:p w14:paraId="17796678" w14:textId="09C575F9" w:rsidR="00B90494" w:rsidRPr="00FA7BE2" w:rsidRDefault="00DD5E9F" w:rsidP="00FA7BE2">
                      <w:pPr>
                        <w:pStyle w:val="Footer"/>
                        <w:jc w:val="right"/>
                        <w:rPr>
                          <w:rStyle w:val="Emphasis"/>
                          <w:sz w:val="20"/>
                          <w:szCs w:val="20"/>
                        </w:rPr>
                      </w:pPr>
                      <w:r>
                        <w:rPr>
                          <w:rStyle w:val="Emphasis"/>
                          <w:sz w:val="20"/>
                          <w:szCs w:val="20"/>
                        </w:rPr>
                        <w:t>January 2017</w:t>
                      </w:r>
                    </w:p>
                  </w:txbxContent>
                </v:textbox>
              </v:shape>
            </w:pict>
          </mc:Fallback>
        </mc:AlternateContent>
      </w:r>
    </w:p>
    <w:sectPr w:rsidR="00B90494" w:rsidRPr="00315286" w:rsidSect="004A368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A678D0" w14:textId="77777777" w:rsidR="00B36967" w:rsidRDefault="00B36967" w:rsidP="004577E8">
      <w:r>
        <w:separator/>
      </w:r>
    </w:p>
  </w:endnote>
  <w:endnote w:type="continuationSeparator" w:id="0">
    <w:p w14:paraId="2FC4EBE7" w14:textId="77777777" w:rsidR="00B36967" w:rsidRDefault="00B36967"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5335E1E2" w:rsidR="00B26141" w:rsidRDefault="00B90494" w:rsidP="004577E8">
    <w:pPr>
      <w:pStyle w:val="Footer"/>
    </w:pPr>
    <w:r>
      <w:rPr>
        <w:noProof/>
      </w:rPr>
      <w:drawing>
        <wp:anchor distT="0" distB="0" distL="114300" distR="114300" simplePos="0" relativeHeight="251665408" behindDoc="1" locked="0" layoutInCell="1" allowOverlap="1" wp14:anchorId="4B269084" wp14:editId="483DF8AF">
          <wp:simplePos x="0" y="0"/>
          <wp:positionH relativeFrom="column">
            <wp:posOffset>-923925</wp:posOffset>
          </wp:positionH>
          <wp:positionV relativeFrom="paragraph">
            <wp:posOffset>-34290</wp:posOffset>
          </wp:positionV>
          <wp:extent cx="7772400" cy="7105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97209" w14:textId="77777777" w:rsidR="00236CB1" w:rsidRPr="00236CB1" w:rsidRDefault="00236CB1" w:rsidP="00FA7BE2">
    <w:pPr>
      <w:pStyle w:val="Footer"/>
      <w:framePr w:wrap="none" w:vAnchor="text" w:hAnchor="page" w:x="11716" w:y="46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DD5E9F">
      <w:rPr>
        <w:rStyle w:val="PageNumber"/>
        <w:noProof/>
        <w:color w:val="FFFFFF" w:themeColor="background1"/>
        <w:sz w:val="20"/>
      </w:rPr>
      <w:t>2</w:t>
    </w:r>
    <w:r w:rsidRPr="00236CB1">
      <w:rPr>
        <w:rStyle w:val="PageNumber"/>
        <w:color w:val="FFFFFF" w:themeColor="background1"/>
        <w:sz w:val="20"/>
      </w:rPr>
      <w:fldChar w:fldCharType="end"/>
    </w:r>
  </w:p>
  <w:p w14:paraId="0350C081" w14:textId="1066CB58" w:rsidR="00B26141" w:rsidRDefault="004A368A"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6EFF9DE1">
              <wp:simplePos x="0" y="0"/>
              <wp:positionH relativeFrom="column">
                <wp:posOffset>5755005</wp:posOffset>
              </wp:positionH>
              <wp:positionV relativeFrom="paragraph">
                <wp:posOffset>228485</wp:posOffset>
              </wp:positionV>
              <wp:extent cx="1047750" cy="4095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47750" cy="409575"/>
                      </a:xfrm>
                      <a:prstGeom prst="rect">
                        <a:avLst/>
                      </a:prstGeom>
                      <a:noFill/>
                      <a:ln>
                        <a:noFill/>
                      </a:ln>
                      <a:effectLst/>
                      <a:extLst>
                        <a:ext uri="{C572A759-6A51-4108-AA02-DFA0A04FC94B}">
                          <ma14:wrappingTextBoxFlag xmlns:ma14="http://schemas.microsoft.com/office/mac/drawingml/2011/main" xmlns:a14="http://schemas.microsoft.com/office/drawing/2010/main" xmlns:pic="http://schemas.openxmlformats.org/drawingml/2006/picture"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2314B67B" w:rsidR="00B26141" w:rsidRPr="004577E8" w:rsidRDefault="004A368A" w:rsidP="004577E8">
                          <w:pPr>
                            <w:pStyle w:val="FooterWhite"/>
                          </w:pPr>
                          <w:r>
                            <w:t>LTVV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0B3B94A" id="_x0000_t202" coordsize="21600,21600" o:spt="202" path="m,l,21600r21600,l21600,xe">
              <v:stroke joinstyle="miter"/>
              <v:path gradientshapeok="t" o:connecttype="rect"/>
            </v:shapetype>
            <v:shape id="Text Box 4" o:spid="_x0000_s1027" type="#_x0000_t202" style="position:absolute;margin-left:453.15pt;margin-top:18pt;width:8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" filled="f" stroked="f">
              <v:textbox>
                <w:txbxContent>
                  <w:p w14:paraId="42198C2A" w14:textId="2314B67B" w:rsidR="00B26141" w:rsidRPr="004577E8" w:rsidRDefault="004A368A" w:rsidP="004577E8">
                    <w:pPr>
                      <w:pStyle w:val="FooterWhite"/>
                    </w:pPr>
                    <w:r>
                      <w:t>LTVV Facts</w:t>
                    </w:r>
                  </w:p>
                </w:txbxContent>
              </v:textbox>
            </v:shape>
          </w:pict>
        </mc:Fallback>
      </mc:AlternateContent>
    </w:r>
    <w:r w:rsidR="00334872" w:rsidRPr="00B5242A">
      <w:rPr>
        <w:noProof/>
      </w:rPr>
      <w:drawing>
        <wp:anchor distT="0" distB="0" distL="114300" distR="114300" simplePos="0" relativeHeight="251667456" behindDoc="1" locked="0" layoutInCell="1" allowOverlap="1" wp14:anchorId="066D9EA0" wp14:editId="2C3CE3DE">
          <wp:simplePos x="0" y="0"/>
          <wp:positionH relativeFrom="column">
            <wp:posOffset>-847725</wp:posOffset>
          </wp:positionH>
          <wp:positionV relativeFrom="paragraph">
            <wp:posOffset>151476</wp:posOffset>
          </wp:positionV>
          <wp:extent cx="7708165" cy="483235"/>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08165" cy="48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494">
      <w:rPr>
        <w:noProof/>
      </w:rPr>
      <mc:AlternateContent>
        <mc:Choice Requires="wps">
          <w:drawing>
            <wp:anchor distT="0" distB="0" distL="114300" distR="114300" simplePos="0" relativeHeight="251672576" behindDoc="0" locked="0" layoutInCell="1" allowOverlap="1" wp14:anchorId="158C1C8C" wp14:editId="2AFE4948">
              <wp:simplePos x="0" y="0"/>
              <wp:positionH relativeFrom="column">
                <wp:posOffset>-123825</wp:posOffset>
              </wp:positionH>
              <wp:positionV relativeFrom="paragraph">
                <wp:posOffset>171450</wp:posOffset>
              </wp:positionV>
              <wp:extent cx="386715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04800"/>
                      </a:xfrm>
                      <a:prstGeom prst="rect">
                        <a:avLst/>
                      </a:prstGeom>
                      <a:solidFill>
                        <a:srgbClr val="FFFFFF"/>
                      </a:solidFill>
                      <a:ln w="9525">
                        <a:noFill/>
                        <a:miter lim="800000"/>
                        <a:headEnd/>
                        <a:tailEnd/>
                      </a:ln>
                    </wps:spPr>
                    <wps:txbx>
                      <w:txbxContent>
                        <w:p w14:paraId="6F4E09BF" w14:textId="49235BA2" w:rsidR="00B90494" w:rsidRPr="00FA7BE2" w:rsidRDefault="00B90494">
                          <w:pPr>
                            <w:rPr>
                              <w:sz w:val="22"/>
                            </w:rPr>
                          </w:pPr>
                          <w:r w:rsidRPr="00FA7BE2">
                            <w:rPr>
                              <w:sz w:val="22"/>
                            </w:rPr>
                            <w:t>AHRQ Safety Program for Mechanically Ventilated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8C1C8C" id="Text Box 2" o:spid="_x0000_s1028" type="#_x0000_t202" style="position:absolute;margin-left:-9.75pt;margin-top:13.5pt;width:304.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" stroked="f">
              <v:textbox>
                <w:txbxContent>
                  <w:p w14:paraId="6F4E09BF" w14:textId="49235BA2" w:rsidR="00B90494" w:rsidRPr="00FA7BE2" w:rsidRDefault="00B90494">
                    <w:pPr>
                      <w:rPr>
                        <w:sz w:val="22"/>
                      </w:rPr>
                    </w:pPr>
                    <w:r w:rsidRPr="00FA7BE2">
                      <w:rPr>
                        <w:sz w:val="22"/>
                      </w:rPr>
                      <w:t>AHRQ Safety Program for Mechanically Ventilated Patients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7F1D6" w14:textId="77777777" w:rsidR="00B36967" w:rsidRDefault="00B36967" w:rsidP="004577E8">
      <w:r>
        <w:separator/>
      </w:r>
    </w:p>
  </w:footnote>
  <w:footnote w:type="continuationSeparator" w:id="0">
    <w:p w14:paraId="28FC2BA4" w14:textId="77777777" w:rsidR="00B36967" w:rsidRDefault="00B36967"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6F5B2B"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0628CBE" w14:textId="77777777" w:rsidR="00080BB5" w:rsidRDefault="00080BB5" w:rsidP="004577E8">
    <w:pPr>
      <w:pStyle w:val="Title"/>
    </w:pPr>
  </w:p>
  <w:p w14:paraId="16244AFB" w14:textId="66B75A23" w:rsidR="00B5242A" w:rsidRPr="00B5242A" w:rsidRDefault="004A368A" w:rsidP="00FA7BE2">
    <w:pPr>
      <w:pStyle w:val="Title"/>
      <w:jc w:val="center"/>
    </w:pPr>
    <w:r>
      <w:t>Low Tidal Volume Ventilation Facts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386AC26F"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A27B5E"/>
    <w:multiLevelType w:val="hybridMultilevel"/>
    <w:tmpl w:val="40A44336"/>
    <w:lvl w:ilvl="0" w:tplc="F8768274">
      <w:start w:val="1"/>
      <w:numFmt w:val="bullet"/>
      <w:lvlText w:val=""/>
      <w:lvlJc w:val="left"/>
      <w:pPr>
        <w:ind w:left="360" w:hanging="360"/>
      </w:pPr>
      <w:rPr>
        <w:rFonts w:ascii="Symbol" w:hAnsi="Symbol" w:hint="default"/>
        <w:color w:val="4BACC6"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36139E"/>
    <w:multiLevelType w:val="hybridMultilevel"/>
    <w:tmpl w:val="EC46DF2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0225F"/>
    <w:multiLevelType w:val="hybridMultilevel"/>
    <w:tmpl w:val="E1BC8F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8">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47053F4"/>
    <w:multiLevelType w:val="hybridMultilevel"/>
    <w:tmpl w:val="E1BC8F40"/>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B05842"/>
    <w:multiLevelType w:val="hybridMultilevel"/>
    <w:tmpl w:val="379CC36C"/>
    <w:lvl w:ilvl="0" w:tplc="F2486FB0">
      <w:start w:val="1"/>
      <w:numFmt w:val="bullet"/>
      <w:lvlText w:val=""/>
      <w:lvlJc w:val="left"/>
      <w:pPr>
        <w:ind w:left="810" w:hanging="360"/>
      </w:pPr>
      <w:rPr>
        <w:rFonts w:ascii="Wingdings" w:hAnsi="Wingdings"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1D4923E9"/>
    <w:multiLevelType w:val="hybridMultilevel"/>
    <w:tmpl w:val="CE2E5822"/>
    <w:lvl w:ilvl="0" w:tplc="F2486FB0">
      <w:start w:val="1"/>
      <w:numFmt w:val="bullet"/>
      <w:lvlText w:val=""/>
      <w:lvlJc w:val="left"/>
      <w:pPr>
        <w:ind w:left="1800" w:hanging="360"/>
      </w:pPr>
      <w:rPr>
        <w:rFonts w:ascii="Wingdings" w:hAnsi="Wingdings"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E6E1917"/>
    <w:multiLevelType w:val="hybridMultilevel"/>
    <w:tmpl w:val="810039D6"/>
    <w:lvl w:ilvl="0" w:tplc="EFD08ED8">
      <w:start w:val="1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B771F9"/>
    <w:multiLevelType w:val="hybridMultilevel"/>
    <w:tmpl w:val="F9086EAA"/>
    <w:lvl w:ilvl="0" w:tplc="F2486FB0">
      <w:start w:val="1"/>
      <w:numFmt w:val="bullet"/>
      <w:lvlText w:val=""/>
      <w:lvlJc w:val="left"/>
      <w:pPr>
        <w:ind w:left="153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38517F"/>
    <w:multiLevelType w:val="hybridMultilevel"/>
    <w:tmpl w:val="721C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52474E7"/>
    <w:multiLevelType w:val="hybridMultilevel"/>
    <w:tmpl w:val="31C84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031B02"/>
    <w:multiLevelType w:val="hybridMultilevel"/>
    <w:tmpl w:val="DA5A5578"/>
    <w:lvl w:ilvl="0" w:tplc="8E06EA36">
      <w:start w:val="1"/>
      <w:numFmt w:val="decimal"/>
      <w:lvlText w:val="%1."/>
      <w:lvlJc w:val="left"/>
      <w:pPr>
        <w:ind w:left="360" w:hanging="360"/>
      </w:pPr>
      <w:rPr>
        <w:rFonts w:ascii="Verdana" w:hAnsi="Verdana"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356CC0"/>
    <w:multiLevelType w:val="hybridMultilevel"/>
    <w:tmpl w:val="DBB42F7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923443"/>
    <w:multiLevelType w:val="hybridMultilevel"/>
    <w:tmpl w:val="46C2D6CE"/>
    <w:lvl w:ilvl="0" w:tplc="F2486FB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8716126"/>
    <w:multiLevelType w:val="hybridMultilevel"/>
    <w:tmpl w:val="5F00F722"/>
    <w:lvl w:ilvl="0" w:tplc="D176124C">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EFD7B95"/>
    <w:multiLevelType w:val="hybridMultilevel"/>
    <w:tmpl w:val="B366D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FA6C98"/>
    <w:multiLevelType w:val="hybridMultilevel"/>
    <w:tmpl w:val="49E8CE80"/>
    <w:lvl w:ilvl="0" w:tplc="4BA0B4C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18B7D14"/>
    <w:multiLevelType w:val="hybridMultilevel"/>
    <w:tmpl w:val="74E61604"/>
    <w:lvl w:ilvl="0" w:tplc="F320D378">
      <w:start w:val="1"/>
      <w:numFmt w:val="bullet"/>
      <w:lvlText w:val="•"/>
      <w:lvlJc w:val="left"/>
      <w:pPr>
        <w:tabs>
          <w:tab w:val="num" w:pos="720"/>
        </w:tabs>
        <w:ind w:left="720" w:hanging="360"/>
      </w:pPr>
      <w:rPr>
        <w:rFonts w:ascii="Arial" w:hAnsi="Arial" w:hint="default"/>
      </w:rPr>
    </w:lvl>
    <w:lvl w:ilvl="1" w:tplc="EBC68856" w:tentative="1">
      <w:start w:val="1"/>
      <w:numFmt w:val="bullet"/>
      <w:lvlText w:val="•"/>
      <w:lvlJc w:val="left"/>
      <w:pPr>
        <w:tabs>
          <w:tab w:val="num" w:pos="1440"/>
        </w:tabs>
        <w:ind w:left="1440" w:hanging="360"/>
      </w:pPr>
      <w:rPr>
        <w:rFonts w:ascii="Arial" w:hAnsi="Arial" w:hint="default"/>
      </w:rPr>
    </w:lvl>
    <w:lvl w:ilvl="2" w:tplc="F030FDF4" w:tentative="1">
      <w:start w:val="1"/>
      <w:numFmt w:val="bullet"/>
      <w:lvlText w:val="•"/>
      <w:lvlJc w:val="left"/>
      <w:pPr>
        <w:tabs>
          <w:tab w:val="num" w:pos="2160"/>
        </w:tabs>
        <w:ind w:left="2160" w:hanging="360"/>
      </w:pPr>
      <w:rPr>
        <w:rFonts w:ascii="Arial" w:hAnsi="Arial" w:hint="default"/>
      </w:rPr>
    </w:lvl>
    <w:lvl w:ilvl="3" w:tplc="1A2EA1A2" w:tentative="1">
      <w:start w:val="1"/>
      <w:numFmt w:val="bullet"/>
      <w:lvlText w:val="•"/>
      <w:lvlJc w:val="left"/>
      <w:pPr>
        <w:tabs>
          <w:tab w:val="num" w:pos="2880"/>
        </w:tabs>
        <w:ind w:left="2880" w:hanging="360"/>
      </w:pPr>
      <w:rPr>
        <w:rFonts w:ascii="Arial" w:hAnsi="Arial" w:hint="default"/>
      </w:rPr>
    </w:lvl>
    <w:lvl w:ilvl="4" w:tplc="54D29570" w:tentative="1">
      <w:start w:val="1"/>
      <w:numFmt w:val="bullet"/>
      <w:lvlText w:val="•"/>
      <w:lvlJc w:val="left"/>
      <w:pPr>
        <w:tabs>
          <w:tab w:val="num" w:pos="3600"/>
        </w:tabs>
        <w:ind w:left="3600" w:hanging="360"/>
      </w:pPr>
      <w:rPr>
        <w:rFonts w:ascii="Arial" w:hAnsi="Arial" w:hint="default"/>
      </w:rPr>
    </w:lvl>
    <w:lvl w:ilvl="5" w:tplc="8FA663C4" w:tentative="1">
      <w:start w:val="1"/>
      <w:numFmt w:val="bullet"/>
      <w:lvlText w:val="•"/>
      <w:lvlJc w:val="left"/>
      <w:pPr>
        <w:tabs>
          <w:tab w:val="num" w:pos="4320"/>
        </w:tabs>
        <w:ind w:left="4320" w:hanging="360"/>
      </w:pPr>
      <w:rPr>
        <w:rFonts w:ascii="Arial" w:hAnsi="Arial" w:hint="default"/>
      </w:rPr>
    </w:lvl>
    <w:lvl w:ilvl="6" w:tplc="BE7C4D98" w:tentative="1">
      <w:start w:val="1"/>
      <w:numFmt w:val="bullet"/>
      <w:lvlText w:val="•"/>
      <w:lvlJc w:val="left"/>
      <w:pPr>
        <w:tabs>
          <w:tab w:val="num" w:pos="5040"/>
        </w:tabs>
        <w:ind w:left="5040" w:hanging="360"/>
      </w:pPr>
      <w:rPr>
        <w:rFonts w:ascii="Arial" w:hAnsi="Arial" w:hint="default"/>
      </w:rPr>
    </w:lvl>
    <w:lvl w:ilvl="7" w:tplc="12BE5384" w:tentative="1">
      <w:start w:val="1"/>
      <w:numFmt w:val="bullet"/>
      <w:lvlText w:val="•"/>
      <w:lvlJc w:val="left"/>
      <w:pPr>
        <w:tabs>
          <w:tab w:val="num" w:pos="5760"/>
        </w:tabs>
        <w:ind w:left="5760" w:hanging="360"/>
      </w:pPr>
      <w:rPr>
        <w:rFonts w:ascii="Arial" w:hAnsi="Arial" w:hint="default"/>
      </w:rPr>
    </w:lvl>
    <w:lvl w:ilvl="8" w:tplc="82E4C82C" w:tentative="1">
      <w:start w:val="1"/>
      <w:numFmt w:val="bullet"/>
      <w:lvlText w:val="•"/>
      <w:lvlJc w:val="left"/>
      <w:pPr>
        <w:tabs>
          <w:tab w:val="num" w:pos="6480"/>
        </w:tabs>
        <w:ind w:left="6480" w:hanging="360"/>
      </w:pPr>
      <w:rPr>
        <w:rFonts w:ascii="Arial" w:hAnsi="Arial" w:hint="default"/>
      </w:rPr>
    </w:lvl>
  </w:abstractNum>
  <w:abstractNum w:abstractNumId="32">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A50EED"/>
    <w:multiLevelType w:val="hybridMultilevel"/>
    <w:tmpl w:val="2AA20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36">
    <w:nsid w:val="6593720B"/>
    <w:multiLevelType w:val="hybridMultilevel"/>
    <w:tmpl w:val="D528D79E"/>
    <w:lvl w:ilvl="0" w:tplc="8AE88E2C">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FC6F51"/>
    <w:multiLevelType w:val="hybridMultilevel"/>
    <w:tmpl w:val="76E000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326F62"/>
    <w:multiLevelType w:val="hybridMultilevel"/>
    <w:tmpl w:val="C416F7F0"/>
    <w:lvl w:ilvl="0" w:tplc="409AE896">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3B37992"/>
    <w:multiLevelType w:val="hybridMultilevel"/>
    <w:tmpl w:val="3CB40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523F62"/>
    <w:multiLevelType w:val="hybridMultilevel"/>
    <w:tmpl w:val="B640247A"/>
    <w:lvl w:ilvl="0" w:tplc="F2486FB0">
      <w:start w:val="1"/>
      <w:numFmt w:val="bullet"/>
      <w:lvlText w:val=""/>
      <w:lvlJc w:val="left"/>
      <w:pPr>
        <w:ind w:left="810" w:hanging="360"/>
      </w:pPr>
      <w:rPr>
        <w:rFonts w:ascii="Wingdings" w:hAnsi="Wingdings"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7"/>
  </w:num>
  <w:num w:numId="3">
    <w:abstractNumId w:val="10"/>
  </w:num>
  <w:num w:numId="4">
    <w:abstractNumId w:val="21"/>
  </w:num>
  <w:num w:numId="5">
    <w:abstractNumId w:val="19"/>
  </w:num>
  <w:num w:numId="6">
    <w:abstractNumId w:val="44"/>
  </w:num>
  <w:num w:numId="7">
    <w:abstractNumId w:val="33"/>
  </w:num>
  <w:num w:numId="8">
    <w:abstractNumId w:val="16"/>
  </w:num>
  <w:num w:numId="9">
    <w:abstractNumId w:val="39"/>
  </w:num>
  <w:num w:numId="10">
    <w:abstractNumId w:val="38"/>
  </w:num>
  <w:num w:numId="11">
    <w:abstractNumId w:val="4"/>
  </w:num>
  <w:num w:numId="12">
    <w:abstractNumId w:val="18"/>
  </w:num>
  <w:num w:numId="13">
    <w:abstractNumId w:val="32"/>
  </w:num>
  <w:num w:numId="14">
    <w:abstractNumId w:val="8"/>
  </w:num>
  <w:num w:numId="15">
    <w:abstractNumId w:val="15"/>
  </w:num>
  <w:num w:numId="16">
    <w:abstractNumId w:val="26"/>
  </w:num>
  <w:num w:numId="17">
    <w:abstractNumId w:val="30"/>
  </w:num>
  <w:num w:numId="18">
    <w:abstractNumId w:val="24"/>
  </w:num>
  <w:num w:numId="19">
    <w:abstractNumId w:val="7"/>
  </w:num>
  <w:num w:numId="20">
    <w:abstractNumId w:val="35"/>
  </w:num>
  <w:num w:numId="21">
    <w:abstractNumId w:val="0"/>
  </w:num>
  <w:num w:numId="22">
    <w:abstractNumId w:val="31"/>
  </w:num>
  <w:num w:numId="23">
    <w:abstractNumId w:val="3"/>
  </w:num>
  <w:num w:numId="24">
    <w:abstractNumId w:val="17"/>
  </w:num>
  <w:num w:numId="25">
    <w:abstractNumId w:val="23"/>
  </w:num>
  <w:num w:numId="26">
    <w:abstractNumId w:val="5"/>
  </w:num>
  <w:num w:numId="27">
    <w:abstractNumId w:val="20"/>
  </w:num>
  <w:num w:numId="28">
    <w:abstractNumId w:val="14"/>
  </w:num>
  <w:num w:numId="29">
    <w:abstractNumId w:val="27"/>
  </w:num>
  <w:num w:numId="30">
    <w:abstractNumId w:val="29"/>
  </w:num>
  <w:num w:numId="31">
    <w:abstractNumId w:val="34"/>
  </w:num>
  <w:num w:numId="32">
    <w:abstractNumId w:val="12"/>
  </w:num>
  <w:num w:numId="33">
    <w:abstractNumId w:val="25"/>
  </w:num>
  <w:num w:numId="34">
    <w:abstractNumId w:val="31"/>
  </w:num>
  <w:num w:numId="35">
    <w:abstractNumId w:val="36"/>
  </w:num>
  <w:num w:numId="36">
    <w:abstractNumId w:val="11"/>
  </w:num>
  <w:num w:numId="37">
    <w:abstractNumId w:val="43"/>
  </w:num>
  <w:num w:numId="38">
    <w:abstractNumId w:val="6"/>
  </w:num>
  <w:num w:numId="39">
    <w:abstractNumId w:val="9"/>
  </w:num>
  <w:num w:numId="40">
    <w:abstractNumId w:val="40"/>
  </w:num>
  <w:num w:numId="41">
    <w:abstractNumId w:val="13"/>
  </w:num>
  <w:num w:numId="42">
    <w:abstractNumId w:val="42"/>
  </w:num>
  <w:num w:numId="43">
    <w:abstractNumId w:val="22"/>
  </w:num>
  <w:num w:numId="44">
    <w:abstractNumId w:val="41"/>
  </w:num>
  <w:num w:numId="45">
    <w:abstractNumId w:val="28"/>
  </w:num>
  <w:num w:numId="4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73B6"/>
    <w:rsid w:val="0003278F"/>
    <w:rsid w:val="00033B3C"/>
    <w:rsid w:val="000436DB"/>
    <w:rsid w:val="000567DE"/>
    <w:rsid w:val="00080BB5"/>
    <w:rsid w:val="00087FEE"/>
    <w:rsid w:val="000E48E1"/>
    <w:rsid w:val="001113EF"/>
    <w:rsid w:val="00136E75"/>
    <w:rsid w:val="00147A61"/>
    <w:rsid w:val="00154F5D"/>
    <w:rsid w:val="00162AEE"/>
    <w:rsid w:val="00183A8C"/>
    <w:rsid w:val="001865C9"/>
    <w:rsid w:val="001A5AD2"/>
    <w:rsid w:val="001B2008"/>
    <w:rsid w:val="001B2202"/>
    <w:rsid w:val="001E1B33"/>
    <w:rsid w:val="001F08B9"/>
    <w:rsid w:val="001F41C5"/>
    <w:rsid w:val="0021313C"/>
    <w:rsid w:val="002171F5"/>
    <w:rsid w:val="00231776"/>
    <w:rsid w:val="00236CB1"/>
    <w:rsid w:val="00250185"/>
    <w:rsid w:val="00272E5C"/>
    <w:rsid w:val="00283168"/>
    <w:rsid w:val="002A6B25"/>
    <w:rsid w:val="002A7711"/>
    <w:rsid w:val="002C6A12"/>
    <w:rsid w:val="00315286"/>
    <w:rsid w:val="00332E74"/>
    <w:rsid w:val="00334872"/>
    <w:rsid w:val="00391E89"/>
    <w:rsid w:val="003B4DFE"/>
    <w:rsid w:val="003B53F1"/>
    <w:rsid w:val="003D69F2"/>
    <w:rsid w:val="003E1E2D"/>
    <w:rsid w:val="003F0EDB"/>
    <w:rsid w:val="004546DD"/>
    <w:rsid w:val="004577E8"/>
    <w:rsid w:val="00460C46"/>
    <w:rsid w:val="00496198"/>
    <w:rsid w:val="00496AA1"/>
    <w:rsid w:val="004A368A"/>
    <w:rsid w:val="004A4EAC"/>
    <w:rsid w:val="005172DA"/>
    <w:rsid w:val="00517336"/>
    <w:rsid w:val="005254DA"/>
    <w:rsid w:val="00536B81"/>
    <w:rsid w:val="00540E17"/>
    <w:rsid w:val="005450A5"/>
    <w:rsid w:val="00573E00"/>
    <w:rsid w:val="005D123C"/>
    <w:rsid w:val="005E7846"/>
    <w:rsid w:val="00626477"/>
    <w:rsid w:val="00631A39"/>
    <w:rsid w:val="00674423"/>
    <w:rsid w:val="0069762F"/>
    <w:rsid w:val="006D165E"/>
    <w:rsid w:val="0070477B"/>
    <w:rsid w:val="0077092C"/>
    <w:rsid w:val="00781562"/>
    <w:rsid w:val="007A0A1D"/>
    <w:rsid w:val="007D13A4"/>
    <w:rsid w:val="007F28C0"/>
    <w:rsid w:val="0080400D"/>
    <w:rsid w:val="00813D7D"/>
    <w:rsid w:val="0082430F"/>
    <w:rsid w:val="00827BD2"/>
    <w:rsid w:val="0083687A"/>
    <w:rsid w:val="0086097B"/>
    <w:rsid w:val="00865DC6"/>
    <w:rsid w:val="00871FCD"/>
    <w:rsid w:val="00877245"/>
    <w:rsid w:val="00882746"/>
    <w:rsid w:val="008E08B5"/>
    <w:rsid w:val="008F2254"/>
    <w:rsid w:val="00932235"/>
    <w:rsid w:val="009364DE"/>
    <w:rsid w:val="00961451"/>
    <w:rsid w:val="00992B32"/>
    <w:rsid w:val="00993F56"/>
    <w:rsid w:val="009A242D"/>
    <w:rsid w:val="009D0579"/>
    <w:rsid w:val="00A008EA"/>
    <w:rsid w:val="00A06668"/>
    <w:rsid w:val="00A17F90"/>
    <w:rsid w:val="00A27654"/>
    <w:rsid w:val="00A5732F"/>
    <w:rsid w:val="00A6015F"/>
    <w:rsid w:val="00A718BC"/>
    <w:rsid w:val="00AC6888"/>
    <w:rsid w:val="00AE0CFE"/>
    <w:rsid w:val="00B03315"/>
    <w:rsid w:val="00B17BEA"/>
    <w:rsid w:val="00B26141"/>
    <w:rsid w:val="00B31850"/>
    <w:rsid w:val="00B36967"/>
    <w:rsid w:val="00B44E75"/>
    <w:rsid w:val="00B50B69"/>
    <w:rsid w:val="00B5242A"/>
    <w:rsid w:val="00B57202"/>
    <w:rsid w:val="00B81506"/>
    <w:rsid w:val="00B90494"/>
    <w:rsid w:val="00B9714B"/>
    <w:rsid w:val="00BB0988"/>
    <w:rsid w:val="00BB57C5"/>
    <w:rsid w:val="00BB6F8A"/>
    <w:rsid w:val="00BB7A4F"/>
    <w:rsid w:val="00BD38C0"/>
    <w:rsid w:val="00C076A2"/>
    <w:rsid w:val="00C111DD"/>
    <w:rsid w:val="00C15209"/>
    <w:rsid w:val="00C361A0"/>
    <w:rsid w:val="00C37E57"/>
    <w:rsid w:val="00C40F39"/>
    <w:rsid w:val="00C41B91"/>
    <w:rsid w:val="00C55356"/>
    <w:rsid w:val="00CE2FC2"/>
    <w:rsid w:val="00D10ECE"/>
    <w:rsid w:val="00D3191B"/>
    <w:rsid w:val="00D40678"/>
    <w:rsid w:val="00D445DF"/>
    <w:rsid w:val="00D51FFA"/>
    <w:rsid w:val="00D63201"/>
    <w:rsid w:val="00D73319"/>
    <w:rsid w:val="00D7515B"/>
    <w:rsid w:val="00D83CAA"/>
    <w:rsid w:val="00DA0A84"/>
    <w:rsid w:val="00DD08CE"/>
    <w:rsid w:val="00DD1BEF"/>
    <w:rsid w:val="00DD5E9F"/>
    <w:rsid w:val="00DF3926"/>
    <w:rsid w:val="00E0034F"/>
    <w:rsid w:val="00E1195E"/>
    <w:rsid w:val="00E54BB2"/>
    <w:rsid w:val="00E608F9"/>
    <w:rsid w:val="00E61184"/>
    <w:rsid w:val="00E71678"/>
    <w:rsid w:val="00E73DB8"/>
    <w:rsid w:val="00EA6D3D"/>
    <w:rsid w:val="00EB1DA9"/>
    <w:rsid w:val="00EB3549"/>
    <w:rsid w:val="00EC7C7B"/>
    <w:rsid w:val="00ED6328"/>
    <w:rsid w:val="00F23F3F"/>
    <w:rsid w:val="00F26B8D"/>
    <w:rsid w:val="00F31C2D"/>
    <w:rsid w:val="00F63D15"/>
    <w:rsid w:val="00F668F7"/>
    <w:rsid w:val="00FA7BE2"/>
    <w:rsid w:val="00FD10B1"/>
    <w:rsid w:val="00FE2C66"/>
    <w:rsid w:val="00FF6AE9"/>
    <w:rsid w:val="52B2E1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1">
    <w:name w:val="heading 1"/>
    <w:basedOn w:val="Normal"/>
    <w:next w:val="Normal"/>
    <w:link w:val="Heading1Char"/>
    <w:uiPriority w:val="9"/>
    <w:qFormat/>
    <w:rsid w:val="00E73DB8"/>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4A368A"/>
    <w:pPr>
      <w:spacing w:before="200" w:after="0"/>
      <w:outlineLvl w:val="1"/>
    </w:pPr>
    <w:rPr>
      <w:b/>
      <w:i/>
      <w:color w:val="31849B" w:themeColor="accent5" w:themeShade="BF"/>
    </w:rPr>
  </w:style>
  <w:style w:type="paragraph" w:styleId="Heading3">
    <w:name w:val="heading 3"/>
    <w:basedOn w:val="Normal"/>
    <w:next w:val="Normal"/>
    <w:link w:val="Heading3Char"/>
    <w:uiPriority w:val="9"/>
    <w:unhideWhenUsed/>
    <w:qFormat/>
    <w:rsid w:val="00D63201"/>
    <w:pPr>
      <w:spacing w:before="120" w:after="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68A"/>
    <w:pPr>
      <w:numPr>
        <w:numId w:val="44"/>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4A368A"/>
    <w:rPr>
      <w:rFonts w:ascii="Calibri" w:hAnsi="Calibri" w:cs="Arial"/>
      <w:b/>
      <w:bCs/>
      <w:i/>
      <w:color w:val="31849B" w:themeColor="accent5" w:themeShade="BF"/>
      <w:sz w:val="24"/>
    </w:rPr>
  </w:style>
  <w:style w:type="character" w:customStyle="1" w:styleId="Heading3Char">
    <w:name w:val="Heading 3 Char"/>
    <w:basedOn w:val="DefaultParagraphFont"/>
    <w:link w:val="Heading3"/>
    <w:uiPriority w:val="9"/>
    <w:rsid w:val="00D63201"/>
    <w:rPr>
      <w:rFonts w:ascii="Calibri" w:hAnsi="Calibri" w:cs="Arial"/>
      <w:b/>
      <w:bCs/>
      <w:sz w:val="28"/>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Heading1Char">
    <w:name w:val="Heading 1 Char"/>
    <w:basedOn w:val="DefaultParagraphFont"/>
    <w:link w:val="Heading1"/>
    <w:uiPriority w:val="9"/>
    <w:rsid w:val="00E73DB8"/>
    <w:rPr>
      <w:rFonts w:ascii="Calibri" w:eastAsiaTheme="majorEastAsia" w:hAnsi="Calibri" w:cstheme="majorBidi"/>
      <w:b/>
      <w:bCs/>
      <w:color w:val="000000" w:themeColor="text1"/>
      <w:sz w:val="32"/>
      <w:szCs w:val="32"/>
    </w:rPr>
  </w:style>
  <w:style w:type="paragraph" w:styleId="NormalWeb">
    <w:name w:val="Normal (Web)"/>
    <w:basedOn w:val="Normal"/>
    <w:uiPriority w:val="99"/>
    <w:unhideWhenUsed/>
    <w:rsid w:val="004A368A"/>
    <w:pPr>
      <w:spacing w:before="100" w:beforeAutospacing="1" w:after="100" w:afterAutospacing="1"/>
    </w:pPr>
    <w:rPr>
      <w:rFonts w:ascii="Times New Roman" w:eastAsiaTheme="minorEastAsia" w:hAnsi="Times New Roman" w:cs="Times New Roman"/>
      <w:bCs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1">
    <w:name w:val="heading 1"/>
    <w:basedOn w:val="Normal"/>
    <w:next w:val="Normal"/>
    <w:link w:val="Heading1Char"/>
    <w:uiPriority w:val="9"/>
    <w:qFormat/>
    <w:rsid w:val="00E73DB8"/>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4A368A"/>
    <w:pPr>
      <w:spacing w:before="200" w:after="0"/>
      <w:outlineLvl w:val="1"/>
    </w:pPr>
    <w:rPr>
      <w:b/>
      <w:i/>
      <w:color w:val="31849B" w:themeColor="accent5" w:themeShade="BF"/>
    </w:rPr>
  </w:style>
  <w:style w:type="paragraph" w:styleId="Heading3">
    <w:name w:val="heading 3"/>
    <w:basedOn w:val="Normal"/>
    <w:next w:val="Normal"/>
    <w:link w:val="Heading3Char"/>
    <w:uiPriority w:val="9"/>
    <w:unhideWhenUsed/>
    <w:qFormat/>
    <w:rsid w:val="00D63201"/>
    <w:pPr>
      <w:spacing w:before="120" w:after="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68A"/>
    <w:pPr>
      <w:numPr>
        <w:numId w:val="44"/>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4A368A"/>
    <w:rPr>
      <w:rFonts w:ascii="Calibri" w:hAnsi="Calibri" w:cs="Arial"/>
      <w:b/>
      <w:bCs/>
      <w:i/>
      <w:color w:val="31849B" w:themeColor="accent5" w:themeShade="BF"/>
      <w:sz w:val="24"/>
    </w:rPr>
  </w:style>
  <w:style w:type="character" w:customStyle="1" w:styleId="Heading3Char">
    <w:name w:val="Heading 3 Char"/>
    <w:basedOn w:val="DefaultParagraphFont"/>
    <w:link w:val="Heading3"/>
    <w:uiPriority w:val="9"/>
    <w:rsid w:val="00D63201"/>
    <w:rPr>
      <w:rFonts w:ascii="Calibri" w:hAnsi="Calibri" w:cs="Arial"/>
      <w:b/>
      <w:bCs/>
      <w:sz w:val="28"/>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Heading1Char">
    <w:name w:val="Heading 1 Char"/>
    <w:basedOn w:val="DefaultParagraphFont"/>
    <w:link w:val="Heading1"/>
    <w:uiPriority w:val="9"/>
    <w:rsid w:val="00E73DB8"/>
    <w:rPr>
      <w:rFonts w:ascii="Calibri" w:eastAsiaTheme="majorEastAsia" w:hAnsi="Calibri" w:cstheme="majorBidi"/>
      <w:b/>
      <w:bCs/>
      <w:color w:val="000000" w:themeColor="text1"/>
      <w:sz w:val="32"/>
      <w:szCs w:val="32"/>
    </w:rPr>
  </w:style>
  <w:style w:type="paragraph" w:styleId="NormalWeb">
    <w:name w:val="Normal (Web)"/>
    <w:basedOn w:val="Normal"/>
    <w:uiPriority w:val="99"/>
    <w:unhideWhenUsed/>
    <w:rsid w:val="004A368A"/>
    <w:pPr>
      <w:spacing w:before="100" w:beforeAutospacing="1" w:after="100" w:afterAutospacing="1"/>
    </w:pPr>
    <w:rPr>
      <w:rFonts w:ascii="Times New Roman" w:eastAsiaTheme="minorEastAsia" w:hAnsi="Times New Roman" w:cs="Times New Roman"/>
      <w:b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1A6FAE"/>
    <w:rsid w:val="003411F0"/>
    <w:rsid w:val="00407569"/>
    <w:rsid w:val="004331E0"/>
    <w:rsid w:val="004A0AB7"/>
    <w:rsid w:val="005D1E0D"/>
    <w:rsid w:val="005F12F2"/>
    <w:rsid w:val="007B16A3"/>
    <w:rsid w:val="00840DE3"/>
    <w:rsid w:val="009D2467"/>
    <w:rsid w:val="00BB603F"/>
    <w:rsid w:val="00CB5097"/>
    <w:rsid w:val="00E80BCE"/>
    <w:rsid w:val="00EC5523"/>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E73E3-5677-400E-9716-F1BABD43D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3924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2</cp:revision>
  <cp:lastPrinted>2014-07-11T13:37:00Z</cp:lastPrinted>
  <dcterms:created xsi:type="dcterms:W3CDTF">2017-01-08T05:15:00Z</dcterms:created>
  <dcterms:modified xsi:type="dcterms:W3CDTF">2017-01-08T05:15:00Z</dcterms:modified>
  <cp:category>patient safety, CUSP, VAE, VAP, healthcare acquired infections, critical care nursing, mechanical ventilation, ventilator associated events, early mobility, low tidal volume ventilation, daily care</cp:category>
</cp:coreProperties>
</file>