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B6224" w14:textId="3A99A505" w:rsidR="008709AF" w:rsidRPr="00F326E8" w:rsidRDefault="00FE444A" w:rsidP="00FE444A">
      <w:pPr>
        <w:pStyle w:val="Heading1"/>
      </w:pPr>
      <w:r>
        <w:t>Summary</w:t>
      </w:r>
    </w:p>
    <w:p w14:paraId="399FA4A6" w14:textId="4B1865CD" w:rsidR="00946A29" w:rsidRPr="008709AF" w:rsidRDefault="00946A29" w:rsidP="00D6285E">
      <w:pPr>
        <w:spacing w:after="120" w:line="240" w:lineRule="auto"/>
        <w:rPr>
          <w:rFonts w:asciiTheme="majorHAnsi" w:hAnsiTheme="majorHAnsi" w:cs="Arial"/>
          <w:color w:val="000000"/>
        </w:rPr>
      </w:pPr>
      <w:r w:rsidRPr="008709AF">
        <w:rPr>
          <w:rFonts w:asciiTheme="majorHAnsi" w:hAnsiTheme="majorHAnsi" w:cs="Arial"/>
          <w:color w:val="000000"/>
        </w:rPr>
        <w:t xml:space="preserve">Continuous or frequent intermittent suctioning of subglottic secretions, via an endotracheal tube (ETT) specially designed with a </w:t>
      </w:r>
      <w:r w:rsidRPr="000A494E">
        <w:rPr>
          <w:rFonts w:asciiTheme="majorHAnsi" w:hAnsiTheme="majorHAnsi" w:cs="Arial"/>
          <w:bCs/>
          <w:color w:val="000000"/>
        </w:rPr>
        <w:t>dorsal lume</w:t>
      </w:r>
      <w:r w:rsidR="008709AF" w:rsidRPr="000A494E">
        <w:rPr>
          <w:rFonts w:asciiTheme="majorHAnsi" w:hAnsiTheme="majorHAnsi" w:cs="Arial"/>
          <w:bCs/>
          <w:color w:val="000000"/>
        </w:rPr>
        <w:t>n</w:t>
      </w:r>
      <w:r w:rsidR="008709AF">
        <w:rPr>
          <w:rFonts w:asciiTheme="majorHAnsi" w:hAnsiTheme="majorHAnsi" w:cs="Arial"/>
          <w:bCs/>
          <w:color w:val="000000"/>
        </w:rPr>
        <w:t xml:space="preserve"> t</w:t>
      </w:r>
      <w:r w:rsidRPr="008709AF">
        <w:rPr>
          <w:rFonts w:asciiTheme="majorHAnsi" w:hAnsiTheme="majorHAnsi" w:cs="Arial"/>
          <w:color w:val="000000"/>
        </w:rPr>
        <w:t>o accommodate this, is associated with up to a 50</w:t>
      </w:r>
      <w:r w:rsidR="00CA32B8">
        <w:rPr>
          <w:rFonts w:asciiTheme="majorHAnsi" w:hAnsiTheme="majorHAnsi" w:cs="Arial"/>
          <w:color w:val="000000"/>
        </w:rPr>
        <w:t xml:space="preserve"> percent</w:t>
      </w:r>
      <w:r w:rsidRPr="008709AF">
        <w:rPr>
          <w:rFonts w:asciiTheme="majorHAnsi" w:hAnsiTheme="majorHAnsi" w:cs="Arial"/>
          <w:color w:val="000000"/>
        </w:rPr>
        <w:t xml:space="preserve"> decreased incidence of aspiration and </w:t>
      </w:r>
      <w:r w:rsidR="00CA32B8">
        <w:rPr>
          <w:rFonts w:asciiTheme="majorHAnsi" w:hAnsiTheme="majorHAnsi" w:cs="Arial"/>
          <w:color w:val="000000"/>
        </w:rPr>
        <w:t>ventilator-associated pneumonia (</w:t>
      </w:r>
      <w:r w:rsidRPr="008709AF">
        <w:rPr>
          <w:rFonts w:asciiTheme="majorHAnsi" w:hAnsiTheme="majorHAnsi" w:cs="Arial"/>
          <w:color w:val="000000"/>
        </w:rPr>
        <w:t>VAP</w:t>
      </w:r>
      <w:r w:rsidR="00CA32B8">
        <w:rPr>
          <w:rFonts w:asciiTheme="majorHAnsi" w:hAnsiTheme="majorHAnsi" w:cs="Arial"/>
          <w:color w:val="000000"/>
        </w:rPr>
        <w:t>)</w:t>
      </w:r>
      <w:r w:rsidR="0091306D">
        <w:rPr>
          <w:rFonts w:asciiTheme="majorHAnsi" w:hAnsiTheme="majorHAnsi" w:cs="Arial"/>
          <w:color w:val="000000"/>
        </w:rPr>
        <w:t xml:space="preserve">. </w:t>
      </w:r>
      <w:r w:rsidRPr="008709AF">
        <w:rPr>
          <w:rFonts w:asciiTheme="majorHAnsi" w:hAnsiTheme="majorHAnsi" w:cs="Arial"/>
          <w:color w:val="000000"/>
        </w:rPr>
        <w:t>Guidelines support the use of subglottic suctioning and drainage for patients dependent on mechanical ventilation</w:t>
      </w:r>
      <w:r w:rsidR="0091306D">
        <w:rPr>
          <w:rFonts w:asciiTheme="majorHAnsi" w:hAnsiTheme="majorHAnsi" w:cs="Arial"/>
          <w:color w:val="000000"/>
        </w:rPr>
        <w:t xml:space="preserve">. </w:t>
      </w:r>
    </w:p>
    <w:p w14:paraId="18D85DBB" w14:textId="77777777" w:rsidR="00D6285E" w:rsidRPr="00FE444A" w:rsidRDefault="00D6285E" w:rsidP="00FE444A">
      <w:pPr>
        <w:pStyle w:val="Heading2"/>
      </w:pPr>
      <w:r w:rsidRPr="00FE444A">
        <w:t>Society for Healthcare Epidemiology of America</w:t>
      </w:r>
    </w:p>
    <w:p w14:paraId="3F909298" w14:textId="65C6E04C" w:rsidR="00D6285E" w:rsidRPr="000019F5" w:rsidRDefault="00E92006" w:rsidP="00D6285E">
      <w:pPr>
        <w:pStyle w:val="NoSpacing"/>
        <w:rPr>
          <w:rFonts w:asciiTheme="majorHAnsi" w:hAnsiTheme="majorHAnsi"/>
          <w:i/>
          <w:sz w:val="24"/>
          <w:szCs w:val="24"/>
        </w:rPr>
      </w:pPr>
      <w:r>
        <w:rPr>
          <w:rFonts w:asciiTheme="majorHAnsi" w:hAnsiTheme="majorHAnsi"/>
          <w:i/>
          <w:sz w:val="24"/>
          <w:szCs w:val="24"/>
        </w:rPr>
        <w:t>2014 – Strategies to Prevent Ventilator-Associated Pneumonia in Acute Care Hospitals: 2014 Updat</w:t>
      </w:r>
      <w:r w:rsidR="00B628E1">
        <w:rPr>
          <w:rFonts w:asciiTheme="majorHAnsi" w:hAnsiTheme="majorHAnsi"/>
          <w:i/>
          <w:sz w:val="24"/>
          <w:szCs w:val="24"/>
        </w:rPr>
        <w:t>e</w:t>
      </w:r>
      <w:r w:rsidR="00442AFB">
        <w:rPr>
          <w:rFonts w:asciiTheme="majorHAnsi" w:hAnsiTheme="majorHAnsi"/>
          <w:i/>
          <w:sz w:val="24"/>
          <w:szCs w:val="24"/>
        </w:rPr>
        <w:fldChar w:fldCharType="begin"/>
      </w:r>
      <w:r w:rsidR="00442AFB">
        <w:rPr>
          <w:rFonts w:asciiTheme="majorHAnsi" w:hAnsiTheme="majorHAnsi"/>
          <w:i/>
          <w:sz w:val="24"/>
          <w:szCs w:val="24"/>
        </w:rPr>
        <w:instrText>ADDIN RW.CITE{{1886 Klompas,M. 2014}}</w:instrText>
      </w:r>
      <w:r w:rsidR="00442AFB">
        <w:rPr>
          <w:rFonts w:asciiTheme="majorHAnsi" w:hAnsiTheme="majorHAnsi"/>
          <w:i/>
          <w:sz w:val="24"/>
          <w:szCs w:val="24"/>
        </w:rPr>
        <w:fldChar w:fldCharType="separate"/>
      </w:r>
      <w:r w:rsidR="00437A97" w:rsidRPr="0065240C">
        <w:rPr>
          <w:rFonts w:ascii="Cambria" w:eastAsia="Times New Roman" w:hAnsi="Cambria" w:cs="Times New Roman"/>
          <w:sz w:val="24"/>
          <w:vertAlign w:val="superscript"/>
        </w:rPr>
        <w:t>1</w:t>
      </w:r>
      <w:r w:rsidR="00442AFB">
        <w:rPr>
          <w:rFonts w:asciiTheme="majorHAnsi" w:hAnsiTheme="majorHAnsi"/>
          <w:i/>
          <w:sz w:val="24"/>
          <w:szCs w:val="24"/>
        </w:rPr>
        <w:fldChar w:fldCharType="end"/>
      </w:r>
      <w:r w:rsidR="00442AFB" w:rsidRPr="00442AFB">
        <w:rPr>
          <w:rFonts w:asciiTheme="majorHAnsi" w:hAnsiTheme="majorHAnsi"/>
          <w:i/>
          <w:sz w:val="24"/>
          <w:szCs w:val="24"/>
        </w:rPr>
        <w:t xml:space="preserve"> </w:t>
      </w:r>
    </w:p>
    <w:p w14:paraId="2854ABE2" w14:textId="77777777" w:rsidR="00D6285E" w:rsidRPr="008A1C23" w:rsidRDefault="00D6285E" w:rsidP="00D6285E">
      <w:pPr>
        <w:pStyle w:val="NoSpacing"/>
        <w:rPr>
          <w:i/>
          <w:sz w:val="20"/>
          <w:szCs w:val="20"/>
          <w:vertAlign w:val="superscript"/>
        </w:rPr>
      </w:pPr>
    </w:p>
    <w:p w14:paraId="3A875365" w14:textId="3806AEAB" w:rsidR="00D6285E" w:rsidRPr="007C1F7F" w:rsidRDefault="00D6285E" w:rsidP="00D6285E">
      <w:pPr>
        <w:pStyle w:val="MainPointGuideline"/>
        <w:rPr>
          <w:bCs/>
        </w:rPr>
      </w:pPr>
      <w:r w:rsidRPr="007C1F7F">
        <w:t xml:space="preserve">Recommends </w:t>
      </w:r>
      <w:r w:rsidR="00E92006">
        <w:t>the use of endotracheal tubes with subglottic secretion drainage ports for patients likely to require greater than 48 or 72 hours of intubation.</w:t>
      </w:r>
      <w:r w:rsidRPr="007C1F7F">
        <w:t xml:space="preserve"> </w:t>
      </w:r>
    </w:p>
    <w:p w14:paraId="2AD07B73" w14:textId="77777777" w:rsidR="00D6285E" w:rsidRDefault="00D6285E" w:rsidP="00FE444A">
      <w:pPr>
        <w:pStyle w:val="Heading2"/>
      </w:pPr>
      <w:r>
        <w:t>ZAP the VAP: Ventilator Associated Pneumonia</w:t>
      </w:r>
    </w:p>
    <w:p w14:paraId="1B1CBD20" w14:textId="109E4889" w:rsidR="00D6285E" w:rsidRPr="00D6285E" w:rsidRDefault="00D6285E" w:rsidP="00D6285E">
      <w:pPr>
        <w:pStyle w:val="NoSpacing"/>
        <w:rPr>
          <w:rFonts w:asciiTheme="majorHAnsi" w:hAnsiTheme="majorHAnsi"/>
          <w:i/>
          <w:sz w:val="24"/>
          <w:szCs w:val="24"/>
        </w:rPr>
      </w:pPr>
      <w:r w:rsidRPr="00D6285E">
        <w:rPr>
          <w:rFonts w:asciiTheme="majorHAnsi" w:hAnsiTheme="majorHAnsi"/>
          <w:i/>
          <w:sz w:val="24"/>
          <w:szCs w:val="24"/>
        </w:rPr>
        <w:t>2008</w:t>
      </w:r>
      <w:r>
        <w:rPr>
          <w:rFonts w:asciiTheme="majorHAnsi" w:hAnsiTheme="majorHAnsi"/>
          <w:i/>
          <w:sz w:val="24"/>
          <w:szCs w:val="24"/>
        </w:rPr>
        <w:t xml:space="preserve"> </w:t>
      </w:r>
      <w:r w:rsidR="0003495C">
        <w:rPr>
          <w:rFonts w:asciiTheme="majorHAnsi" w:hAnsiTheme="majorHAnsi"/>
          <w:i/>
          <w:sz w:val="24"/>
          <w:szCs w:val="24"/>
        </w:rPr>
        <w:t>–</w:t>
      </w:r>
      <w:r>
        <w:rPr>
          <w:rFonts w:asciiTheme="majorHAnsi" w:hAnsiTheme="majorHAnsi"/>
          <w:i/>
          <w:sz w:val="24"/>
          <w:szCs w:val="24"/>
        </w:rPr>
        <w:t xml:space="preserve"> </w:t>
      </w:r>
      <w:r w:rsidRPr="00D6285E">
        <w:rPr>
          <w:rFonts w:asciiTheme="majorHAnsi" w:hAnsiTheme="majorHAnsi"/>
          <w:i/>
          <w:sz w:val="24"/>
          <w:szCs w:val="24"/>
        </w:rPr>
        <w:t xml:space="preserve">Canadian VAP Prevention Guidelines: Evidence-based clinical practice guidelines for the prevention of </w:t>
      </w:r>
      <w:r w:rsidR="0003495C">
        <w:rPr>
          <w:rFonts w:asciiTheme="majorHAnsi" w:hAnsiTheme="majorHAnsi"/>
          <w:i/>
          <w:sz w:val="24"/>
          <w:szCs w:val="24"/>
        </w:rPr>
        <w:t>VAP</w:t>
      </w:r>
      <w:r w:rsidR="00442AFB">
        <w:rPr>
          <w:rFonts w:eastAsia="Times New Roman" w:cs="Times New Roman"/>
          <w:vertAlign w:val="superscript"/>
        </w:rPr>
        <w:fldChar w:fldCharType="begin"/>
      </w:r>
      <w:r w:rsidR="00442AFB">
        <w:rPr>
          <w:rFonts w:eastAsia="Times New Roman" w:cs="Times New Roman"/>
          <w:vertAlign w:val="superscript"/>
        </w:rPr>
        <w:instrText>ADDIN RW.CITE{{908 Muscedere,J. 2008}}</w:instrText>
      </w:r>
      <w:r w:rsidR="00442AFB">
        <w:rPr>
          <w:rFonts w:eastAsia="Times New Roman" w:cs="Times New Roman"/>
          <w:vertAlign w:val="superscript"/>
        </w:rPr>
        <w:fldChar w:fldCharType="separate"/>
      </w:r>
      <w:r w:rsidR="00437A97" w:rsidRPr="0065240C">
        <w:rPr>
          <w:rFonts w:ascii="Calibri" w:eastAsia="Times New Roman" w:hAnsi="Calibri" w:cs="Times New Roman"/>
          <w:vertAlign w:val="superscript"/>
        </w:rPr>
        <w:t>2</w:t>
      </w:r>
      <w:r w:rsidR="00442AFB">
        <w:rPr>
          <w:rFonts w:eastAsia="Times New Roman" w:cs="Times New Roman"/>
          <w:vertAlign w:val="superscript"/>
        </w:rPr>
        <w:fldChar w:fldCharType="end"/>
      </w:r>
      <w:r w:rsidR="00442AFB" w:rsidRPr="00442AFB">
        <w:rPr>
          <w:rFonts w:asciiTheme="majorHAnsi" w:hAnsiTheme="majorHAnsi"/>
          <w:i/>
          <w:sz w:val="24"/>
          <w:szCs w:val="24"/>
        </w:rPr>
        <w:t xml:space="preserve"> </w:t>
      </w:r>
    </w:p>
    <w:p w14:paraId="38904001" w14:textId="77777777" w:rsidR="00D6285E" w:rsidRPr="008A1C23" w:rsidRDefault="00D6285E" w:rsidP="00D6285E">
      <w:pPr>
        <w:pStyle w:val="NoSpacing"/>
        <w:rPr>
          <w:i/>
          <w:sz w:val="20"/>
          <w:szCs w:val="20"/>
          <w:vertAlign w:val="superscript"/>
        </w:rPr>
      </w:pPr>
    </w:p>
    <w:p w14:paraId="0D0DA150" w14:textId="17AC8ADD" w:rsidR="00D6285E" w:rsidRPr="00955DDE" w:rsidRDefault="00D6285E" w:rsidP="00D6285E">
      <w:pPr>
        <w:pStyle w:val="MainPointGuideline"/>
        <w:rPr>
          <w:rFonts w:eastAsia="AdvPA05F"/>
          <w:bCs/>
        </w:rPr>
      </w:pPr>
      <w:r w:rsidRPr="007C1F7F">
        <w:t xml:space="preserve">Subglottic </w:t>
      </w:r>
      <w:r w:rsidR="0003495C">
        <w:t>s</w:t>
      </w:r>
      <w:r w:rsidRPr="007C1F7F">
        <w:t xml:space="preserve">ecretion </w:t>
      </w:r>
      <w:r w:rsidR="0003495C">
        <w:t>d</w:t>
      </w:r>
      <w:r w:rsidRPr="007C1F7F">
        <w:t xml:space="preserve">rainage is recommended for patients requiring to be mechanically ventilated for more than </w:t>
      </w:r>
      <w:r w:rsidRPr="00955DDE">
        <w:t>72</w:t>
      </w:r>
      <w:r>
        <w:t xml:space="preserve"> </w:t>
      </w:r>
      <w:r w:rsidRPr="00955DDE">
        <w:t>h</w:t>
      </w:r>
      <w:r>
        <w:t>ou</w:t>
      </w:r>
      <w:r w:rsidRPr="00955DDE">
        <w:t>rs</w:t>
      </w:r>
      <w:r w:rsidRPr="007C1F7F">
        <w:t>.</w:t>
      </w:r>
    </w:p>
    <w:p w14:paraId="03C32E6A" w14:textId="77777777" w:rsidR="00D6285E" w:rsidRDefault="00D6285E" w:rsidP="00FE444A">
      <w:pPr>
        <w:pStyle w:val="Heading2"/>
      </w:pPr>
      <w:r>
        <w:t>American Thoracic Society</w:t>
      </w:r>
    </w:p>
    <w:p w14:paraId="71D844CA" w14:textId="25749C31" w:rsidR="00D6285E" w:rsidRPr="00D6285E" w:rsidRDefault="00D6285E" w:rsidP="00D6285E">
      <w:pPr>
        <w:pStyle w:val="NoSpacing"/>
        <w:spacing w:after="240"/>
        <w:rPr>
          <w:rFonts w:asciiTheme="majorHAnsi" w:hAnsiTheme="majorHAnsi"/>
          <w:i/>
          <w:sz w:val="24"/>
          <w:szCs w:val="24"/>
        </w:rPr>
      </w:pPr>
      <w:r w:rsidRPr="00D6285E">
        <w:rPr>
          <w:rFonts w:asciiTheme="majorHAnsi" w:hAnsiTheme="majorHAnsi"/>
          <w:i/>
          <w:sz w:val="24"/>
          <w:szCs w:val="24"/>
        </w:rPr>
        <w:t>2004</w:t>
      </w:r>
      <w:r>
        <w:rPr>
          <w:rFonts w:asciiTheme="majorHAnsi" w:hAnsiTheme="majorHAnsi"/>
          <w:i/>
          <w:sz w:val="24"/>
          <w:szCs w:val="24"/>
        </w:rPr>
        <w:t xml:space="preserve"> </w:t>
      </w:r>
      <w:r w:rsidR="0003495C">
        <w:rPr>
          <w:rFonts w:asciiTheme="majorHAnsi" w:hAnsiTheme="majorHAnsi"/>
          <w:i/>
          <w:sz w:val="24"/>
          <w:szCs w:val="24"/>
        </w:rPr>
        <w:t>–</w:t>
      </w:r>
      <w:r>
        <w:rPr>
          <w:rFonts w:asciiTheme="majorHAnsi" w:hAnsiTheme="majorHAnsi"/>
          <w:i/>
          <w:sz w:val="24"/>
          <w:szCs w:val="24"/>
        </w:rPr>
        <w:t xml:space="preserve"> </w:t>
      </w:r>
      <w:r w:rsidRPr="00D6285E">
        <w:rPr>
          <w:rFonts w:asciiTheme="majorHAnsi" w:hAnsiTheme="majorHAnsi"/>
          <w:i/>
          <w:sz w:val="24"/>
          <w:szCs w:val="24"/>
        </w:rPr>
        <w:t>Guidelines for the management of adults with hospital-acquired, ventilator-associated, and healthcare-associated pneumonia</w:t>
      </w:r>
      <w:r w:rsidR="00442AFB">
        <w:rPr>
          <w:rFonts w:eastAsia="Times New Roman" w:cs="Times New Roman"/>
          <w:vertAlign w:val="superscript"/>
        </w:rPr>
        <w:fldChar w:fldCharType="begin"/>
      </w:r>
      <w:r w:rsidR="00442AFB">
        <w:rPr>
          <w:rFonts w:eastAsia="Times New Roman" w:cs="Times New Roman"/>
          <w:vertAlign w:val="superscript"/>
        </w:rPr>
        <w:instrText>ADDIN RW.CITE{{56 American Thoracic Society 2005}}</w:instrText>
      </w:r>
      <w:r w:rsidR="00442AFB">
        <w:rPr>
          <w:rFonts w:eastAsia="Times New Roman" w:cs="Times New Roman"/>
          <w:vertAlign w:val="superscript"/>
        </w:rPr>
        <w:fldChar w:fldCharType="separate"/>
      </w:r>
      <w:r w:rsidR="00437A97" w:rsidRPr="0065240C">
        <w:rPr>
          <w:rFonts w:ascii="Calibri" w:eastAsia="Times New Roman" w:hAnsi="Calibri" w:cs="Times New Roman"/>
          <w:vertAlign w:val="superscript"/>
        </w:rPr>
        <w:t>3</w:t>
      </w:r>
      <w:r w:rsidR="00442AFB">
        <w:rPr>
          <w:rFonts w:eastAsia="Times New Roman" w:cs="Times New Roman"/>
          <w:vertAlign w:val="superscript"/>
        </w:rPr>
        <w:fldChar w:fldCharType="end"/>
      </w:r>
    </w:p>
    <w:p w14:paraId="0162CEC1" w14:textId="77777777" w:rsidR="00D6285E" w:rsidRPr="00955DDE" w:rsidRDefault="00D6285E" w:rsidP="00D6285E">
      <w:pPr>
        <w:pStyle w:val="MainPointGuideline"/>
        <w:rPr>
          <w:rFonts w:eastAsia="AdvPA05F"/>
        </w:rPr>
      </w:pPr>
      <w:r w:rsidRPr="00C05AF6">
        <w:t>Recommend</w:t>
      </w:r>
      <w:r>
        <w:t>s</w:t>
      </w:r>
      <w:r w:rsidRPr="00C05AF6">
        <w:t xml:space="preserve"> </w:t>
      </w:r>
      <w:r>
        <w:t xml:space="preserve">the use of specifically designed </w:t>
      </w:r>
      <w:r w:rsidRPr="00C05AF6">
        <w:t>ETT</w:t>
      </w:r>
      <w:r>
        <w:t xml:space="preserve"> with dorsal lumen for the continuous aspiration of subglottic secretion.</w:t>
      </w:r>
      <w:r w:rsidRPr="0013408F">
        <w:rPr>
          <w:rFonts w:eastAsia="AdvPA05F"/>
        </w:rPr>
        <w:t xml:space="preserve"> </w:t>
      </w:r>
    </w:p>
    <w:p w14:paraId="2B5D8C62" w14:textId="295F5827" w:rsidR="00D6285E" w:rsidRDefault="00D6285E" w:rsidP="00FE444A">
      <w:pPr>
        <w:pStyle w:val="Heading2"/>
      </w:pPr>
      <w:r w:rsidRPr="003026FE">
        <w:t>Center</w:t>
      </w:r>
      <w:r w:rsidR="0003495C">
        <w:t>s</w:t>
      </w:r>
      <w:r>
        <w:t xml:space="preserve"> for Disease Control and Prevention</w:t>
      </w:r>
    </w:p>
    <w:p w14:paraId="3EDF43CC" w14:textId="23517169" w:rsidR="00D6285E" w:rsidRPr="00D6285E" w:rsidRDefault="00D6285E" w:rsidP="00D6285E">
      <w:pPr>
        <w:spacing w:line="240" w:lineRule="auto"/>
        <w:rPr>
          <w:rFonts w:asciiTheme="majorHAnsi" w:hAnsiTheme="majorHAnsi"/>
          <w:i/>
          <w:iCs/>
          <w:sz w:val="24"/>
          <w:szCs w:val="24"/>
        </w:rPr>
      </w:pPr>
      <w:r w:rsidRPr="00D6285E">
        <w:rPr>
          <w:rFonts w:asciiTheme="majorHAnsi" w:hAnsiTheme="majorHAnsi"/>
          <w:i/>
          <w:sz w:val="24"/>
          <w:szCs w:val="24"/>
        </w:rPr>
        <w:t xml:space="preserve">2003 </w:t>
      </w:r>
      <w:r w:rsidR="0003495C">
        <w:rPr>
          <w:rFonts w:asciiTheme="majorHAnsi" w:hAnsiTheme="majorHAnsi"/>
          <w:i/>
          <w:sz w:val="24"/>
          <w:szCs w:val="24"/>
        </w:rPr>
        <w:t>–</w:t>
      </w:r>
      <w:r w:rsidRPr="00D6285E">
        <w:rPr>
          <w:rFonts w:asciiTheme="majorHAnsi" w:hAnsiTheme="majorHAnsi"/>
          <w:i/>
          <w:sz w:val="24"/>
          <w:szCs w:val="24"/>
        </w:rPr>
        <w:t xml:space="preserve"> CDC Guidelines for preventing Health-Care-Associated Pneumonia; Evidence-based, clinical practice guidelines for the prevention of healthcare-associated pneumonia, including VAP</w:t>
      </w:r>
      <w:r w:rsidR="00442AFB">
        <w:rPr>
          <w:rFonts w:eastAsia="Times New Roman" w:cs="Times New Roman"/>
          <w:vertAlign w:val="superscript"/>
        </w:rPr>
        <w:fldChar w:fldCharType="begin"/>
      </w:r>
      <w:r w:rsidR="00442AFB">
        <w:rPr>
          <w:rFonts w:eastAsia="Times New Roman" w:cs="Times New Roman"/>
          <w:vertAlign w:val="superscript"/>
        </w:rPr>
        <w:instrText>ADDIN RW.CITE{{12 Tablan OC, Anderson LJ, Besser R, Bridges C, Hajjeh R 2004}}</w:instrText>
      </w:r>
      <w:r w:rsidR="00442AFB">
        <w:rPr>
          <w:rFonts w:eastAsia="Times New Roman" w:cs="Times New Roman"/>
          <w:vertAlign w:val="superscript"/>
        </w:rPr>
        <w:fldChar w:fldCharType="separate"/>
      </w:r>
      <w:r w:rsidR="00437A97" w:rsidRPr="0065240C">
        <w:rPr>
          <w:rFonts w:ascii="Calibri" w:eastAsia="Times New Roman" w:hAnsi="Calibri" w:cs="Times New Roman"/>
          <w:vertAlign w:val="superscript"/>
        </w:rPr>
        <w:t xml:space="preserve"> 4</w:t>
      </w:r>
      <w:r w:rsidR="00442AFB">
        <w:rPr>
          <w:rFonts w:eastAsia="Times New Roman" w:cs="Times New Roman"/>
          <w:vertAlign w:val="superscript"/>
        </w:rPr>
        <w:fldChar w:fldCharType="end"/>
      </w:r>
      <w:r w:rsidR="00442AFB" w:rsidRPr="00442AFB">
        <w:rPr>
          <w:rFonts w:asciiTheme="majorHAnsi" w:hAnsiTheme="majorHAnsi"/>
          <w:iCs/>
          <w:sz w:val="24"/>
          <w:szCs w:val="24"/>
          <w:vertAlign w:val="superscript"/>
        </w:rPr>
        <w:t xml:space="preserve"> </w:t>
      </w:r>
    </w:p>
    <w:p w14:paraId="5D134ED5" w14:textId="77777777" w:rsidR="008E16B2" w:rsidRDefault="00D6285E" w:rsidP="00D6285E">
      <w:pPr>
        <w:pStyle w:val="MainPointGuideline"/>
        <w:numPr>
          <w:ilvl w:val="0"/>
          <w:numId w:val="5"/>
        </w:numPr>
        <w:sectPr w:rsidR="008E16B2" w:rsidSect="002679BE">
          <w:footerReference w:type="even" r:id="rId14"/>
          <w:footerReference w:type="default" r:id="rId15"/>
          <w:headerReference w:type="first" r:id="rId16"/>
          <w:footerReference w:type="first" r:id="rId17"/>
          <w:pgSz w:w="12240" w:h="15840" w:code="1"/>
          <w:pgMar w:top="3120" w:right="1440" w:bottom="1296" w:left="1440" w:header="144" w:footer="1008" w:gutter="0"/>
          <w:cols w:space="0"/>
          <w:titlePg/>
          <w:docGrid w:linePitch="360"/>
        </w:sectPr>
      </w:pPr>
      <w:r>
        <w:t>Recommends the use of an ETT dorsal lumen above the endotracheal cuff to allow drainage by continuous or frequent intermittent suctioning of tracheal secretion that accumulates in patient’s subglottic area.</w:t>
      </w:r>
    </w:p>
    <w:p w14:paraId="37CD9C71" w14:textId="6095AD7B" w:rsidR="00946A29" w:rsidRPr="00A67F5C" w:rsidRDefault="00946A29" w:rsidP="00837CDB">
      <w:pPr>
        <w:pStyle w:val="Guideline"/>
        <w:rPr>
          <w:bCs/>
        </w:rPr>
      </w:pPr>
    </w:p>
    <w:tbl>
      <w:tblPr>
        <w:tblStyle w:val="TableGrid"/>
        <w:tblW w:w="0" w:type="auto"/>
        <w:tblInd w:w="360" w:type="dxa"/>
        <w:tblLook w:val="04A0" w:firstRow="1" w:lastRow="0" w:firstColumn="1" w:lastColumn="0" w:noHBand="0" w:noVBand="1"/>
      </w:tblPr>
      <w:tblGrid>
        <w:gridCol w:w="3307"/>
        <w:gridCol w:w="5683"/>
      </w:tblGrid>
      <w:tr w:rsidR="00946A29" w:rsidRPr="007C1F7F" w14:paraId="5EEABBEA" w14:textId="77777777" w:rsidTr="00426D03">
        <w:tc>
          <w:tcPr>
            <w:tcW w:w="8990" w:type="dxa"/>
            <w:gridSpan w:val="2"/>
            <w:shd w:val="clear" w:color="auto" w:fill="C6D9F1" w:themeFill="text2" w:themeFillTint="33"/>
          </w:tcPr>
          <w:p w14:paraId="2397E7BF" w14:textId="3BC039E7" w:rsidR="00946A29" w:rsidRDefault="00CD5B35" w:rsidP="00837CDB">
            <w:pPr>
              <w:pStyle w:val="NoSpacing"/>
              <w:spacing w:before="20" w:after="60"/>
              <w:rPr>
                <w:rFonts w:eastAsiaTheme="minorHAnsi" w:cs="Arial"/>
                <w:b/>
                <w:sz w:val="28"/>
                <w:szCs w:val="28"/>
              </w:rPr>
            </w:pPr>
            <w:r>
              <w:rPr>
                <w:rFonts w:eastAsiaTheme="minorHAnsi" w:cs="Arial"/>
                <w:b/>
                <w:sz w:val="28"/>
                <w:szCs w:val="28"/>
              </w:rPr>
              <w:t xml:space="preserve">Relevant </w:t>
            </w:r>
            <w:r w:rsidR="00FA5CC5">
              <w:rPr>
                <w:rFonts w:eastAsiaTheme="minorHAnsi" w:cs="Arial"/>
                <w:b/>
                <w:sz w:val="28"/>
                <w:szCs w:val="28"/>
              </w:rPr>
              <w:t>Studies</w:t>
            </w:r>
            <w:r>
              <w:rPr>
                <w:rFonts w:eastAsiaTheme="minorHAnsi" w:cs="Arial"/>
                <w:b/>
                <w:sz w:val="28"/>
                <w:szCs w:val="28"/>
              </w:rPr>
              <w:t>, 1992</w:t>
            </w:r>
            <w:r w:rsidR="003E436A">
              <w:rPr>
                <w:rFonts w:eastAsiaTheme="minorHAnsi" w:cs="Arial"/>
                <w:b/>
                <w:sz w:val="28"/>
                <w:szCs w:val="28"/>
              </w:rPr>
              <w:t>–</w:t>
            </w:r>
            <w:r>
              <w:rPr>
                <w:rFonts w:eastAsiaTheme="minorHAnsi" w:cs="Arial"/>
                <w:b/>
                <w:sz w:val="28"/>
                <w:szCs w:val="28"/>
              </w:rPr>
              <w:t>2011</w:t>
            </w:r>
          </w:p>
          <w:p w14:paraId="65F76501" w14:textId="587A14C7" w:rsidR="00CD5B35" w:rsidRPr="007C1F7F" w:rsidRDefault="00CD5B35" w:rsidP="00837CDB">
            <w:pPr>
              <w:pStyle w:val="NoSpacing"/>
              <w:spacing w:before="20" w:after="60"/>
              <w:rPr>
                <w:rFonts w:eastAsiaTheme="minorHAnsi" w:cs="Arial"/>
                <w:b/>
                <w:sz w:val="28"/>
                <w:szCs w:val="28"/>
              </w:rPr>
            </w:pPr>
          </w:p>
        </w:tc>
      </w:tr>
      <w:tr w:rsidR="00946A29" w:rsidRPr="007C1F7F" w14:paraId="60B01E9C" w14:textId="77777777" w:rsidTr="00426D03">
        <w:tc>
          <w:tcPr>
            <w:tcW w:w="3307" w:type="dxa"/>
            <w:shd w:val="clear" w:color="auto" w:fill="DBE5F1" w:themeFill="accent1" w:themeFillTint="33"/>
            <w:vAlign w:val="center"/>
          </w:tcPr>
          <w:p w14:paraId="6E37F711" w14:textId="77777777" w:rsidR="00946A29" w:rsidRPr="007C1F7F" w:rsidRDefault="00946A29" w:rsidP="008709AF">
            <w:pPr>
              <w:pStyle w:val="NoSpacing"/>
              <w:spacing w:before="20" w:after="60"/>
              <w:rPr>
                <w:rFonts w:eastAsiaTheme="minorHAnsi" w:cs="Arial"/>
                <w:b/>
              </w:rPr>
            </w:pPr>
            <w:r w:rsidRPr="007C1F7F">
              <w:rPr>
                <w:rFonts w:eastAsiaTheme="minorHAnsi" w:cs="Arial"/>
                <w:b/>
              </w:rPr>
              <w:t>Study Type and Author</w:t>
            </w:r>
          </w:p>
        </w:tc>
        <w:tc>
          <w:tcPr>
            <w:tcW w:w="5683" w:type="dxa"/>
            <w:shd w:val="clear" w:color="auto" w:fill="DBE5F1" w:themeFill="accent1" w:themeFillTint="33"/>
            <w:vAlign w:val="center"/>
          </w:tcPr>
          <w:p w14:paraId="740E3910" w14:textId="7EFF621A" w:rsidR="00946A29" w:rsidRPr="007C1F7F" w:rsidRDefault="00946A29" w:rsidP="003B6D71">
            <w:pPr>
              <w:pStyle w:val="NoSpacing"/>
              <w:spacing w:before="20" w:after="60"/>
              <w:rPr>
                <w:rFonts w:eastAsiaTheme="minorHAnsi" w:cs="Arial"/>
                <w:b/>
              </w:rPr>
            </w:pPr>
            <w:r w:rsidRPr="007C1F7F">
              <w:rPr>
                <w:rFonts w:eastAsiaTheme="minorHAnsi" w:cs="Arial"/>
                <w:b/>
              </w:rPr>
              <w:t xml:space="preserve">Results </w:t>
            </w:r>
            <w:r w:rsidR="003B6D71">
              <w:rPr>
                <w:rFonts w:asciiTheme="majorHAnsi" w:hAnsiTheme="majorHAnsi"/>
                <w:i/>
                <w:sz w:val="24"/>
                <w:szCs w:val="24"/>
              </w:rPr>
              <w:t>–</w:t>
            </w:r>
            <w:r w:rsidRPr="007C1F7F">
              <w:rPr>
                <w:rFonts w:eastAsiaTheme="minorHAnsi" w:cs="Arial"/>
                <w:b/>
              </w:rPr>
              <w:t xml:space="preserve"> Details in Annotated Bibliography</w:t>
            </w:r>
          </w:p>
        </w:tc>
      </w:tr>
      <w:tr w:rsidR="00CD5B35" w:rsidRPr="007C1F7F" w14:paraId="1D90AC35" w14:textId="77777777" w:rsidTr="00426D03">
        <w:tc>
          <w:tcPr>
            <w:tcW w:w="3307" w:type="dxa"/>
          </w:tcPr>
          <w:p w14:paraId="0A398779" w14:textId="5C0ED485" w:rsidR="00CD5B35" w:rsidRPr="00FE444A" w:rsidRDefault="00E27175" w:rsidP="00FE444A">
            <w:pPr>
              <w:tabs>
                <w:tab w:val="left" w:pos="1105"/>
              </w:tabs>
              <w:spacing w:before="20" w:after="60" w:line="240" w:lineRule="auto"/>
              <w:rPr>
                <w:rFonts w:cs="Arial"/>
                <w:sz w:val="20"/>
                <w:szCs w:val="20"/>
              </w:rPr>
            </w:pPr>
            <w:r w:rsidRPr="00FE444A">
              <w:rPr>
                <w:rFonts w:cs="Arial"/>
                <w:sz w:val="20"/>
                <w:szCs w:val="20"/>
              </w:rPr>
              <w:t>Retrospective Chart Review</w:t>
            </w:r>
          </w:p>
          <w:p w14:paraId="5FC46E42" w14:textId="0015D76E" w:rsidR="00E27175" w:rsidRPr="00FE444A" w:rsidRDefault="00E27175" w:rsidP="00FE444A">
            <w:pPr>
              <w:tabs>
                <w:tab w:val="left" w:pos="1105"/>
              </w:tabs>
              <w:spacing w:before="20" w:after="60" w:line="240" w:lineRule="auto"/>
              <w:rPr>
                <w:rFonts w:cs="Arial"/>
                <w:sz w:val="20"/>
                <w:szCs w:val="20"/>
              </w:rPr>
            </w:pPr>
            <w:r w:rsidRPr="00FE444A">
              <w:rPr>
                <w:rFonts w:cs="Arial"/>
                <w:sz w:val="20"/>
                <w:szCs w:val="20"/>
              </w:rPr>
              <w:t>(Mareiniss, 2016)</w:t>
            </w:r>
            <w:r w:rsidR="00442AFB" w:rsidRPr="00FE444A">
              <w:rPr>
                <w:rFonts w:eastAsia="Times New Roman" w:cs="Times New Roman"/>
                <w:sz w:val="20"/>
                <w:szCs w:val="20"/>
                <w:vertAlign w:val="superscript"/>
              </w:rPr>
              <w:fldChar w:fldCharType="begin"/>
            </w:r>
            <w:r w:rsidR="00442AFB" w:rsidRPr="00FE444A">
              <w:rPr>
                <w:rFonts w:eastAsia="Times New Roman" w:cs="Times New Roman"/>
                <w:sz w:val="20"/>
                <w:szCs w:val="20"/>
                <w:vertAlign w:val="superscript"/>
              </w:rPr>
              <w:instrText>ADDIN RW.CITE{{1941 Mareiniss,D.P. 2016}}</w:instrText>
            </w:r>
            <w:r w:rsidR="00442AFB"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5</w:t>
            </w:r>
            <w:r w:rsidR="00442AFB" w:rsidRPr="00FE444A">
              <w:rPr>
                <w:rFonts w:eastAsia="Times New Roman" w:cs="Times New Roman"/>
                <w:sz w:val="20"/>
                <w:szCs w:val="20"/>
                <w:vertAlign w:val="superscript"/>
              </w:rPr>
              <w:fldChar w:fldCharType="end"/>
            </w:r>
            <w:r w:rsidR="00442AFB" w:rsidRPr="00FE444A">
              <w:rPr>
                <w:rFonts w:cs="Arial"/>
                <w:sz w:val="20"/>
                <w:szCs w:val="20"/>
              </w:rPr>
              <w:t xml:space="preserve"> </w:t>
            </w:r>
          </w:p>
        </w:tc>
        <w:tc>
          <w:tcPr>
            <w:tcW w:w="5683" w:type="dxa"/>
          </w:tcPr>
          <w:p w14:paraId="0DC6C56D" w14:textId="2630156F" w:rsidR="00CD5B35" w:rsidRPr="00FE444A" w:rsidRDefault="00FE444A" w:rsidP="00E71044">
            <w:pPr>
              <w:spacing w:before="20" w:after="60" w:line="240" w:lineRule="auto"/>
              <w:rPr>
                <w:rFonts w:cs="Arial"/>
                <w:sz w:val="20"/>
                <w:szCs w:val="20"/>
              </w:rPr>
            </w:pPr>
            <w:r>
              <w:rPr>
                <w:rFonts w:cs="Arial"/>
                <w:b/>
                <w:sz w:val="20"/>
                <w:szCs w:val="20"/>
              </w:rPr>
              <w:t>NEITHER PRO NOR CON</w:t>
            </w:r>
            <w:r w:rsidR="00E27175" w:rsidRPr="00FE444A">
              <w:rPr>
                <w:rFonts w:cs="Arial"/>
                <w:b/>
                <w:sz w:val="20"/>
                <w:szCs w:val="20"/>
              </w:rPr>
              <w:t xml:space="preserve">: </w:t>
            </w:r>
            <w:r w:rsidR="00E27175" w:rsidRPr="00FE444A">
              <w:rPr>
                <w:rFonts w:cs="Arial"/>
                <w:sz w:val="20"/>
                <w:szCs w:val="20"/>
              </w:rPr>
              <w:t xml:space="preserve">Retrospectively analyzed 2,159 records of </w:t>
            </w:r>
            <w:r w:rsidR="0071722D" w:rsidRPr="00FE444A">
              <w:rPr>
                <w:rFonts w:cs="Arial"/>
                <w:sz w:val="20"/>
                <w:szCs w:val="20"/>
              </w:rPr>
              <w:t xml:space="preserve">ventilated patients to determine which patients should be intubated with subglottic endotracheal tubes. Analysis was based on length of stay. Nonoperative intubation, emergent intubation, history of dementia, admission to the </w:t>
            </w:r>
            <w:r w:rsidR="00E71044" w:rsidRPr="00FE444A">
              <w:rPr>
                <w:rFonts w:cs="Arial"/>
                <w:sz w:val="20"/>
                <w:szCs w:val="20"/>
              </w:rPr>
              <w:t xml:space="preserve">neurocritical care unit </w:t>
            </w:r>
            <w:r w:rsidR="0071722D" w:rsidRPr="00FE444A">
              <w:rPr>
                <w:rFonts w:cs="Arial"/>
                <w:sz w:val="20"/>
                <w:szCs w:val="20"/>
              </w:rPr>
              <w:t xml:space="preserve">and </w:t>
            </w:r>
            <w:r w:rsidR="00E71044" w:rsidRPr="00FE444A">
              <w:rPr>
                <w:rFonts w:cs="Arial"/>
                <w:sz w:val="20"/>
                <w:szCs w:val="20"/>
              </w:rPr>
              <w:t xml:space="preserve">acute kidney injury </w:t>
            </w:r>
            <w:r w:rsidR="0071722D" w:rsidRPr="00FE444A">
              <w:rPr>
                <w:rFonts w:cs="Arial"/>
                <w:sz w:val="20"/>
                <w:szCs w:val="20"/>
              </w:rPr>
              <w:t xml:space="preserve">all appear to be independently associated with increased </w:t>
            </w:r>
            <w:r w:rsidR="006B726A" w:rsidRPr="00FE444A">
              <w:rPr>
                <w:rFonts w:cs="Arial"/>
                <w:sz w:val="20"/>
                <w:szCs w:val="20"/>
              </w:rPr>
              <w:t xml:space="preserve">risk ratios </w:t>
            </w:r>
            <w:r w:rsidR="0071722D" w:rsidRPr="00FE444A">
              <w:rPr>
                <w:rFonts w:cs="Arial"/>
                <w:sz w:val="20"/>
                <w:szCs w:val="20"/>
              </w:rPr>
              <w:t>for either ≥48 or 72 hours of ventilation.</w:t>
            </w:r>
          </w:p>
        </w:tc>
      </w:tr>
      <w:tr w:rsidR="0071722D" w:rsidRPr="007C1F7F" w14:paraId="11B7E445" w14:textId="77777777" w:rsidTr="00426D03">
        <w:tc>
          <w:tcPr>
            <w:tcW w:w="3307" w:type="dxa"/>
          </w:tcPr>
          <w:p w14:paraId="48CA1D12" w14:textId="0CCA2830" w:rsidR="0071722D" w:rsidRPr="00FE444A" w:rsidRDefault="0071722D" w:rsidP="00FE444A">
            <w:pPr>
              <w:tabs>
                <w:tab w:val="left" w:pos="1105"/>
              </w:tabs>
              <w:spacing w:before="20" w:after="60" w:line="240" w:lineRule="auto"/>
              <w:rPr>
                <w:rFonts w:cs="Arial"/>
                <w:sz w:val="20"/>
                <w:szCs w:val="20"/>
              </w:rPr>
            </w:pPr>
            <w:r w:rsidRPr="00FE444A">
              <w:rPr>
                <w:rFonts w:cs="Arial"/>
                <w:sz w:val="20"/>
                <w:szCs w:val="20"/>
              </w:rPr>
              <w:t>Retrospective Chart Review</w:t>
            </w:r>
          </w:p>
          <w:p w14:paraId="6E57DE1A" w14:textId="27E84734" w:rsidR="0071722D" w:rsidRPr="00FE444A" w:rsidDel="00CD5B35" w:rsidRDefault="0071722D" w:rsidP="00FE444A">
            <w:pPr>
              <w:tabs>
                <w:tab w:val="left" w:pos="1105"/>
              </w:tabs>
              <w:spacing w:before="20" w:after="60" w:line="240" w:lineRule="auto"/>
              <w:rPr>
                <w:rFonts w:cs="Arial"/>
                <w:sz w:val="20"/>
                <w:szCs w:val="20"/>
              </w:rPr>
            </w:pPr>
            <w:r w:rsidRPr="00FE444A">
              <w:rPr>
                <w:rFonts w:cs="Arial"/>
                <w:sz w:val="20"/>
                <w:szCs w:val="20"/>
              </w:rPr>
              <w:t>(Hubbard, 2016)</w:t>
            </w:r>
            <w:r w:rsidR="00442AFB" w:rsidRPr="00FE444A">
              <w:rPr>
                <w:rFonts w:eastAsia="Times New Roman" w:cs="Times New Roman"/>
                <w:sz w:val="20"/>
                <w:szCs w:val="20"/>
                <w:vertAlign w:val="superscript"/>
              </w:rPr>
              <w:fldChar w:fldCharType="begin"/>
            </w:r>
            <w:r w:rsidR="00442AFB" w:rsidRPr="00FE444A">
              <w:rPr>
                <w:rFonts w:eastAsia="Times New Roman" w:cs="Times New Roman"/>
                <w:sz w:val="20"/>
                <w:szCs w:val="20"/>
                <w:vertAlign w:val="superscript"/>
              </w:rPr>
              <w:instrText>ADDIN RW.CITE{{1942 Hubbard,J.L. 2016}}</w:instrText>
            </w:r>
            <w:r w:rsidR="00442AFB"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6</w:t>
            </w:r>
            <w:r w:rsidR="00442AFB" w:rsidRPr="00FE444A">
              <w:rPr>
                <w:rFonts w:eastAsia="Times New Roman" w:cs="Times New Roman"/>
                <w:sz w:val="20"/>
                <w:szCs w:val="20"/>
                <w:vertAlign w:val="superscript"/>
              </w:rPr>
              <w:fldChar w:fldCharType="end"/>
            </w:r>
            <w:r w:rsidR="00442AFB" w:rsidRPr="00FE444A">
              <w:rPr>
                <w:rFonts w:cs="Arial"/>
                <w:sz w:val="20"/>
                <w:szCs w:val="20"/>
              </w:rPr>
              <w:t xml:space="preserve"> </w:t>
            </w:r>
          </w:p>
        </w:tc>
        <w:tc>
          <w:tcPr>
            <w:tcW w:w="5683" w:type="dxa"/>
          </w:tcPr>
          <w:p w14:paraId="3BF06DFA" w14:textId="27834793" w:rsidR="0071722D" w:rsidRPr="00FE444A" w:rsidRDefault="0071722D" w:rsidP="00070062">
            <w:pPr>
              <w:spacing w:before="20" w:after="60" w:line="240" w:lineRule="auto"/>
              <w:rPr>
                <w:rFonts w:cs="Arial"/>
                <w:sz w:val="20"/>
                <w:szCs w:val="20"/>
              </w:rPr>
            </w:pPr>
            <w:r w:rsidRPr="00FE444A">
              <w:rPr>
                <w:rFonts w:cs="Arial"/>
                <w:b/>
                <w:sz w:val="20"/>
                <w:szCs w:val="20"/>
              </w:rPr>
              <w:t xml:space="preserve">PRO: </w:t>
            </w:r>
            <w:r w:rsidRPr="00FE444A">
              <w:rPr>
                <w:rFonts w:cs="Arial"/>
                <w:sz w:val="20"/>
                <w:szCs w:val="20"/>
              </w:rPr>
              <w:t xml:space="preserve">A retrospective review of 1,135 adult trauma patients from 2011 to 2014 at a Level 1 trauma center. </w:t>
            </w:r>
            <w:r w:rsidR="003150F3" w:rsidRPr="00FE444A">
              <w:rPr>
                <w:rFonts w:cs="Arial"/>
                <w:sz w:val="20"/>
                <w:szCs w:val="20"/>
              </w:rPr>
              <w:t>667 had standard endotracheal tubes (ETT) and 468 had endotracheal tubes allowing subglottic secretion drainage</w:t>
            </w:r>
            <w:r w:rsidR="00E71044" w:rsidRPr="00FE444A">
              <w:rPr>
                <w:rFonts w:cs="Arial"/>
                <w:sz w:val="20"/>
                <w:szCs w:val="20"/>
              </w:rPr>
              <w:t xml:space="preserve"> (SSD)</w:t>
            </w:r>
            <w:r w:rsidR="003150F3" w:rsidRPr="00FE444A">
              <w:rPr>
                <w:rFonts w:cs="Arial"/>
                <w:sz w:val="20"/>
                <w:szCs w:val="20"/>
              </w:rPr>
              <w:t xml:space="preserve">. </w:t>
            </w:r>
            <w:r w:rsidR="00070062">
              <w:rPr>
                <w:rFonts w:cs="Arial"/>
                <w:sz w:val="20"/>
                <w:szCs w:val="20"/>
              </w:rPr>
              <w:t>SSD-ETT</w:t>
            </w:r>
            <w:r w:rsidR="003150F3" w:rsidRPr="00FE444A">
              <w:rPr>
                <w:rFonts w:cs="Arial"/>
                <w:sz w:val="20"/>
                <w:szCs w:val="20"/>
              </w:rPr>
              <w:t xml:space="preserve"> </w:t>
            </w:r>
            <w:r w:rsidR="00FA5CC5">
              <w:rPr>
                <w:rFonts w:cs="Arial"/>
                <w:sz w:val="20"/>
                <w:szCs w:val="20"/>
              </w:rPr>
              <w:t xml:space="preserve">was associated with </w:t>
            </w:r>
            <w:r w:rsidR="003150F3" w:rsidRPr="00FE444A">
              <w:rPr>
                <w:rFonts w:cs="Arial"/>
                <w:sz w:val="20"/>
                <w:szCs w:val="20"/>
              </w:rPr>
              <w:t xml:space="preserve">decreased </w:t>
            </w:r>
            <w:r w:rsidR="00E71044" w:rsidRPr="00FE444A">
              <w:rPr>
                <w:rFonts w:cs="Arial"/>
                <w:sz w:val="20"/>
                <w:szCs w:val="20"/>
              </w:rPr>
              <w:t>ventilator-associated pneumonia (</w:t>
            </w:r>
            <w:r w:rsidR="003150F3" w:rsidRPr="00FE444A">
              <w:rPr>
                <w:rFonts w:cs="Arial"/>
                <w:sz w:val="20"/>
                <w:szCs w:val="20"/>
              </w:rPr>
              <w:t>VAP</w:t>
            </w:r>
            <w:r w:rsidR="00E71044" w:rsidRPr="00FE444A">
              <w:rPr>
                <w:rFonts w:cs="Arial"/>
                <w:sz w:val="20"/>
                <w:szCs w:val="20"/>
              </w:rPr>
              <w:t>)</w:t>
            </w:r>
            <w:r w:rsidR="003150F3" w:rsidRPr="00FE444A">
              <w:rPr>
                <w:rFonts w:cs="Arial"/>
                <w:sz w:val="20"/>
                <w:szCs w:val="20"/>
              </w:rPr>
              <w:t xml:space="preserve"> rate, ventilator days, and intensive care unit length of stay in trauma patients.</w:t>
            </w:r>
          </w:p>
        </w:tc>
      </w:tr>
      <w:tr w:rsidR="003150F3" w:rsidRPr="007C1F7F" w14:paraId="608FD668" w14:textId="77777777" w:rsidTr="00426D03">
        <w:tc>
          <w:tcPr>
            <w:tcW w:w="3307" w:type="dxa"/>
          </w:tcPr>
          <w:p w14:paraId="718355FB" w14:textId="59A05FF6" w:rsidR="003150F3" w:rsidRPr="00FE444A" w:rsidRDefault="003150F3" w:rsidP="00FE444A">
            <w:pPr>
              <w:tabs>
                <w:tab w:val="left" w:pos="1105"/>
              </w:tabs>
              <w:spacing w:before="20" w:after="60" w:line="240" w:lineRule="auto"/>
              <w:rPr>
                <w:rFonts w:cs="Arial"/>
                <w:sz w:val="20"/>
                <w:szCs w:val="20"/>
              </w:rPr>
            </w:pPr>
            <w:r w:rsidRPr="00FE444A">
              <w:rPr>
                <w:rFonts w:cs="Arial"/>
                <w:sz w:val="20"/>
                <w:szCs w:val="20"/>
              </w:rPr>
              <w:t>Randomized Controlled Trial</w:t>
            </w:r>
            <w:r w:rsidR="003E436A">
              <w:rPr>
                <w:rFonts w:cs="Arial"/>
                <w:sz w:val="20"/>
                <w:szCs w:val="20"/>
              </w:rPr>
              <w:t xml:space="preserve"> (RCT)</w:t>
            </w:r>
          </w:p>
          <w:p w14:paraId="5AC8B117" w14:textId="097EAA8C" w:rsidR="003150F3" w:rsidRPr="00FE444A" w:rsidRDefault="003150F3" w:rsidP="00FE444A">
            <w:pPr>
              <w:tabs>
                <w:tab w:val="left" w:pos="1105"/>
              </w:tabs>
              <w:spacing w:before="20" w:after="60" w:line="240" w:lineRule="auto"/>
              <w:rPr>
                <w:rFonts w:cs="Arial"/>
                <w:sz w:val="20"/>
                <w:szCs w:val="20"/>
              </w:rPr>
            </w:pPr>
            <w:r w:rsidRPr="00FE444A">
              <w:rPr>
                <w:rFonts w:cs="Arial"/>
                <w:sz w:val="20"/>
                <w:szCs w:val="20"/>
              </w:rPr>
              <w:t>(Damas, 2015)</w:t>
            </w:r>
            <w:r w:rsidR="00442AFB" w:rsidRPr="00FE444A">
              <w:rPr>
                <w:rFonts w:eastAsia="Times New Roman" w:cs="Times New Roman"/>
                <w:sz w:val="20"/>
                <w:szCs w:val="20"/>
                <w:vertAlign w:val="superscript"/>
              </w:rPr>
              <w:fldChar w:fldCharType="begin"/>
            </w:r>
            <w:r w:rsidR="00442AFB" w:rsidRPr="00FE444A">
              <w:rPr>
                <w:rFonts w:eastAsia="Times New Roman" w:cs="Times New Roman"/>
                <w:sz w:val="20"/>
                <w:szCs w:val="20"/>
                <w:vertAlign w:val="superscript"/>
              </w:rPr>
              <w:instrText>ADDIN RW.CITE{{1943 Damas,P. 2015}}</w:instrText>
            </w:r>
            <w:r w:rsidR="00442AFB"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7</w:t>
            </w:r>
            <w:r w:rsidR="00442AFB" w:rsidRPr="00FE444A">
              <w:rPr>
                <w:rFonts w:eastAsia="Times New Roman" w:cs="Times New Roman"/>
                <w:sz w:val="20"/>
                <w:szCs w:val="20"/>
                <w:vertAlign w:val="superscript"/>
              </w:rPr>
              <w:fldChar w:fldCharType="end"/>
            </w:r>
          </w:p>
        </w:tc>
        <w:tc>
          <w:tcPr>
            <w:tcW w:w="5683" w:type="dxa"/>
          </w:tcPr>
          <w:p w14:paraId="603EB418" w14:textId="725D8EDE" w:rsidR="003150F3" w:rsidRPr="00FE444A" w:rsidRDefault="003150F3" w:rsidP="00B6314D">
            <w:pPr>
              <w:spacing w:before="20" w:after="60" w:line="240" w:lineRule="auto"/>
              <w:rPr>
                <w:rFonts w:cs="Arial"/>
                <w:sz w:val="20"/>
                <w:szCs w:val="20"/>
              </w:rPr>
            </w:pPr>
            <w:r w:rsidRPr="00FE444A">
              <w:rPr>
                <w:rFonts w:cs="Arial"/>
                <w:b/>
                <w:sz w:val="20"/>
                <w:szCs w:val="20"/>
              </w:rPr>
              <w:t>PRO:</w:t>
            </w:r>
            <w:r w:rsidR="00CC5341" w:rsidRPr="00FE444A">
              <w:rPr>
                <w:rFonts w:cs="Arial"/>
                <w:sz w:val="20"/>
                <w:szCs w:val="20"/>
              </w:rPr>
              <w:t xml:space="preserve"> 352 adult patients were intubated with </w:t>
            </w:r>
            <w:r w:rsidR="00070062" w:rsidRPr="00070062">
              <w:rPr>
                <w:rFonts w:cs="Arial"/>
                <w:sz w:val="20"/>
                <w:szCs w:val="20"/>
              </w:rPr>
              <w:t>an endotracheal tube allowing subglottic secretion suctioning</w:t>
            </w:r>
            <w:r w:rsidR="00CC5341" w:rsidRPr="00FE444A">
              <w:rPr>
                <w:rFonts w:cs="Arial"/>
                <w:sz w:val="20"/>
                <w:szCs w:val="20"/>
              </w:rPr>
              <w:t>. Patients were randomized to suctioning (170) or not (182). Subglottic suctioning resulted in a significant reduction of ventilator-associated pneumonia and an associated reduction in antibiotic use. Ventilator-associated condition</w:t>
            </w:r>
            <w:r w:rsidR="00E71044" w:rsidRPr="00FE444A">
              <w:rPr>
                <w:rFonts w:cs="Arial"/>
                <w:sz w:val="20"/>
                <w:szCs w:val="20"/>
              </w:rPr>
              <w:t xml:space="preserve"> </w:t>
            </w:r>
            <w:r w:rsidR="00CC5341" w:rsidRPr="00FE444A">
              <w:rPr>
                <w:rFonts w:cs="Arial"/>
                <w:sz w:val="20"/>
                <w:szCs w:val="20"/>
              </w:rPr>
              <w:t xml:space="preserve">occurrence did not differ between the </w:t>
            </w:r>
            <w:r w:rsidR="003E436A">
              <w:rPr>
                <w:rFonts w:cs="Arial"/>
                <w:sz w:val="20"/>
                <w:szCs w:val="20"/>
              </w:rPr>
              <w:t>two</w:t>
            </w:r>
            <w:r w:rsidR="00CC5341" w:rsidRPr="00FE444A">
              <w:rPr>
                <w:rFonts w:cs="Arial"/>
                <w:sz w:val="20"/>
                <w:szCs w:val="20"/>
              </w:rPr>
              <w:t xml:space="preserve"> groups and appeared to be related to other medical features than </w:t>
            </w:r>
            <w:r w:rsidR="00E71044" w:rsidRPr="00FE444A">
              <w:rPr>
                <w:rFonts w:cs="Arial"/>
                <w:sz w:val="20"/>
                <w:szCs w:val="20"/>
              </w:rPr>
              <w:t>VAP</w:t>
            </w:r>
            <w:r w:rsidR="00CC5341" w:rsidRPr="00FE444A">
              <w:rPr>
                <w:rFonts w:cs="Arial"/>
                <w:sz w:val="20"/>
                <w:szCs w:val="20"/>
              </w:rPr>
              <w:t>.</w:t>
            </w:r>
          </w:p>
        </w:tc>
      </w:tr>
      <w:tr w:rsidR="00CC5341" w:rsidRPr="007C1F7F" w14:paraId="18D3B0D2" w14:textId="77777777" w:rsidTr="00426D03">
        <w:tc>
          <w:tcPr>
            <w:tcW w:w="3307" w:type="dxa"/>
          </w:tcPr>
          <w:p w14:paraId="3A800AB7" w14:textId="239BC8FF" w:rsidR="00CC5341" w:rsidRPr="00FE444A" w:rsidRDefault="00CC5341" w:rsidP="00FE444A">
            <w:pPr>
              <w:spacing w:before="60" w:after="60" w:line="240" w:lineRule="auto"/>
              <w:rPr>
                <w:rFonts w:cs="Arial"/>
                <w:sz w:val="20"/>
                <w:szCs w:val="20"/>
              </w:rPr>
            </w:pPr>
            <w:r w:rsidRPr="00FE444A">
              <w:rPr>
                <w:rFonts w:cs="Arial"/>
                <w:sz w:val="20"/>
                <w:szCs w:val="20"/>
              </w:rPr>
              <w:t>Cost Benefit Analysis</w:t>
            </w:r>
          </w:p>
          <w:p w14:paraId="6130A729" w14:textId="15004B18" w:rsidR="00CC5341" w:rsidRPr="00FE444A" w:rsidRDefault="00CC5341" w:rsidP="00FE444A">
            <w:pPr>
              <w:tabs>
                <w:tab w:val="left" w:pos="1105"/>
              </w:tabs>
              <w:spacing w:before="20" w:after="60" w:line="240" w:lineRule="auto"/>
              <w:rPr>
                <w:rFonts w:cs="Arial"/>
                <w:sz w:val="20"/>
                <w:szCs w:val="20"/>
              </w:rPr>
            </w:pPr>
            <w:r w:rsidRPr="00FE444A">
              <w:rPr>
                <w:rFonts w:cs="Arial"/>
                <w:sz w:val="20"/>
                <w:szCs w:val="20"/>
              </w:rPr>
              <w:t>(Hallais, 2011)</w:t>
            </w:r>
            <w:r w:rsidR="00442AFB" w:rsidRPr="00FE444A">
              <w:rPr>
                <w:rFonts w:eastAsia="Times New Roman" w:cs="Times New Roman"/>
                <w:sz w:val="20"/>
                <w:szCs w:val="20"/>
                <w:vertAlign w:val="superscript"/>
              </w:rPr>
              <w:fldChar w:fldCharType="begin"/>
            </w:r>
            <w:r w:rsidR="00442AFB" w:rsidRPr="00FE444A">
              <w:rPr>
                <w:rFonts w:eastAsia="Times New Roman" w:cs="Times New Roman"/>
                <w:sz w:val="20"/>
                <w:szCs w:val="20"/>
                <w:vertAlign w:val="superscript"/>
              </w:rPr>
              <w:instrText>ADDIN RW.CITE{{270 Hallais,C. 2011}}</w:instrText>
            </w:r>
            <w:r w:rsidR="00442AFB"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8</w:t>
            </w:r>
            <w:r w:rsidR="00442AFB" w:rsidRPr="00FE444A">
              <w:rPr>
                <w:rFonts w:eastAsia="Times New Roman" w:cs="Times New Roman"/>
                <w:sz w:val="20"/>
                <w:szCs w:val="20"/>
                <w:vertAlign w:val="superscript"/>
              </w:rPr>
              <w:fldChar w:fldCharType="end"/>
            </w:r>
            <w:r w:rsidR="00442AFB" w:rsidRPr="00FE444A">
              <w:rPr>
                <w:rFonts w:cs="Arial"/>
                <w:sz w:val="20"/>
                <w:szCs w:val="20"/>
              </w:rPr>
              <w:t xml:space="preserve"> </w:t>
            </w:r>
          </w:p>
        </w:tc>
        <w:tc>
          <w:tcPr>
            <w:tcW w:w="5683" w:type="dxa"/>
          </w:tcPr>
          <w:p w14:paraId="2289BAE5" w14:textId="474D89D8" w:rsidR="00CC5341" w:rsidRPr="00FE444A" w:rsidRDefault="00CC5341" w:rsidP="00CC5341">
            <w:pPr>
              <w:spacing w:before="20" w:after="60" w:line="240" w:lineRule="auto"/>
              <w:rPr>
                <w:rFonts w:cs="Arial"/>
                <w:b/>
                <w:sz w:val="20"/>
                <w:szCs w:val="20"/>
              </w:rPr>
            </w:pPr>
            <w:r w:rsidRPr="00FE444A">
              <w:rPr>
                <w:rFonts w:cs="Arial"/>
                <w:b/>
                <w:sz w:val="20"/>
                <w:szCs w:val="20"/>
                <w:shd w:val="clear" w:color="auto" w:fill="FFFFFF"/>
              </w:rPr>
              <w:t xml:space="preserve">PRO: </w:t>
            </w:r>
            <w:r w:rsidRPr="00FE444A">
              <w:rPr>
                <w:rFonts w:cs="Arial"/>
                <w:b/>
                <w:sz w:val="20"/>
                <w:szCs w:val="20"/>
              </w:rPr>
              <w:t xml:space="preserve"> </w:t>
            </w:r>
            <w:r w:rsidRPr="00FE444A">
              <w:rPr>
                <w:rFonts w:cs="Arial"/>
                <w:sz w:val="20"/>
                <w:szCs w:val="20"/>
              </w:rPr>
              <w:t xml:space="preserve">Study in France analyzed the cost benefit of 416 surgical </w:t>
            </w:r>
            <w:r w:rsidR="00E71044" w:rsidRPr="00FE444A">
              <w:rPr>
                <w:rFonts w:cs="Arial"/>
                <w:sz w:val="20"/>
                <w:szCs w:val="20"/>
              </w:rPr>
              <w:t>intensive care unit (</w:t>
            </w:r>
            <w:r w:rsidRPr="00FE444A">
              <w:rPr>
                <w:rFonts w:cs="Arial"/>
                <w:sz w:val="20"/>
                <w:szCs w:val="20"/>
              </w:rPr>
              <w:t>ICU</w:t>
            </w:r>
            <w:r w:rsidR="00E71044" w:rsidRPr="00FE444A">
              <w:rPr>
                <w:rFonts w:cs="Arial"/>
                <w:sz w:val="20"/>
                <w:szCs w:val="20"/>
              </w:rPr>
              <w:t>)</w:t>
            </w:r>
            <w:r w:rsidRPr="00FE444A">
              <w:rPr>
                <w:rFonts w:cs="Arial"/>
                <w:sz w:val="20"/>
                <w:szCs w:val="20"/>
              </w:rPr>
              <w:t xml:space="preserve"> patients receiving mechanical ventilation for 3,487 ventilation days. Finding</w:t>
            </w:r>
            <w:r w:rsidR="00FA5CC5">
              <w:rPr>
                <w:rFonts w:cs="Arial"/>
                <w:sz w:val="20"/>
                <w:szCs w:val="20"/>
              </w:rPr>
              <w:t>s</w:t>
            </w:r>
            <w:r w:rsidRPr="00FE444A">
              <w:rPr>
                <w:rFonts w:cs="Arial"/>
                <w:sz w:val="20"/>
                <w:szCs w:val="20"/>
              </w:rPr>
              <w:t xml:space="preserve"> showed replacing conventional ventilator</w:t>
            </w:r>
            <w:r w:rsidRPr="00FE444A">
              <w:rPr>
                <w:rStyle w:val="apple-converted-space"/>
                <w:rFonts w:eastAsiaTheme="minorHAnsi" w:cs="Arial"/>
                <w:color w:val="000000"/>
                <w:sz w:val="20"/>
                <w:szCs w:val="20"/>
                <w:shd w:val="clear" w:color="auto" w:fill="FFFFFF"/>
              </w:rPr>
              <w:t xml:space="preserve"> tubes with continuous subglottic suctioning tubes averted €1,383.69 ($1</w:t>
            </w:r>
            <w:r w:rsidR="003E436A">
              <w:rPr>
                <w:rStyle w:val="apple-converted-space"/>
                <w:rFonts w:eastAsiaTheme="minorHAnsi" w:cs="Arial"/>
                <w:color w:val="000000"/>
                <w:sz w:val="20"/>
                <w:szCs w:val="20"/>
                <w:shd w:val="clear" w:color="auto" w:fill="FFFFFF"/>
              </w:rPr>
              <w:t>,</w:t>
            </w:r>
            <w:r w:rsidRPr="00FE444A">
              <w:rPr>
                <w:rStyle w:val="apple-converted-space"/>
                <w:rFonts w:eastAsiaTheme="minorHAnsi" w:cs="Arial"/>
                <w:color w:val="000000"/>
                <w:sz w:val="20"/>
                <w:szCs w:val="20"/>
                <w:shd w:val="clear" w:color="auto" w:fill="FFFFFF"/>
              </w:rPr>
              <w:t xml:space="preserve">500 USD) per VAP episode. Replacement of </w:t>
            </w:r>
            <w:r w:rsidRPr="00FE444A">
              <w:rPr>
                <w:rFonts w:cs="Arial"/>
                <w:sz w:val="20"/>
                <w:szCs w:val="20"/>
              </w:rPr>
              <w:t>conventional ventilator</w:t>
            </w:r>
            <w:r w:rsidRPr="00FE444A">
              <w:rPr>
                <w:rStyle w:val="apple-converted-space"/>
                <w:rFonts w:eastAsiaTheme="minorHAnsi" w:cs="Arial"/>
                <w:color w:val="000000"/>
                <w:sz w:val="20"/>
                <w:szCs w:val="20"/>
                <w:shd w:val="clear" w:color="auto" w:fill="FFFFFF"/>
              </w:rPr>
              <w:t xml:space="preserve"> tubes with continuous subglottic suctioning tubes</w:t>
            </w:r>
            <w:r w:rsidR="00E00B88" w:rsidRPr="00FE444A">
              <w:rPr>
                <w:rStyle w:val="apple-converted-space"/>
                <w:rFonts w:eastAsiaTheme="minorHAnsi" w:cs="Arial"/>
                <w:color w:val="000000"/>
                <w:sz w:val="20"/>
                <w:szCs w:val="20"/>
                <w:shd w:val="clear" w:color="auto" w:fill="FFFFFF"/>
              </w:rPr>
              <w:t xml:space="preserve"> for all patients</w:t>
            </w:r>
            <w:r w:rsidRPr="00FE444A">
              <w:rPr>
                <w:rStyle w:val="apple-converted-space"/>
                <w:rFonts w:eastAsiaTheme="minorHAnsi" w:cs="Arial"/>
                <w:color w:val="000000"/>
                <w:sz w:val="20"/>
                <w:szCs w:val="20"/>
                <w:shd w:val="clear" w:color="auto" w:fill="FFFFFF"/>
              </w:rPr>
              <w:t xml:space="preserve"> was cost</w:t>
            </w:r>
            <w:r w:rsidR="00A37C0D">
              <w:rPr>
                <w:rStyle w:val="apple-converted-space"/>
                <w:rFonts w:eastAsiaTheme="minorHAnsi" w:cs="Arial"/>
                <w:color w:val="000000"/>
                <w:sz w:val="20"/>
                <w:szCs w:val="20"/>
                <w:shd w:val="clear" w:color="auto" w:fill="FFFFFF"/>
              </w:rPr>
              <w:t xml:space="preserve"> </w:t>
            </w:r>
            <w:r w:rsidRPr="00FE444A">
              <w:rPr>
                <w:rStyle w:val="apple-converted-space"/>
                <w:rFonts w:eastAsiaTheme="minorHAnsi" w:cs="Arial"/>
                <w:color w:val="000000"/>
                <w:sz w:val="20"/>
                <w:szCs w:val="20"/>
                <w:shd w:val="clear" w:color="auto" w:fill="FFFFFF"/>
              </w:rPr>
              <w:t>effective even when assuming pessimistic scenario of VAP incidence and costs.</w:t>
            </w:r>
          </w:p>
        </w:tc>
      </w:tr>
      <w:tr w:rsidR="00CC5341" w:rsidRPr="007C1F7F" w14:paraId="2EC14A96" w14:textId="77777777" w:rsidTr="00426D03">
        <w:tc>
          <w:tcPr>
            <w:tcW w:w="3307" w:type="dxa"/>
          </w:tcPr>
          <w:p w14:paraId="2D3E71A3" w14:textId="619C2123" w:rsidR="00CC5341" w:rsidRPr="00FE444A" w:rsidRDefault="00EF5093" w:rsidP="00FE444A">
            <w:pPr>
              <w:tabs>
                <w:tab w:val="left" w:pos="1105"/>
              </w:tabs>
              <w:spacing w:before="20" w:after="60" w:line="240" w:lineRule="auto"/>
              <w:rPr>
                <w:rFonts w:cs="Arial"/>
                <w:sz w:val="20"/>
                <w:szCs w:val="20"/>
              </w:rPr>
            </w:pPr>
            <w:r w:rsidRPr="00FE444A">
              <w:rPr>
                <w:rFonts w:cs="Arial"/>
                <w:sz w:val="20"/>
                <w:szCs w:val="20"/>
              </w:rPr>
              <w:t>Retrospective Chart Review</w:t>
            </w:r>
          </w:p>
          <w:p w14:paraId="4F9A564D" w14:textId="1D54E62E" w:rsidR="00CC5341" w:rsidRPr="00FE444A" w:rsidRDefault="00CC5341" w:rsidP="00FE444A">
            <w:pPr>
              <w:spacing w:before="20" w:after="60" w:line="240" w:lineRule="auto"/>
              <w:rPr>
                <w:rFonts w:cs="Arial"/>
                <w:b/>
                <w:bCs/>
                <w:i/>
                <w:sz w:val="20"/>
                <w:szCs w:val="20"/>
              </w:rPr>
            </w:pPr>
            <w:r w:rsidRPr="00FE444A">
              <w:rPr>
                <w:rFonts w:cs="Arial"/>
                <w:sz w:val="20"/>
                <w:szCs w:val="20"/>
              </w:rPr>
              <w:t>(Juneja, 2011)</w:t>
            </w:r>
            <w:r w:rsidR="00442AFB" w:rsidRPr="00FE444A">
              <w:rPr>
                <w:rFonts w:eastAsia="Times New Roman" w:cs="Times New Roman"/>
                <w:sz w:val="20"/>
                <w:szCs w:val="20"/>
                <w:vertAlign w:val="superscript"/>
              </w:rPr>
              <w:fldChar w:fldCharType="begin"/>
            </w:r>
            <w:r w:rsidR="00442AFB" w:rsidRPr="00FE444A">
              <w:rPr>
                <w:rFonts w:eastAsia="Times New Roman" w:cs="Times New Roman"/>
                <w:sz w:val="20"/>
                <w:szCs w:val="20"/>
                <w:vertAlign w:val="superscript"/>
              </w:rPr>
              <w:instrText>ADDIN RW.CITE{{349 Juneja, D. 2011}}</w:instrText>
            </w:r>
            <w:r w:rsidR="00442AFB"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9</w:t>
            </w:r>
            <w:r w:rsidR="00442AFB" w:rsidRPr="00FE444A">
              <w:rPr>
                <w:rFonts w:eastAsia="Times New Roman" w:cs="Times New Roman"/>
                <w:sz w:val="20"/>
                <w:szCs w:val="20"/>
                <w:vertAlign w:val="superscript"/>
              </w:rPr>
              <w:fldChar w:fldCharType="end"/>
            </w:r>
          </w:p>
        </w:tc>
        <w:tc>
          <w:tcPr>
            <w:tcW w:w="5683" w:type="dxa"/>
          </w:tcPr>
          <w:p w14:paraId="6EEDAAE0" w14:textId="57868E2E" w:rsidR="00CC5341" w:rsidRPr="00FE444A" w:rsidRDefault="00E00B88" w:rsidP="00E00B88">
            <w:pPr>
              <w:spacing w:before="20" w:after="60" w:line="240" w:lineRule="auto"/>
              <w:rPr>
                <w:rFonts w:eastAsia="Arial Unicode MS" w:cs="Arial"/>
                <w:color w:val="2E2E2E"/>
                <w:sz w:val="20"/>
                <w:szCs w:val="20"/>
                <w:shd w:val="clear" w:color="auto" w:fill="FFFFFF"/>
              </w:rPr>
            </w:pPr>
            <w:r w:rsidRPr="00FE444A">
              <w:rPr>
                <w:rFonts w:cs="Arial"/>
                <w:b/>
                <w:sz w:val="20"/>
                <w:szCs w:val="20"/>
              </w:rPr>
              <w:t>PRO</w:t>
            </w:r>
            <w:r w:rsidR="00CC5341" w:rsidRPr="00FE444A">
              <w:rPr>
                <w:rFonts w:cs="Arial"/>
                <w:b/>
                <w:sz w:val="20"/>
                <w:szCs w:val="20"/>
              </w:rPr>
              <w:t>:</w:t>
            </w:r>
            <w:r w:rsidR="00CC5341" w:rsidRPr="00FE444A">
              <w:rPr>
                <w:rStyle w:val="apple-converted-space"/>
                <w:rFonts w:eastAsia="Arial Unicode MS" w:cs="Arial"/>
                <w:color w:val="2E2E2E"/>
                <w:sz w:val="20"/>
                <w:szCs w:val="20"/>
                <w:shd w:val="clear" w:color="auto" w:fill="FFFFFF"/>
              </w:rPr>
              <w:t> </w:t>
            </w:r>
            <w:r w:rsidR="00EF5093" w:rsidRPr="00FE444A">
              <w:rPr>
                <w:rFonts w:eastAsia="AGaramond-Regular" w:cs="Arial"/>
                <w:color w:val="231F20"/>
                <w:sz w:val="20"/>
                <w:szCs w:val="20"/>
              </w:rPr>
              <w:t xml:space="preserve">Data for 311 patients requiring mechanical ventilation for more than 72 hours were collected retrospectively. These patients were divided into </w:t>
            </w:r>
            <w:r w:rsidR="003E436A">
              <w:rPr>
                <w:rFonts w:eastAsia="AGaramond-Regular" w:cs="Arial"/>
                <w:color w:val="231F20"/>
                <w:sz w:val="20"/>
                <w:szCs w:val="20"/>
              </w:rPr>
              <w:t>four</w:t>
            </w:r>
            <w:r w:rsidRPr="00FE444A">
              <w:rPr>
                <w:rFonts w:eastAsia="AGaramond-Regular" w:cs="Arial"/>
                <w:color w:val="231F20"/>
                <w:sz w:val="20"/>
                <w:szCs w:val="20"/>
              </w:rPr>
              <w:t xml:space="preserve"> groups: no intervention; only continuous subglottic suctioning, only intermittent subglottic suctioning</w:t>
            </w:r>
            <w:r w:rsidR="00FA5CC5">
              <w:rPr>
                <w:rFonts w:eastAsia="AGaramond-Regular" w:cs="Arial"/>
                <w:color w:val="231F20"/>
                <w:sz w:val="20"/>
                <w:szCs w:val="20"/>
              </w:rPr>
              <w:t>,</w:t>
            </w:r>
            <w:r w:rsidRPr="00FE444A">
              <w:rPr>
                <w:rFonts w:eastAsia="AGaramond-Regular" w:cs="Arial"/>
                <w:color w:val="231F20"/>
                <w:sz w:val="20"/>
                <w:szCs w:val="20"/>
              </w:rPr>
              <w:t xml:space="preserve"> and intermittent subglottic suctioning and continuous subglottic suctioning combined. Intermittent subglottic suctioning reduces the incidence of ventilator-associated pneumonia. </w:t>
            </w:r>
            <w:r w:rsidR="00CC5341" w:rsidRPr="00FE444A">
              <w:rPr>
                <w:rFonts w:eastAsia="AGaramond-Regular" w:cs="Arial"/>
                <w:color w:val="231F20"/>
                <w:sz w:val="20"/>
                <w:szCs w:val="20"/>
              </w:rPr>
              <w:t xml:space="preserve"> </w:t>
            </w:r>
          </w:p>
        </w:tc>
      </w:tr>
      <w:tr w:rsidR="00CC5341" w:rsidRPr="007C1F7F" w14:paraId="194CBD0F" w14:textId="77777777" w:rsidTr="00426D03">
        <w:tc>
          <w:tcPr>
            <w:tcW w:w="3307" w:type="dxa"/>
          </w:tcPr>
          <w:p w14:paraId="300E7C5D" w14:textId="77777777" w:rsidR="00CC5341" w:rsidRPr="00FE444A" w:rsidRDefault="00CC5341" w:rsidP="00FE444A">
            <w:pPr>
              <w:tabs>
                <w:tab w:val="left" w:pos="1105"/>
              </w:tabs>
              <w:spacing w:before="20" w:after="60" w:line="240" w:lineRule="auto"/>
              <w:rPr>
                <w:rFonts w:cs="Arial"/>
                <w:sz w:val="20"/>
                <w:szCs w:val="20"/>
              </w:rPr>
            </w:pPr>
            <w:r w:rsidRPr="00FE444A">
              <w:rPr>
                <w:rFonts w:cs="Arial"/>
                <w:sz w:val="20"/>
                <w:szCs w:val="20"/>
              </w:rPr>
              <w:t>Business Case</w:t>
            </w:r>
          </w:p>
          <w:p w14:paraId="4C72BF5A" w14:textId="04AE112B" w:rsidR="00CC5341" w:rsidRPr="00FE444A" w:rsidDel="00CD5B35" w:rsidRDefault="00CC5341" w:rsidP="00FE444A">
            <w:pPr>
              <w:tabs>
                <w:tab w:val="left" w:pos="1105"/>
              </w:tabs>
              <w:spacing w:before="20" w:after="60" w:line="240" w:lineRule="auto"/>
              <w:rPr>
                <w:rFonts w:cs="Arial"/>
                <w:sz w:val="20"/>
                <w:szCs w:val="20"/>
              </w:rPr>
            </w:pPr>
            <w:r w:rsidRPr="00FE444A">
              <w:rPr>
                <w:rFonts w:cs="Arial"/>
                <w:sz w:val="20"/>
                <w:szCs w:val="20"/>
              </w:rPr>
              <w:t>(Speroni, 2011)</w:t>
            </w:r>
            <w:r w:rsidR="00442AFB" w:rsidRPr="00FE444A">
              <w:rPr>
                <w:rFonts w:eastAsia="Times New Roman" w:cs="Times New Roman"/>
                <w:sz w:val="20"/>
                <w:szCs w:val="20"/>
                <w:vertAlign w:val="superscript"/>
              </w:rPr>
              <w:fldChar w:fldCharType="begin"/>
            </w:r>
            <w:r w:rsidR="00442AFB" w:rsidRPr="00FE444A">
              <w:rPr>
                <w:rFonts w:eastAsia="Times New Roman" w:cs="Times New Roman"/>
                <w:sz w:val="20"/>
                <w:szCs w:val="20"/>
                <w:vertAlign w:val="superscript"/>
              </w:rPr>
              <w:instrText>ADDIN RW.CITE{{269 Speroni,K.G. 2011}}</w:instrText>
            </w:r>
            <w:r w:rsidR="00442AFB"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10</w:t>
            </w:r>
            <w:r w:rsidR="00442AFB" w:rsidRPr="00FE444A">
              <w:rPr>
                <w:rFonts w:eastAsia="Times New Roman" w:cs="Times New Roman"/>
                <w:sz w:val="20"/>
                <w:szCs w:val="20"/>
                <w:vertAlign w:val="superscript"/>
              </w:rPr>
              <w:fldChar w:fldCharType="end"/>
            </w:r>
            <w:r w:rsidR="00442AFB" w:rsidRPr="00FE444A">
              <w:rPr>
                <w:rFonts w:cs="Arial"/>
                <w:sz w:val="20"/>
                <w:szCs w:val="20"/>
              </w:rPr>
              <w:t xml:space="preserve"> </w:t>
            </w:r>
          </w:p>
        </w:tc>
        <w:tc>
          <w:tcPr>
            <w:tcW w:w="5683" w:type="dxa"/>
          </w:tcPr>
          <w:p w14:paraId="6923B111" w14:textId="60096A81" w:rsidR="00CC5341" w:rsidRPr="00FE444A" w:rsidRDefault="00CC5341" w:rsidP="00492EC3">
            <w:pPr>
              <w:spacing w:before="20" w:after="60" w:line="240" w:lineRule="auto"/>
              <w:rPr>
                <w:rFonts w:cs="Arial"/>
                <w:b/>
                <w:sz w:val="20"/>
                <w:szCs w:val="20"/>
              </w:rPr>
            </w:pPr>
            <w:r w:rsidRPr="00FE444A">
              <w:rPr>
                <w:rFonts w:cs="Arial"/>
                <w:b/>
                <w:sz w:val="20"/>
                <w:szCs w:val="20"/>
                <w:shd w:val="clear" w:color="auto" w:fill="FFFFFF"/>
              </w:rPr>
              <w:t xml:space="preserve">PRO: </w:t>
            </w:r>
            <w:r w:rsidRPr="00FE444A">
              <w:rPr>
                <w:rFonts w:cs="Arial"/>
                <w:b/>
                <w:sz w:val="20"/>
                <w:szCs w:val="20"/>
              </w:rPr>
              <w:t xml:space="preserve"> </w:t>
            </w:r>
            <w:r w:rsidRPr="00FE444A">
              <w:rPr>
                <w:rFonts w:cs="Arial"/>
                <w:sz w:val="20"/>
                <w:szCs w:val="20"/>
              </w:rPr>
              <w:t>Study was focused on medical and surgical ICU</w:t>
            </w:r>
            <w:r w:rsidR="00492EC3" w:rsidRPr="00FE444A">
              <w:rPr>
                <w:rFonts w:cs="Arial"/>
                <w:sz w:val="20"/>
                <w:szCs w:val="20"/>
              </w:rPr>
              <w:t xml:space="preserve"> </w:t>
            </w:r>
            <w:r w:rsidRPr="00FE444A">
              <w:rPr>
                <w:rFonts w:cs="Arial"/>
                <w:sz w:val="20"/>
                <w:szCs w:val="20"/>
              </w:rPr>
              <w:t xml:space="preserve">patients who were expected to be ventilated for </w:t>
            </w:r>
            <w:r w:rsidR="003E436A">
              <w:rPr>
                <w:rFonts w:cs="Arial"/>
                <w:sz w:val="20"/>
                <w:szCs w:val="20"/>
              </w:rPr>
              <w:t xml:space="preserve">more than </w:t>
            </w:r>
            <w:r w:rsidRPr="00FE444A">
              <w:rPr>
                <w:rFonts w:cs="Arial"/>
                <w:sz w:val="20"/>
                <w:szCs w:val="20"/>
              </w:rPr>
              <w:t>48 hours. Study findings recommend the use of continuous</w:t>
            </w:r>
            <w:r w:rsidR="00FA5CC5">
              <w:rPr>
                <w:rFonts w:cs="Arial"/>
                <w:sz w:val="20"/>
                <w:szCs w:val="20"/>
              </w:rPr>
              <w:t xml:space="preserve"> suctioning</w:t>
            </w:r>
            <w:r w:rsidRPr="00FE444A">
              <w:rPr>
                <w:rFonts w:cs="Arial"/>
                <w:sz w:val="20"/>
                <w:szCs w:val="20"/>
              </w:rPr>
              <w:t xml:space="preserve"> ETT over standard ETT based on the final attributable cost of VAP.  </w:t>
            </w:r>
            <w:r w:rsidRPr="00FE444A">
              <w:rPr>
                <w:rStyle w:val="apple-converted-space"/>
                <w:rFonts w:cs="Arial"/>
                <w:color w:val="000000"/>
                <w:sz w:val="20"/>
                <w:szCs w:val="20"/>
                <w:shd w:val="clear" w:color="auto" w:fill="FFFFFF"/>
              </w:rPr>
              <w:t> </w:t>
            </w:r>
          </w:p>
        </w:tc>
      </w:tr>
      <w:tr w:rsidR="00AD4127" w:rsidRPr="007C1F7F" w14:paraId="0670837F" w14:textId="77777777" w:rsidTr="00426D03">
        <w:tc>
          <w:tcPr>
            <w:tcW w:w="3307" w:type="dxa"/>
          </w:tcPr>
          <w:p w14:paraId="13866520" w14:textId="24D54F1A" w:rsidR="00AD4127" w:rsidRPr="00FE444A" w:rsidRDefault="00A37C0D" w:rsidP="00FE444A">
            <w:pPr>
              <w:spacing w:before="60" w:after="60" w:line="240" w:lineRule="auto"/>
              <w:rPr>
                <w:rFonts w:cs="Arial"/>
                <w:sz w:val="20"/>
                <w:szCs w:val="20"/>
              </w:rPr>
            </w:pPr>
            <w:r>
              <w:rPr>
                <w:rFonts w:cs="Arial"/>
                <w:sz w:val="20"/>
                <w:szCs w:val="20"/>
              </w:rPr>
              <w:t>RCT</w:t>
            </w:r>
          </w:p>
          <w:p w14:paraId="72AC5490" w14:textId="3760C842" w:rsidR="00AD4127" w:rsidRPr="00FE444A" w:rsidRDefault="00AD4127" w:rsidP="00FE444A">
            <w:pPr>
              <w:tabs>
                <w:tab w:val="left" w:pos="1105"/>
              </w:tabs>
              <w:spacing w:before="20" w:after="60" w:line="240" w:lineRule="auto"/>
              <w:rPr>
                <w:rFonts w:cs="Arial"/>
                <w:sz w:val="20"/>
                <w:szCs w:val="20"/>
              </w:rPr>
            </w:pPr>
            <w:r w:rsidRPr="00FE444A">
              <w:rPr>
                <w:rFonts w:cs="Arial"/>
                <w:sz w:val="20"/>
                <w:szCs w:val="20"/>
              </w:rPr>
              <w:t>(Lacherade, 2010)</w:t>
            </w:r>
            <w:r w:rsidR="00FC5507" w:rsidRPr="00FE444A">
              <w:rPr>
                <w:rFonts w:eastAsia="Times New Roman" w:cs="Times New Roman"/>
                <w:sz w:val="20"/>
                <w:szCs w:val="20"/>
                <w:vertAlign w:val="superscript"/>
              </w:rPr>
              <w:fldChar w:fldCharType="begin"/>
            </w:r>
            <w:r w:rsidR="00FC5507" w:rsidRPr="00FE444A">
              <w:rPr>
                <w:rFonts w:eastAsia="Times New Roman" w:cs="Times New Roman"/>
                <w:sz w:val="20"/>
                <w:szCs w:val="20"/>
                <w:vertAlign w:val="superscript"/>
              </w:rPr>
              <w:instrText>ADDIN RW.CITE{{116 Lacherade,J.C. 2010}}</w:instrText>
            </w:r>
            <w:r w:rsidR="00FC5507"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11</w:t>
            </w:r>
            <w:r w:rsidR="00FC5507" w:rsidRPr="00FE444A">
              <w:rPr>
                <w:rFonts w:eastAsia="Times New Roman" w:cs="Times New Roman"/>
                <w:sz w:val="20"/>
                <w:szCs w:val="20"/>
                <w:vertAlign w:val="superscript"/>
              </w:rPr>
              <w:fldChar w:fldCharType="end"/>
            </w:r>
          </w:p>
        </w:tc>
        <w:tc>
          <w:tcPr>
            <w:tcW w:w="5683" w:type="dxa"/>
          </w:tcPr>
          <w:p w14:paraId="58350E40" w14:textId="12F8D5C5" w:rsidR="00AD4127" w:rsidRPr="00FE444A" w:rsidRDefault="00AD4127" w:rsidP="00AD4127">
            <w:pPr>
              <w:spacing w:before="20" w:after="60" w:line="240" w:lineRule="auto"/>
              <w:rPr>
                <w:rFonts w:cs="Arial"/>
                <w:b/>
                <w:sz w:val="20"/>
                <w:szCs w:val="20"/>
                <w:shd w:val="clear" w:color="auto" w:fill="FFFFFF"/>
              </w:rPr>
            </w:pPr>
            <w:r w:rsidRPr="00FE444A">
              <w:rPr>
                <w:rFonts w:cs="Arial"/>
                <w:b/>
                <w:sz w:val="20"/>
                <w:szCs w:val="20"/>
                <w:shd w:val="clear" w:color="auto" w:fill="FFFFFF"/>
              </w:rPr>
              <w:t>PRO:</w:t>
            </w:r>
            <w:r w:rsidRPr="00FE444A">
              <w:rPr>
                <w:rFonts w:cs="Arial"/>
                <w:b/>
                <w:sz w:val="20"/>
                <w:szCs w:val="20"/>
              </w:rPr>
              <w:t xml:space="preserve"> </w:t>
            </w:r>
            <w:r w:rsidR="003E436A">
              <w:rPr>
                <w:rFonts w:cs="Arial"/>
                <w:sz w:val="20"/>
                <w:szCs w:val="20"/>
              </w:rPr>
              <w:t>RCT</w:t>
            </w:r>
            <w:r w:rsidRPr="00FE444A">
              <w:rPr>
                <w:rFonts w:cs="Arial"/>
                <w:sz w:val="20"/>
                <w:szCs w:val="20"/>
              </w:rPr>
              <w:t xml:space="preserve"> at </w:t>
            </w:r>
            <w:r w:rsidR="003E436A">
              <w:rPr>
                <w:rFonts w:cs="Arial"/>
                <w:sz w:val="20"/>
                <w:szCs w:val="20"/>
              </w:rPr>
              <w:t>four</w:t>
            </w:r>
            <w:r w:rsidRPr="00FE444A">
              <w:rPr>
                <w:rFonts w:cs="Arial"/>
                <w:sz w:val="20"/>
                <w:szCs w:val="20"/>
              </w:rPr>
              <w:t xml:space="preserve"> French centers. 333 adult patients intubated with subglottic ETTs who were expected to be intubated for </w:t>
            </w:r>
            <w:r w:rsidR="003E436A">
              <w:rPr>
                <w:rFonts w:cs="Arial"/>
                <w:sz w:val="20"/>
                <w:szCs w:val="20"/>
              </w:rPr>
              <w:t xml:space="preserve">more than </w:t>
            </w:r>
            <w:r w:rsidRPr="00FE444A">
              <w:rPr>
                <w:rFonts w:cs="Arial"/>
                <w:sz w:val="20"/>
                <w:szCs w:val="20"/>
              </w:rPr>
              <w:t xml:space="preserve">48 hours, randomly assigned to receive SSD (n=169) or no SSD (n=164). Findings showed SSD results in a significant reduction in </w:t>
            </w:r>
            <w:r w:rsidRPr="00FE444A">
              <w:rPr>
                <w:rFonts w:cs="Arial"/>
                <w:sz w:val="20"/>
                <w:szCs w:val="20"/>
              </w:rPr>
              <w:lastRenderedPageBreak/>
              <w:t xml:space="preserve">VAP, including late-onset VAP. </w:t>
            </w:r>
          </w:p>
        </w:tc>
      </w:tr>
      <w:tr w:rsidR="002A69F0" w:rsidRPr="007C1F7F" w14:paraId="04850972" w14:textId="77777777" w:rsidTr="00426D03">
        <w:tc>
          <w:tcPr>
            <w:tcW w:w="3307" w:type="dxa"/>
          </w:tcPr>
          <w:p w14:paraId="0718F0DD" w14:textId="1D2A5E29" w:rsidR="002A69F0" w:rsidRPr="00FE444A" w:rsidRDefault="002A69F0" w:rsidP="00FE444A">
            <w:pPr>
              <w:spacing w:before="60" w:after="60" w:line="240" w:lineRule="auto"/>
              <w:rPr>
                <w:rFonts w:cs="Arial"/>
                <w:sz w:val="20"/>
                <w:szCs w:val="20"/>
              </w:rPr>
            </w:pPr>
            <w:r w:rsidRPr="00FE444A">
              <w:rPr>
                <w:rFonts w:cs="Arial"/>
                <w:sz w:val="20"/>
                <w:szCs w:val="20"/>
              </w:rPr>
              <w:lastRenderedPageBreak/>
              <w:t>Observational Study</w:t>
            </w:r>
          </w:p>
          <w:p w14:paraId="09EC3479" w14:textId="26485FEE" w:rsidR="002A69F0" w:rsidRPr="00FE444A" w:rsidRDefault="002A69F0" w:rsidP="00FE444A">
            <w:pPr>
              <w:tabs>
                <w:tab w:val="left" w:pos="1105"/>
              </w:tabs>
              <w:spacing w:before="20" w:after="60" w:line="240" w:lineRule="auto"/>
              <w:rPr>
                <w:rFonts w:cs="Arial"/>
                <w:sz w:val="20"/>
                <w:szCs w:val="20"/>
              </w:rPr>
            </w:pPr>
            <w:r w:rsidRPr="00FE444A">
              <w:rPr>
                <w:rFonts w:cs="Arial"/>
                <w:sz w:val="20"/>
                <w:szCs w:val="20"/>
              </w:rPr>
              <w:t>(Dragoumanis, 2007)</w:t>
            </w:r>
            <w:r w:rsidR="00FC5507" w:rsidRPr="00FE444A">
              <w:rPr>
                <w:rFonts w:eastAsia="Times New Roman" w:cs="Times New Roman"/>
                <w:sz w:val="20"/>
                <w:szCs w:val="20"/>
                <w:vertAlign w:val="superscript"/>
              </w:rPr>
              <w:fldChar w:fldCharType="begin"/>
            </w:r>
            <w:r w:rsidR="00FC5507" w:rsidRPr="00FE444A">
              <w:rPr>
                <w:rFonts w:eastAsia="Times New Roman" w:cs="Times New Roman"/>
                <w:sz w:val="20"/>
                <w:szCs w:val="20"/>
                <w:vertAlign w:val="superscript"/>
              </w:rPr>
              <w:instrText>ADDIN RW.CITE{{357 Dragoumanis, CK. 2007}}</w:instrText>
            </w:r>
            <w:r w:rsidR="00FC5507"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12</w:t>
            </w:r>
            <w:r w:rsidR="00FC5507" w:rsidRPr="00FE444A">
              <w:rPr>
                <w:rFonts w:eastAsia="Times New Roman" w:cs="Times New Roman"/>
                <w:sz w:val="20"/>
                <w:szCs w:val="20"/>
                <w:vertAlign w:val="superscript"/>
              </w:rPr>
              <w:fldChar w:fldCharType="end"/>
            </w:r>
            <w:r w:rsidR="00442AFB" w:rsidRPr="00FE444A">
              <w:rPr>
                <w:rFonts w:cs="Arial"/>
                <w:sz w:val="20"/>
                <w:szCs w:val="20"/>
              </w:rPr>
              <w:t xml:space="preserve"> </w:t>
            </w:r>
          </w:p>
        </w:tc>
        <w:tc>
          <w:tcPr>
            <w:tcW w:w="5683" w:type="dxa"/>
          </w:tcPr>
          <w:p w14:paraId="45A5CBB7" w14:textId="5587D144" w:rsidR="002A69F0" w:rsidRPr="00FE444A" w:rsidRDefault="002A69F0" w:rsidP="000B3315">
            <w:pPr>
              <w:spacing w:before="20" w:after="60" w:line="240" w:lineRule="auto"/>
              <w:rPr>
                <w:rFonts w:cs="Arial"/>
                <w:b/>
                <w:sz w:val="20"/>
                <w:szCs w:val="20"/>
                <w:shd w:val="clear" w:color="auto" w:fill="FFFFFF"/>
              </w:rPr>
            </w:pPr>
            <w:r w:rsidRPr="00FE444A">
              <w:rPr>
                <w:rFonts w:cs="Arial"/>
                <w:b/>
                <w:sz w:val="20"/>
                <w:szCs w:val="20"/>
              </w:rPr>
              <w:t>CON:</w:t>
            </w:r>
            <w:r w:rsidRPr="00FE444A">
              <w:rPr>
                <w:rFonts w:eastAsiaTheme="minorHAnsi" w:cs="Arial"/>
                <w:b/>
                <w:sz w:val="20"/>
                <w:szCs w:val="20"/>
              </w:rPr>
              <w:t xml:space="preserve"> </w:t>
            </w:r>
            <w:r w:rsidRPr="00FE444A">
              <w:rPr>
                <w:rFonts w:eastAsiaTheme="minorHAnsi" w:cs="Arial"/>
                <w:sz w:val="20"/>
                <w:szCs w:val="20"/>
              </w:rPr>
              <w:t>Studied 40 patients with Hi-Lo</w:t>
            </w:r>
            <w:r w:rsidRPr="00FE444A">
              <w:rPr>
                <w:rFonts w:eastAsiaTheme="minorHAnsi" w:cs="Arial"/>
                <w:sz w:val="20"/>
                <w:szCs w:val="20"/>
                <w:vertAlign w:val="superscript"/>
              </w:rPr>
              <w:t>®</w:t>
            </w:r>
            <w:r w:rsidRPr="00FE444A">
              <w:rPr>
                <w:rFonts w:eastAsiaTheme="minorHAnsi" w:cs="Arial"/>
                <w:sz w:val="20"/>
                <w:szCs w:val="20"/>
              </w:rPr>
              <w:t xml:space="preserve"> Evac ETT. Dysfunction of the suction lumen occurred in 19 of 40 patients, 17 of which were attributable to blockage of the subglottic suction port by suctioned tracheal mucosa. </w:t>
            </w:r>
          </w:p>
        </w:tc>
      </w:tr>
      <w:tr w:rsidR="002A69F0" w:rsidRPr="007C1F7F" w14:paraId="6A0E2359" w14:textId="77777777" w:rsidTr="00426D03">
        <w:tc>
          <w:tcPr>
            <w:tcW w:w="3307" w:type="dxa"/>
          </w:tcPr>
          <w:p w14:paraId="120CC5E4" w14:textId="6F2D8FED" w:rsidR="002A69F0" w:rsidRPr="00FE444A" w:rsidRDefault="003E436A" w:rsidP="00FE444A">
            <w:pPr>
              <w:tabs>
                <w:tab w:val="left" w:pos="1105"/>
              </w:tabs>
              <w:spacing w:before="20" w:after="60" w:line="240" w:lineRule="auto"/>
              <w:rPr>
                <w:rFonts w:cs="Arial"/>
                <w:sz w:val="20"/>
                <w:szCs w:val="20"/>
              </w:rPr>
            </w:pPr>
            <w:r>
              <w:rPr>
                <w:rFonts w:cs="Arial"/>
                <w:sz w:val="20"/>
                <w:szCs w:val="20"/>
              </w:rPr>
              <w:t>RCT</w:t>
            </w:r>
          </w:p>
          <w:p w14:paraId="1846E3D7" w14:textId="4194EBE0" w:rsidR="002A69F0" w:rsidRPr="00FE444A" w:rsidRDefault="002A69F0" w:rsidP="00FE444A">
            <w:pPr>
              <w:tabs>
                <w:tab w:val="left" w:pos="1105"/>
              </w:tabs>
              <w:spacing w:before="20" w:after="60" w:line="240" w:lineRule="auto"/>
              <w:rPr>
                <w:rFonts w:cs="Arial"/>
                <w:sz w:val="20"/>
                <w:szCs w:val="20"/>
              </w:rPr>
            </w:pPr>
            <w:r w:rsidRPr="00FE444A">
              <w:rPr>
                <w:rFonts w:cs="Arial"/>
                <w:sz w:val="20"/>
                <w:szCs w:val="20"/>
              </w:rPr>
              <w:t>(Smulders, 2002)</w:t>
            </w:r>
            <w:r w:rsidR="00FC5507" w:rsidRPr="00FE444A">
              <w:rPr>
                <w:rFonts w:eastAsia="Times New Roman" w:cs="Times New Roman"/>
                <w:sz w:val="20"/>
                <w:szCs w:val="20"/>
                <w:vertAlign w:val="superscript"/>
              </w:rPr>
              <w:fldChar w:fldCharType="begin"/>
            </w:r>
            <w:r w:rsidR="00FC5507" w:rsidRPr="00FE444A">
              <w:rPr>
                <w:rFonts w:eastAsia="Times New Roman" w:cs="Times New Roman"/>
                <w:sz w:val="20"/>
                <w:szCs w:val="20"/>
                <w:vertAlign w:val="superscript"/>
              </w:rPr>
              <w:instrText>ADDIN RW.CITE{{35 Smulders,K. 2002}}</w:instrText>
            </w:r>
            <w:r w:rsidR="00FC5507"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13</w:t>
            </w:r>
            <w:r w:rsidR="00FC5507" w:rsidRPr="00FE444A">
              <w:rPr>
                <w:rFonts w:eastAsia="Times New Roman" w:cs="Times New Roman"/>
                <w:sz w:val="20"/>
                <w:szCs w:val="20"/>
                <w:vertAlign w:val="superscript"/>
              </w:rPr>
              <w:fldChar w:fldCharType="end"/>
            </w:r>
            <w:r w:rsidR="00442AFB" w:rsidRPr="00FE444A">
              <w:rPr>
                <w:rFonts w:cs="Arial"/>
                <w:sz w:val="20"/>
                <w:szCs w:val="20"/>
              </w:rPr>
              <w:t xml:space="preserve"> </w:t>
            </w:r>
          </w:p>
        </w:tc>
        <w:tc>
          <w:tcPr>
            <w:tcW w:w="5683" w:type="dxa"/>
          </w:tcPr>
          <w:p w14:paraId="729F7310" w14:textId="603F6A50" w:rsidR="002A69F0" w:rsidRPr="00FE444A" w:rsidRDefault="002A69F0" w:rsidP="003E436A">
            <w:pPr>
              <w:spacing w:before="20" w:after="60" w:line="240" w:lineRule="auto"/>
              <w:rPr>
                <w:rFonts w:cs="Arial"/>
                <w:sz w:val="20"/>
                <w:szCs w:val="20"/>
                <w:shd w:val="clear" w:color="auto" w:fill="FFFFFF"/>
              </w:rPr>
            </w:pPr>
            <w:r w:rsidRPr="00FE444A">
              <w:rPr>
                <w:rFonts w:cs="Arial"/>
                <w:b/>
                <w:sz w:val="20"/>
                <w:szCs w:val="20"/>
                <w:shd w:val="clear" w:color="auto" w:fill="FFFFFF"/>
              </w:rPr>
              <w:t xml:space="preserve">PRO: </w:t>
            </w:r>
            <w:r w:rsidRPr="00FE444A">
              <w:rPr>
                <w:rFonts w:cs="Arial"/>
                <w:sz w:val="20"/>
                <w:szCs w:val="20"/>
                <w:shd w:val="clear" w:color="auto" w:fill="FFFFFF"/>
              </w:rPr>
              <w:t xml:space="preserve">Randomized controlled study of 150 patients with an expected duration mechanical ventilation of </w:t>
            </w:r>
            <w:r w:rsidR="003E436A">
              <w:rPr>
                <w:rFonts w:cs="Arial"/>
                <w:sz w:val="20"/>
                <w:szCs w:val="20"/>
                <w:shd w:val="clear" w:color="auto" w:fill="FFFFFF"/>
              </w:rPr>
              <w:t xml:space="preserve">more than </w:t>
            </w:r>
            <w:r w:rsidRPr="00FE444A">
              <w:rPr>
                <w:rFonts w:cs="Arial"/>
                <w:sz w:val="20"/>
                <w:szCs w:val="20"/>
                <w:shd w:val="clear" w:color="auto" w:fill="FFFFFF"/>
              </w:rPr>
              <w:t xml:space="preserve">72 hours. Patients were randomly assigned to either an endotracheal tube for intermittent subglottic secretions drainage or a standard endotracheal tube. </w:t>
            </w:r>
            <w:r w:rsidR="003E436A">
              <w:rPr>
                <w:rFonts w:cs="Arial"/>
                <w:sz w:val="20"/>
                <w:szCs w:val="20"/>
                <w:shd w:val="clear" w:color="auto" w:fill="FFFFFF"/>
              </w:rPr>
              <w:t>Four</w:t>
            </w:r>
            <w:r w:rsidR="00E71044" w:rsidRPr="00FE444A">
              <w:rPr>
                <w:rFonts w:cs="Arial"/>
                <w:sz w:val="20"/>
                <w:szCs w:val="20"/>
                <w:shd w:val="clear" w:color="auto" w:fill="FFFFFF"/>
              </w:rPr>
              <w:t xml:space="preserve"> percent</w:t>
            </w:r>
            <w:r w:rsidRPr="00FE444A">
              <w:rPr>
                <w:rFonts w:cs="Arial"/>
                <w:sz w:val="20"/>
                <w:szCs w:val="20"/>
                <w:shd w:val="clear" w:color="auto" w:fill="FFFFFF"/>
              </w:rPr>
              <w:t xml:space="preserve"> of the patients receiving intermittent subglottic secretion drainage developed VAP, </w:t>
            </w:r>
            <w:r w:rsidR="00306931">
              <w:rPr>
                <w:rFonts w:cs="Arial"/>
                <w:sz w:val="20"/>
                <w:szCs w:val="20"/>
                <w:shd w:val="clear" w:color="auto" w:fill="FFFFFF"/>
              </w:rPr>
              <w:t>versus</w:t>
            </w:r>
            <w:r w:rsidRPr="00FE444A">
              <w:rPr>
                <w:rFonts w:cs="Arial"/>
                <w:sz w:val="20"/>
                <w:szCs w:val="20"/>
                <w:shd w:val="clear" w:color="auto" w:fill="FFFFFF"/>
              </w:rPr>
              <w:t xml:space="preserve"> 16</w:t>
            </w:r>
            <w:r w:rsidR="00E71044" w:rsidRPr="00FE444A">
              <w:rPr>
                <w:rFonts w:cs="Arial"/>
                <w:sz w:val="20"/>
                <w:szCs w:val="20"/>
                <w:shd w:val="clear" w:color="auto" w:fill="FFFFFF"/>
              </w:rPr>
              <w:t xml:space="preserve"> percent</w:t>
            </w:r>
            <w:r w:rsidRPr="00FE444A">
              <w:rPr>
                <w:rFonts w:cs="Arial"/>
                <w:sz w:val="20"/>
                <w:szCs w:val="20"/>
                <w:shd w:val="clear" w:color="auto" w:fill="FFFFFF"/>
              </w:rPr>
              <w:t xml:space="preserve"> of the patients in the control group. Intermittent subglottic secretion drainage reduces the incidence of VAP in patients receiving mechanical ventilation.</w:t>
            </w:r>
          </w:p>
        </w:tc>
      </w:tr>
      <w:tr w:rsidR="002A69F0" w:rsidRPr="007C1F7F" w14:paraId="4E1D29AF" w14:textId="77777777" w:rsidTr="00426D03">
        <w:tc>
          <w:tcPr>
            <w:tcW w:w="3307" w:type="dxa"/>
          </w:tcPr>
          <w:p w14:paraId="323A7C05" w14:textId="77777777" w:rsidR="002A69F0" w:rsidRPr="00FE444A" w:rsidRDefault="002A69F0" w:rsidP="00FE444A">
            <w:pPr>
              <w:spacing w:before="60" w:after="60" w:line="240" w:lineRule="auto"/>
              <w:rPr>
                <w:rFonts w:cs="Arial"/>
                <w:sz w:val="20"/>
                <w:szCs w:val="20"/>
              </w:rPr>
            </w:pPr>
            <w:r w:rsidRPr="00FE444A">
              <w:rPr>
                <w:rFonts w:cs="Arial"/>
                <w:sz w:val="20"/>
                <w:szCs w:val="20"/>
              </w:rPr>
              <w:t>Cost Effectiveness Study</w:t>
            </w:r>
          </w:p>
          <w:p w14:paraId="432CA212" w14:textId="0929D5FB" w:rsidR="002A69F0" w:rsidRPr="00FE444A" w:rsidRDefault="002A69F0" w:rsidP="00FE444A">
            <w:pPr>
              <w:spacing w:before="20" w:after="60" w:line="240" w:lineRule="auto"/>
              <w:rPr>
                <w:rFonts w:eastAsia="Times New Roman" w:cs="Arial"/>
                <w:b/>
                <w:bCs/>
                <w:i/>
                <w:sz w:val="20"/>
                <w:szCs w:val="20"/>
              </w:rPr>
            </w:pPr>
            <w:r w:rsidRPr="00FE444A">
              <w:rPr>
                <w:rFonts w:cs="Arial"/>
                <w:sz w:val="20"/>
                <w:szCs w:val="20"/>
              </w:rPr>
              <w:t>(Shorr, 2001</w:t>
            </w:r>
            <w:r w:rsidR="00D67849" w:rsidRPr="00FE444A">
              <w:rPr>
                <w:rFonts w:cs="Arial"/>
                <w:sz w:val="20"/>
                <w:szCs w:val="20"/>
              </w:rPr>
              <w:t>)</w:t>
            </w:r>
            <w:r w:rsidR="00FC5507" w:rsidRPr="00FE444A">
              <w:rPr>
                <w:rFonts w:cs="Arial"/>
                <w:sz w:val="20"/>
                <w:szCs w:val="20"/>
              </w:rPr>
              <w:fldChar w:fldCharType="begin"/>
            </w:r>
            <w:r w:rsidR="00FC5507" w:rsidRPr="00FE444A">
              <w:rPr>
                <w:rFonts w:cs="Arial"/>
                <w:sz w:val="20"/>
                <w:szCs w:val="20"/>
              </w:rPr>
              <w:instrText>ADDIN RW.CITE{{1946 Shorr,A.F. 2001}}</w:instrText>
            </w:r>
            <w:r w:rsidR="00FC5507" w:rsidRPr="00FE444A">
              <w:rPr>
                <w:rFonts w:cs="Arial"/>
                <w:sz w:val="20"/>
                <w:szCs w:val="20"/>
              </w:rPr>
              <w:fldChar w:fldCharType="separate"/>
            </w:r>
            <w:r w:rsidR="00437A97" w:rsidRPr="00FE444A">
              <w:rPr>
                <w:rFonts w:eastAsia="Times New Roman" w:cs="Times New Roman"/>
                <w:sz w:val="20"/>
                <w:szCs w:val="20"/>
                <w:vertAlign w:val="superscript"/>
              </w:rPr>
              <w:t>14</w:t>
            </w:r>
            <w:r w:rsidR="00FC5507" w:rsidRPr="00FE444A">
              <w:rPr>
                <w:rFonts w:cs="Arial"/>
                <w:sz w:val="20"/>
                <w:szCs w:val="20"/>
              </w:rPr>
              <w:fldChar w:fldCharType="end"/>
            </w:r>
            <w:r w:rsidR="00442AFB" w:rsidRPr="00FE444A">
              <w:rPr>
                <w:rFonts w:cs="Arial"/>
                <w:sz w:val="20"/>
                <w:szCs w:val="20"/>
              </w:rPr>
              <w:t xml:space="preserve"> </w:t>
            </w:r>
          </w:p>
        </w:tc>
        <w:tc>
          <w:tcPr>
            <w:tcW w:w="5683" w:type="dxa"/>
          </w:tcPr>
          <w:p w14:paraId="225265EE" w14:textId="589C7EF0" w:rsidR="002A69F0" w:rsidRPr="00FE444A" w:rsidRDefault="002A69F0" w:rsidP="003E436A">
            <w:pPr>
              <w:spacing w:before="20" w:after="60" w:line="240" w:lineRule="auto"/>
              <w:rPr>
                <w:rFonts w:cs="Arial"/>
                <w:b/>
                <w:bCs/>
                <w:i/>
                <w:sz w:val="20"/>
                <w:szCs w:val="20"/>
              </w:rPr>
            </w:pPr>
            <w:r w:rsidRPr="00FE444A">
              <w:rPr>
                <w:rFonts w:cs="Arial"/>
                <w:b/>
                <w:sz w:val="20"/>
                <w:szCs w:val="20"/>
                <w:shd w:val="clear" w:color="auto" w:fill="FFFFFF"/>
              </w:rPr>
              <w:t xml:space="preserve">PRO: </w:t>
            </w:r>
            <w:r w:rsidRPr="00FE444A">
              <w:rPr>
                <w:rFonts w:cs="Arial"/>
                <w:sz w:val="20"/>
                <w:szCs w:val="20"/>
                <w:shd w:val="clear" w:color="auto" w:fill="FFFFFF"/>
              </w:rPr>
              <w:t xml:space="preserve">Hypothetical cohort of 100 patients requiring nonelective endotracheal intubation being treated in an ICU. Patients were managed with either traditional endotracheal tubes or endotracheal tubes capable of continuous subglottic suctioning (CSS). For patients intubated </w:t>
            </w:r>
            <w:r w:rsidR="003E436A">
              <w:rPr>
                <w:rFonts w:cs="Arial"/>
                <w:sz w:val="20"/>
                <w:szCs w:val="20"/>
                <w:shd w:val="clear" w:color="auto" w:fill="FFFFFF"/>
              </w:rPr>
              <w:t xml:space="preserve">at least </w:t>
            </w:r>
            <w:r w:rsidRPr="00FE444A">
              <w:rPr>
                <w:rFonts w:cs="Arial"/>
                <w:sz w:val="20"/>
                <w:szCs w:val="20"/>
                <w:shd w:val="clear" w:color="auto" w:fill="FFFFFF"/>
              </w:rPr>
              <w:t>72 hours</w:t>
            </w:r>
            <w:r w:rsidR="003E436A">
              <w:rPr>
                <w:rFonts w:cs="Arial"/>
                <w:sz w:val="20"/>
                <w:szCs w:val="20"/>
                <w:shd w:val="clear" w:color="auto" w:fill="FFFFFF"/>
              </w:rPr>
              <w:t>,</w:t>
            </w:r>
            <w:r w:rsidRPr="00FE444A">
              <w:rPr>
                <w:rFonts w:cs="Arial"/>
                <w:sz w:val="20"/>
                <w:szCs w:val="20"/>
                <w:shd w:val="clear" w:color="auto" w:fill="FFFFFF"/>
              </w:rPr>
              <w:t xml:space="preserve"> CSS resulted in a relative risk reduction of VAP of 30</w:t>
            </w:r>
            <w:r w:rsidR="003E436A">
              <w:rPr>
                <w:rFonts w:cs="Arial"/>
                <w:sz w:val="20"/>
                <w:szCs w:val="20"/>
                <w:shd w:val="clear" w:color="auto" w:fill="FFFFFF"/>
              </w:rPr>
              <w:t xml:space="preserve"> percent</w:t>
            </w:r>
            <w:r w:rsidRPr="00FE444A">
              <w:rPr>
                <w:rFonts w:cs="Arial"/>
                <w:sz w:val="20"/>
                <w:szCs w:val="20"/>
                <w:shd w:val="clear" w:color="auto" w:fill="FFFFFF"/>
              </w:rPr>
              <w:t>. This tactic yielded a savings of $4,992 per case of VAP prevented. When inputs were adjusted by 50</w:t>
            </w:r>
            <w:r w:rsidR="003E436A">
              <w:rPr>
                <w:rFonts w:cs="Arial"/>
                <w:sz w:val="20"/>
                <w:szCs w:val="20"/>
                <w:shd w:val="clear" w:color="auto" w:fill="FFFFFF"/>
              </w:rPr>
              <w:t xml:space="preserve"> percent</w:t>
            </w:r>
            <w:r w:rsidRPr="00FE444A">
              <w:rPr>
                <w:rFonts w:cs="Arial"/>
                <w:sz w:val="20"/>
                <w:szCs w:val="20"/>
                <w:shd w:val="clear" w:color="auto" w:fill="FFFFFF"/>
              </w:rPr>
              <w:t xml:space="preserve">, CSS resulted in $1,924 saved per case of VAP prevented. CSS represents a strategy for the prevention of VAP that may result in savings for patients intubated for </w:t>
            </w:r>
            <w:r w:rsidR="003E436A">
              <w:rPr>
                <w:rFonts w:cs="Arial"/>
                <w:sz w:val="20"/>
                <w:szCs w:val="20"/>
                <w:shd w:val="clear" w:color="auto" w:fill="FFFFFF"/>
              </w:rPr>
              <w:t xml:space="preserve">at least </w:t>
            </w:r>
            <w:r w:rsidRPr="00FE444A">
              <w:rPr>
                <w:rFonts w:cs="Arial"/>
                <w:sz w:val="20"/>
                <w:szCs w:val="20"/>
                <w:shd w:val="clear" w:color="auto" w:fill="FFFFFF"/>
              </w:rPr>
              <w:t xml:space="preserve">72 hours. </w:t>
            </w:r>
          </w:p>
        </w:tc>
      </w:tr>
      <w:tr w:rsidR="002A69F0" w:rsidRPr="007C1F7F" w14:paraId="2B5C675E" w14:textId="77777777" w:rsidTr="00426D03">
        <w:tc>
          <w:tcPr>
            <w:tcW w:w="3307" w:type="dxa"/>
          </w:tcPr>
          <w:p w14:paraId="6D46503D" w14:textId="06BEAC89" w:rsidR="002A69F0" w:rsidRPr="00FE444A" w:rsidRDefault="003E436A" w:rsidP="00FE444A">
            <w:pPr>
              <w:spacing w:before="20" w:after="60" w:line="240" w:lineRule="auto"/>
              <w:rPr>
                <w:rFonts w:cs="Arial"/>
                <w:sz w:val="20"/>
                <w:szCs w:val="20"/>
              </w:rPr>
            </w:pPr>
            <w:r>
              <w:rPr>
                <w:rFonts w:cs="Arial"/>
                <w:sz w:val="20"/>
                <w:szCs w:val="20"/>
              </w:rPr>
              <w:t>RCT</w:t>
            </w:r>
          </w:p>
          <w:p w14:paraId="3BEE2247" w14:textId="5C0A122B" w:rsidR="002A69F0" w:rsidRPr="00FE444A" w:rsidRDefault="002A69F0" w:rsidP="00FE444A">
            <w:pPr>
              <w:spacing w:before="20" w:after="60" w:line="240" w:lineRule="auto"/>
              <w:rPr>
                <w:rFonts w:cs="Arial"/>
                <w:b/>
                <w:bCs/>
                <w:i/>
                <w:sz w:val="20"/>
                <w:szCs w:val="20"/>
              </w:rPr>
            </w:pPr>
            <w:r w:rsidRPr="00FE444A">
              <w:rPr>
                <w:rFonts w:cs="Arial"/>
                <w:sz w:val="20"/>
                <w:szCs w:val="20"/>
              </w:rPr>
              <w:t>(Bo, 2000)</w:t>
            </w:r>
            <w:r w:rsidR="00FC5507" w:rsidRPr="00FE444A">
              <w:rPr>
                <w:rFonts w:eastAsia="Times New Roman" w:cs="Times New Roman"/>
                <w:sz w:val="20"/>
                <w:szCs w:val="20"/>
                <w:vertAlign w:val="superscript"/>
              </w:rPr>
              <w:fldChar w:fldCharType="begin"/>
            </w:r>
            <w:r w:rsidR="00FC5507" w:rsidRPr="00FE444A">
              <w:rPr>
                <w:rFonts w:eastAsia="Times New Roman" w:cs="Times New Roman"/>
                <w:sz w:val="20"/>
                <w:szCs w:val="20"/>
                <w:vertAlign w:val="superscript"/>
              </w:rPr>
              <w:instrText>ADDIN RW.CITE{{328 Bo, H. 2000}}</w:instrText>
            </w:r>
            <w:r w:rsidR="00FC5507"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15</w:t>
            </w:r>
            <w:r w:rsidR="00FC5507" w:rsidRPr="00FE444A">
              <w:rPr>
                <w:rFonts w:eastAsia="Times New Roman" w:cs="Times New Roman"/>
                <w:sz w:val="20"/>
                <w:szCs w:val="20"/>
                <w:vertAlign w:val="superscript"/>
              </w:rPr>
              <w:fldChar w:fldCharType="end"/>
            </w:r>
          </w:p>
        </w:tc>
        <w:tc>
          <w:tcPr>
            <w:tcW w:w="5683" w:type="dxa"/>
          </w:tcPr>
          <w:p w14:paraId="39A5DEAD" w14:textId="492302FD" w:rsidR="002A69F0" w:rsidRPr="00FE444A" w:rsidRDefault="002A69F0" w:rsidP="008709AF">
            <w:pPr>
              <w:spacing w:before="20" w:after="60" w:line="240" w:lineRule="auto"/>
              <w:rPr>
                <w:rFonts w:cs="Arial"/>
                <w:b/>
                <w:bCs/>
                <w:i/>
                <w:sz w:val="20"/>
                <w:szCs w:val="20"/>
              </w:rPr>
            </w:pPr>
            <w:r w:rsidRPr="00FE444A">
              <w:rPr>
                <w:rFonts w:cs="Arial"/>
                <w:b/>
                <w:sz w:val="20"/>
                <w:szCs w:val="20"/>
                <w:shd w:val="clear" w:color="auto" w:fill="FFFFFF"/>
              </w:rPr>
              <w:t>PRO:</w:t>
            </w:r>
            <w:r w:rsidRPr="00FE444A">
              <w:rPr>
                <w:rFonts w:cs="Arial"/>
                <w:sz w:val="20"/>
                <w:szCs w:val="20"/>
                <w:shd w:val="clear" w:color="auto" w:fill="FFFFFF"/>
              </w:rPr>
              <w:t xml:space="preserve"> </w:t>
            </w:r>
            <w:r w:rsidR="003E436A">
              <w:rPr>
                <w:rFonts w:cs="Arial"/>
                <w:sz w:val="20"/>
                <w:szCs w:val="20"/>
                <w:shd w:val="clear" w:color="auto" w:fill="FFFFFF"/>
              </w:rPr>
              <w:t>RCT</w:t>
            </w:r>
            <w:r w:rsidRPr="00FE444A">
              <w:rPr>
                <w:rFonts w:cs="Arial"/>
                <w:sz w:val="20"/>
                <w:szCs w:val="20"/>
                <w:shd w:val="clear" w:color="auto" w:fill="FFFFFF"/>
              </w:rPr>
              <w:t xml:space="preserve"> focused on mechanically ventilated </w:t>
            </w:r>
            <w:r w:rsidR="003E436A">
              <w:rPr>
                <w:rFonts w:cs="Arial"/>
                <w:sz w:val="20"/>
                <w:szCs w:val="20"/>
                <w:shd w:val="clear" w:color="auto" w:fill="FFFFFF"/>
              </w:rPr>
              <w:t xml:space="preserve">surgical </w:t>
            </w:r>
            <w:r w:rsidRPr="00FE444A">
              <w:rPr>
                <w:rFonts w:cs="Arial"/>
                <w:sz w:val="20"/>
                <w:szCs w:val="20"/>
                <w:shd w:val="clear" w:color="auto" w:fill="FFFFFF"/>
              </w:rPr>
              <w:t xml:space="preserve">ICU patients. All patients were intubated with subglottic secretion drainage endotracheal tubes. These patients were assigned to two groups: one with subglottic secretion drainage and one without. The VAP rate was lower (23%) in the group with subglottic secretion drainage than in the other group (45%). Subglottic secretion drainage may be a simple and effective method for prevention of VAP. </w:t>
            </w:r>
          </w:p>
        </w:tc>
      </w:tr>
      <w:tr w:rsidR="002A69F0" w:rsidRPr="007C1F7F" w14:paraId="4DE81F30" w14:textId="77777777" w:rsidTr="00426D03">
        <w:tc>
          <w:tcPr>
            <w:tcW w:w="3307" w:type="dxa"/>
          </w:tcPr>
          <w:p w14:paraId="12F656CB" w14:textId="4B62DF50" w:rsidR="002A69F0" w:rsidRPr="00FE444A" w:rsidRDefault="003E436A" w:rsidP="00FE444A">
            <w:pPr>
              <w:spacing w:before="20" w:after="60" w:line="240" w:lineRule="auto"/>
              <w:rPr>
                <w:rFonts w:cs="Arial"/>
                <w:sz w:val="20"/>
                <w:szCs w:val="20"/>
              </w:rPr>
            </w:pPr>
            <w:r>
              <w:rPr>
                <w:rFonts w:cs="Arial"/>
                <w:color w:val="000000"/>
                <w:sz w:val="20"/>
                <w:szCs w:val="20"/>
              </w:rPr>
              <w:t>RCT</w:t>
            </w:r>
          </w:p>
          <w:p w14:paraId="0F6C74D4" w14:textId="2502BD5A" w:rsidR="002A69F0" w:rsidRPr="00FE444A" w:rsidRDefault="002A69F0" w:rsidP="00FE444A">
            <w:pPr>
              <w:spacing w:before="20" w:after="60" w:line="240" w:lineRule="auto"/>
              <w:rPr>
                <w:rFonts w:cs="Arial"/>
                <w:b/>
                <w:bCs/>
                <w:i/>
                <w:sz w:val="20"/>
                <w:szCs w:val="20"/>
              </w:rPr>
            </w:pPr>
            <w:r w:rsidRPr="00FE444A">
              <w:rPr>
                <w:rFonts w:cs="Arial"/>
                <w:sz w:val="20"/>
                <w:szCs w:val="20"/>
              </w:rPr>
              <w:t>(Kollef, 1999)</w:t>
            </w:r>
            <w:r w:rsidR="00A05D14" w:rsidRPr="00FE444A">
              <w:rPr>
                <w:rFonts w:eastAsia="Times New Roman" w:cs="Times New Roman"/>
                <w:sz w:val="20"/>
                <w:szCs w:val="20"/>
                <w:vertAlign w:val="superscript"/>
              </w:rPr>
              <w:fldChar w:fldCharType="begin"/>
            </w:r>
            <w:r w:rsidR="00A05D14" w:rsidRPr="00FE444A">
              <w:rPr>
                <w:rFonts w:eastAsia="Times New Roman" w:cs="Times New Roman"/>
                <w:sz w:val="20"/>
                <w:szCs w:val="20"/>
                <w:vertAlign w:val="superscript"/>
              </w:rPr>
              <w:instrText>ADDIN RW.CITE{{1944 Kollef,M.H. 1999}}</w:instrText>
            </w:r>
            <w:r w:rsidR="00A05D14"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16</w:t>
            </w:r>
            <w:r w:rsidR="00A05D14" w:rsidRPr="00FE444A">
              <w:rPr>
                <w:rFonts w:eastAsia="Times New Roman" w:cs="Times New Roman"/>
                <w:sz w:val="20"/>
                <w:szCs w:val="20"/>
                <w:vertAlign w:val="superscript"/>
              </w:rPr>
              <w:fldChar w:fldCharType="end"/>
            </w:r>
          </w:p>
        </w:tc>
        <w:tc>
          <w:tcPr>
            <w:tcW w:w="5683" w:type="dxa"/>
          </w:tcPr>
          <w:p w14:paraId="4ECA9CA4" w14:textId="2B1DECA3" w:rsidR="002A69F0" w:rsidRPr="00FE444A" w:rsidRDefault="002A69F0" w:rsidP="008709AF">
            <w:pPr>
              <w:spacing w:before="20" w:after="60" w:line="240" w:lineRule="auto"/>
              <w:rPr>
                <w:rFonts w:cs="Arial"/>
                <w:b/>
                <w:bCs/>
                <w:i/>
                <w:sz w:val="20"/>
                <w:szCs w:val="20"/>
              </w:rPr>
            </w:pPr>
            <w:r w:rsidRPr="00FE444A">
              <w:rPr>
                <w:rFonts w:cs="Arial"/>
                <w:b/>
                <w:sz w:val="20"/>
                <w:szCs w:val="20"/>
                <w:shd w:val="clear" w:color="auto" w:fill="FFFFFF"/>
              </w:rPr>
              <w:t xml:space="preserve">PRO: </w:t>
            </w:r>
            <w:r w:rsidR="003E436A">
              <w:rPr>
                <w:rFonts w:cs="Arial"/>
                <w:sz w:val="20"/>
                <w:szCs w:val="20"/>
                <w:shd w:val="clear" w:color="auto" w:fill="FFFFFF"/>
              </w:rPr>
              <w:t>RCT</w:t>
            </w:r>
            <w:r w:rsidRPr="00FE444A">
              <w:rPr>
                <w:rFonts w:cs="Arial"/>
                <w:sz w:val="20"/>
                <w:szCs w:val="20"/>
                <w:shd w:val="clear" w:color="auto" w:fill="FFFFFF"/>
              </w:rPr>
              <w:t xml:space="preserve"> focused on cardiothoracic surgery patients requiring mechanical ventilation. Findings showed that the occurrence of VAP could be significantly delayed with the use of continuous aspiration of subglottic secretions.  </w:t>
            </w:r>
          </w:p>
        </w:tc>
      </w:tr>
      <w:tr w:rsidR="002A69F0" w:rsidRPr="007C1F7F" w14:paraId="286230DC" w14:textId="77777777" w:rsidTr="00426D03">
        <w:tc>
          <w:tcPr>
            <w:tcW w:w="3307" w:type="dxa"/>
          </w:tcPr>
          <w:p w14:paraId="6BF7A454" w14:textId="360BE442" w:rsidR="002A69F0" w:rsidRPr="00FE444A" w:rsidRDefault="003E436A" w:rsidP="00FE444A">
            <w:pPr>
              <w:spacing w:before="60" w:after="60" w:line="240" w:lineRule="auto"/>
              <w:rPr>
                <w:rFonts w:cs="Arial"/>
                <w:sz w:val="20"/>
                <w:szCs w:val="20"/>
              </w:rPr>
            </w:pPr>
            <w:r>
              <w:rPr>
                <w:rFonts w:cs="Arial"/>
                <w:sz w:val="20"/>
                <w:szCs w:val="20"/>
              </w:rPr>
              <w:t>RCT</w:t>
            </w:r>
          </w:p>
          <w:p w14:paraId="24B6724E" w14:textId="1A90D75B" w:rsidR="002A69F0" w:rsidRPr="00FE444A" w:rsidRDefault="002A69F0" w:rsidP="00FE444A">
            <w:pPr>
              <w:spacing w:before="20" w:after="60" w:line="240" w:lineRule="auto"/>
              <w:rPr>
                <w:rFonts w:cs="Arial"/>
                <w:sz w:val="20"/>
                <w:szCs w:val="20"/>
              </w:rPr>
            </w:pPr>
            <w:r w:rsidRPr="00FE444A">
              <w:rPr>
                <w:rFonts w:cs="Arial"/>
                <w:sz w:val="20"/>
                <w:szCs w:val="20"/>
              </w:rPr>
              <w:t>(Bouza, 2008)</w:t>
            </w:r>
            <w:r w:rsidR="00A05D14" w:rsidRPr="00FE444A">
              <w:rPr>
                <w:rFonts w:eastAsia="Times New Roman" w:cs="Times New Roman"/>
                <w:sz w:val="20"/>
                <w:szCs w:val="20"/>
                <w:vertAlign w:val="superscript"/>
              </w:rPr>
              <w:fldChar w:fldCharType="begin"/>
            </w:r>
            <w:r w:rsidR="00A05D14" w:rsidRPr="00FE444A">
              <w:rPr>
                <w:rFonts w:eastAsia="Times New Roman" w:cs="Times New Roman"/>
                <w:sz w:val="20"/>
                <w:szCs w:val="20"/>
                <w:vertAlign w:val="superscript"/>
              </w:rPr>
              <w:instrText>ADDIN RW.CITE{{347 Bouza, E. 2008}}</w:instrText>
            </w:r>
            <w:r w:rsidR="00A05D14"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17</w:t>
            </w:r>
            <w:r w:rsidR="00A05D14" w:rsidRPr="00FE444A">
              <w:rPr>
                <w:rFonts w:eastAsia="Times New Roman" w:cs="Times New Roman"/>
                <w:sz w:val="20"/>
                <w:szCs w:val="20"/>
                <w:vertAlign w:val="superscript"/>
              </w:rPr>
              <w:fldChar w:fldCharType="end"/>
            </w:r>
          </w:p>
        </w:tc>
        <w:tc>
          <w:tcPr>
            <w:tcW w:w="5683" w:type="dxa"/>
          </w:tcPr>
          <w:p w14:paraId="064BE378" w14:textId="014096EA" w:rsidR="002A69F0" w:rsidRPr="00FE444A" w:rsidRDefault="002A69F0" w:rsidP="00AE5365">
            <w:pPr>
              <w:spacing w:before="20" w:after="60" w:line="240" w:lineRule="auto"/>
              <w:rPr>
                <w:rFonts w:cs="Arial"/>
                <w:sz w:val="20"/>
                <w:szCs w:val="20"/>
              </w:rPr>
            </w:pPr>
            <w:r w:rsidRPr="00FE444A">
              <w:rPr>
                <w:rFonts w:cs="Arial"/>
                <w:b/>
                <w:sz w:val="20"/>
                <w:szCs w:val="20"/>
                <w:shd w:val="clear" w:color="auto" w:fill="FFFFFF"/>
              </w:rPr>
              <w:t>PRO:</w:t>
            </w:r>
            <w:r w:rsidRPr="00FE444A">
              <w:rPr>
                <w:rFonts w:cs="Arial"/>
                <w:b/>
                <w:sz w:val="20"/>
                <w:szCs w:val="20"/>
              </w:rPr>
              <w:t xml:space="preserve"> </w:t>
            </w:r>
            <w:r w:rsidR="003E436A">
              <w:rPr>
                <w:rFonts w:cs="Arial"/>
                <w:sz w:val="20"/>
                <w:szCs w:val="20"/>
              </w:rPr>
              <w:t>RCT</w:t>
            </w:r>
            <w:r w:rsidRPr="00FE444A">
              <w:rPr>
                <w:rFonts w:cs="Arial"/>
                <w:sz w:val="20"/>
                <w:szCs w:val="20"/>
              </w:rPr>
              <w:t xml:space="preserve"> comparing the incidence of VAP in patients admitted for major heart surgery. 714 patients were randomized over a 2-year period. 359 patients were randomized to the intervention arm (continuous aspiration of subglottic secretions [CASS]) versus the control arm (conventional care). Findings showed that CASS is safe and reduces the use of antimicrobial agents in the overall population and the incidence of VAP in patients who are at risk. Should be encouraged in patients undergoing major heart surgery.</w:t>
            </w:r>
          </w:p>
        </w:tc>
      </w:tr>
    </w:tbl>
    <w:p w14:paraId="54DFB6AF" w14:textId="77777777" w:rsidR="00426D03" w:rsidRDefault="00426D03" w:rsidP="00426D03">
      <w:pPr>
        <w:framePr w:w="376" w:h="391" w:hSpace="180" w:wrap="around" w:vAnchor="text" w:hAnchor="page" w:x="11416" w:y="1756"/>
      </w:pPr>
    </w:p>
    <w:tbl>
      <w:tblPr>
        <w:tblStyle w:val="TableGrid"/>
        <w:tblW w:w="0" w:type="auto"/>
        <w:tblInd w:w="360" w:type="dxa"/>
        <w:tblLook w:val="04A0" w:firstRow="1" w:lastRow="0" w:firstColumn="1" w:lastColumn="0" w:noHBand="0" w:noVBand="1"/>
      </w:tblPr>
      <w:tblGrid>
        <w:gridCol w:w="3307"/>
        <w:gridCol w:w="5683"/>
      </w:tblGrid>
      <w:tr w:rsidR="002A69F0" w:rsidRPr="007C1F7F" w14:paraId="378FD1A6" w14:textId="77777777" w:rsidTr="00426D03">
        <w:tc>
          <w:tcPr>
            <w:tcW w:w="3307" w:type="dxa"/>
          </w:tcPr>
          <w:p w14:paraId="7B5B1271" w14:textId="25EA47CE" w:rsidR="002A69F0" w:rsidRPr="00FE444A" w:rsidRDefault="003E436A" w:rsidP="00FE444A">
            <w:pPr>
              <w:spacing w:before="20" w:after="60" w:line="240" w:lineRule="auto"/>
              <w:rPr>
                <w:rFonts w:cs="Arial"/>
                <w:sz w:val="20"/>
                <w:szCs w:val="20"/>
              </w:rPr>
            </w:pPr>
            <w:r>
              <w:rPr>
                <w:rFonts w:cs="Arial"/>
                <w:sz w:val="20"/>
                <w:szCs w:val="20"/>
              </w:rPr>
              <w:t>RCT</w:t>
            </w:r>
          </w:p>
          <w:p w14:paraId="54BE6CA3" w14:textId="7526DDE3" w:rsidR="002A69F0" w:rsidRPr="00FE444A" w:rsidRDefault="002A69F0" w:rsidP="00FE444A">
            <w:pPr>
              <w:spacing w:before="20" w:after="60" w:line="240" w:lineRule="auto"/>
              <w:rPr>
                <w:rFonts w:cs="Arial"/>
                <w:sz w:val="20"/>
                <w:szCs w:val="20"/>
              </w:rPr>
            </w:pPr>
            <w:r w:rsidRPr="00FE444A">
              <w:rPr>
                <w:rFonts w:cs="Arial"/>
                <w:sz w:val="20"/>
                <w:szCs w:val="20"/>
              </w:rPr>
              <w:t>(Valles, 1995)</w:t>
            </w:r>
            <w:r w:rsidR="00A05D14" w:rsidRPr="00FE444A">
              <w:rPr>
                <w:rFonts w:eastAsia="Times New Roman" w:cs="Times New Roman"/>
                <w:sz w:val="20"/>
                <w:szCs w:val="20"/>
                <w:vertAlign w:val="superscript"/>
              </w:rPr>
              <w:fldChar w:fldCharType="begin"/>
            </w:r>
            <w:r w:rsidR="00A05D14" w:rsidRPr="00FE444A">
              <w:rPr>
                <w:rFonts w:eastAsia="Times New Roman" w:cs="Times New Roman"/>
                <w:sz w:val="20"/>
                <w:szCs w:val="20"/>
                <w:vertAlign w:val="superscript"/>
              </w:rPr>
              <w:instrText>ADDIN RW.CITE{{326 Valles, J. 1995}}</w:instrText>
            </w:r>
            <w:r w:rsidR="00A05D14"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18</w:t>
            </w:r>
            <w:r w:rsidR="00A05D14" w:rsidRPr="00FE444A">
              <w:rPr>
                <w:rFonts w:eastAsia="Times New Roman" w:cs="Times New Roman"/>
                <w:sz w:val="20"/>
                <w:szCs w:val="20"/>
                <w:vertAlign w:val="superscript"/>
              </w:rPr>
              <w:fldChar w:fldCharType="end"/>
            </w:r>
            <w:r w:rsidR="00442AFB" w:rsidRPr="00FE444A">
              <w:rPr>
                <w:rFonts w:cs="Arial"/>
                <w:sz w:val="20"/>
                <w:szCs w:val="20"/>
              </w:rPr>
              <w:t xml:space="preserve"> </w:t>
            </w:r>
          </w:p>
        </w:tc>
        <w:tc>
          <w:tcPr>
            <w:tcW w:w="5683" w:type="dxa"/>
          </w:tcPr>
          <w:p w14:paraId="285A9EEE" w14:textId="1FC8E292" w:rsidR="002A69F0" w:rsidRPr="00FE444A" w:rsidRDefault="002A69F0" w:rsidP="003E436A">
            <w:pPr>
              <w:spacing w:before="20" w:after="60" w:line="240" w:lineRule="auto"/>
              <w:rPr>
                <w:rFonts w:cs="Arial"/>
                <w:b/>
                <w:sz w:val="20"/>
                <w:szCs w:val="20"/>
              </w:rPr>
            </w:pPr>
            <w:r w:rsidRPr="00FE444A">
              <w:rPr>
                <w:rFonts w:cs="Arial"/>
                <w:b/>
                <w:sz w:val="20"/>
                <w:szCs w:val="20"/>
                <w:shd w:val="clear" w:color="auto" w:fill="FFFFFF"/>
              </w:rPr>
              <w:t>PRO:</w:t>
            </w:r>
            <w:r w:rsidRPr="00FE444A">
              <w:rPr>
                <w:rFonts w:cs="Arial"/>
                <w:color w:val="403838"/>
                <w:sz w:val="20"/>
                <w:szCs w:val="20"/>
                <w:shd w:val="clear" w:color="auto" w:fill="FFFFFF"/>
              </w:rPr>
              <w:t xml:space="preserve"> </w:t>
            </w:r>
            <w:r w:rsidR="003E436A">
              <w:rPr>
                <w:rFonts w:cs="Arial"/>
                <w:color w:val="403838"/>
                <w:sz w:val="20"/>
                <w:szCs w:val="20"/>
                <w:shd w:val="clear" w:color="auto" w:fill="FFFFFF"/>
              </w:rPr>
              <w:t>RCT</w:t>
            </w:r>
            <w:r w:rsidRPr="00FE444A">
              <w:rPr>
                <w:rFonts w:cs="Arial"/>
                <w:sz w:val="20"/>
                <w:szCs w:val="20"/>
              </w:rPr>
              <w:t xml:space="preserve"> focused on ICU patients requiring prolonged intubation (</w:t>
            </w:r>
            <w:r w:rsidR="003E436A">
              <w:rPr>
                <w:rFonts w:cs="Arial"/>
                <w:sz w:val="20"/>
                <w:szCs w:val="20"/>
              </w:rPr>
              <w:t xml:space="preserve">more than </w:t>
            </w:r>
            <w:r w:rsidRPr="00FE444A">
              <w:rPr>
                <w:rFonts w:cs="Arial"/>
                <w:sz w:val="20"/>
                <w:szCs w:val="20"/>
              </w:rPr>
              <w:t xml:space="preserve">3 days). The study findings conclude that using continuous subglottic suctioning through the dorsal lumen can significantly reduce the incidence of nosocomial pneumonia in </w:t>
            </w:r>
            <w:r w:rsidRPr="00FE444A">
              <w:rPr>
                <w:rFonts w:cs="Arial"/>
                <w:sz w:val="20"/>
                <w:szCs w:val="20"/>
              </w:rPr>
              <w:lastRenderedPageBreak/>
              <w:t>mechanically ventilated patients.</w:t>
            </w:r>
            <w:r w:rsidRPr="00FE444A">
              <w:rPr>
                <w:rFonts w:cs="Arial"/>
                <w:color w:val="403838"/>
                <w:sz w:val="20"/>
                <w:szCs w:val="20"/>
                <w:shd w:val="clear" w:color="auto" w:fill="FFFFFF"/>
              </w:rPr>
              <w:t xml:space="preserve"> </w:t>
            </w:r>
          </w:p>
        </w:tc>
      </w:tr>
      <w:tr w:rsidR="002A69F0" w:rsidRPr="007C1F7F" w14:paraId="7FF00E31" w14:textId="77777777" w:rsidTr="00426D03">
        <w:tc>
          <w:tcPr>
            <w:tcW w:w="3307" w:type="dxa"/>
          </w:tcPr>
          <w:p w14:paraId="59F93F96" w14:textId="78A8B358" w:rsidR="002A69F0" w:rsidRPr="00FE444A" w:rsidRDefault="003E436A" w:rsidP="00FE444A">
            <w:pPr>
              <w:spacing w:before="20" w:after="60" w:line="240" w:lineRule="auto"/>
              <w:rPr>
                <w:rFonts w:cs="Arial"/>
                <w:sz w:val="20"/>
                <w:szCs w:val="20"/>
              </w:rPr>
            </w:pPr>
            <w:r>
              <w:rPr>
                <w:rFonts w:cs="Arial"/>
                <w:sz w:val="20"/>
                <w:szCs w:val="20"/>
              </w:rPr>
              <w:lastRenderedPageBreak/>
              <w:t>RCT</w:t>
            </w:r>
          </w:p>
          <w:p w14:paraId="4A094B43" w14:textId="6F1B5682" w:rsidR="002A69F0" w:rsidRPr="00FE444A" w:rsidRDefault="002A69F0" w:rsidP="00FE444A">
            <w:pPr>
              <w:spacing w:before="20" w:after="60" w:line="240" w:lineRule="auto"/>
              <w:rPr>
                <w:rFonts w:cs="Arial"/>
                <w:sz w:val="20"/>
                <w:szCs w:val="20"/>
              </w:rPr>
            </w:pPr>
            <w:r w:rsidRPr="00FE444A">
              <w:rPr>
                <w:rFonts w:cs="Arial"/>
                <w:sz w:val="20"/>
                <w:szCs w:val="20"/>
              </w:rPr>
              <w:t>(Mahul,</w:t>
            </w:r>
            <w:r w:rsidRPr="00FE444A">
              <w:rPr>
                <w:rFonts w:cs="Arial"/>
                <w:i/>
                <w:sz w:val="20"/>
                <w:szCs w:val="20"/>
              </w:rPr>
              <w:t xml:space="preserve"> </w:t>
            </w:r>
            <w:r w:rsidRPr="00FE444A">
              <w:rPr>
                <w:rFonts w:cs="Arial"/>
                <w:sz w:val="20"/>
                <w:szCs w:val="20"/>
              </w:rPr>
              <w:t>1992)</w:t>
            </w:r>
            <w:r w:rsidR="00A05D14" w:rsidRPr="00FE444A">
              <w:rPr>
                <w:rFonts w:eastAsia="Times New Roman" w:cs="Times New Roman"/>
                <w:sz w:val="20"/>
                <w:szCs w:val="20"/>
                <w:vertAlign w:val="superscript"/>
              </w:rPr>
              <w:fldChar w:fldCharType="begin"/>
            </w:r>
            <w:r w:rsidR="00A05D14" w:rsidRPr="00FE444A">
              <w:rPr>
                <w:rFonts w:eastAsia="Times New Roman" w:cs="Times New Roman"/>
                <w:sz w:val="20"/>
                <w:szCs w:val="20"/>
                <w:vertAlign w:val="superscript"/>
              </w:rPr>
              <w:instrText>ADDIN RW.CITE{{327 Mahul, P. 1992}}</w:instrText>
            </w:r>
            <w:r w:rsidR="00A05D14"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19</w:t>
            </w:r>
            <w:r w:rsidR="00A05D14" w:rsidRPr="00FE444A">
              <w:rPr>
                <w:rFonts w:eastAsia="Times New Roman" w:cs="Times New Roman"/>
                <w:sz w:val="20"/>
                <w:szCs w:val="20"/>
                <w:vertAlign w:val="superscript"/>
              </w:rPr>
              <w:fldChar w:fldCharType="end"/>
            </w:r>
            <w:r w:rsidR="00442AFB" w:rsidRPr="00FE444A">
              <w:rPr>
                <w:rFonts w:cs="Arial"/>
                <w:sz w:val="20"/>
                <w:szCs w:val="20"/>
              </w:rPr>
              <w:t xml:space="preserve"> </w:t>
            </w:r>
          </w:p>
          <w:p w14:paraId="61992726" w14:textId="77777777" w:rsidR="002A69F0" w:rsidRPr="00FE444A" w:rsidRDefault="002A69F0" w:rsidP="00FE444A">
            <w:pPr>
              <w:spacing w:before="20" w:after="60" w:line="240" w:lineRule="auto"/>
              <w:rPr>
                <w:rFonts w:cs="Arial"/>
                <w:b/>
                <w:bCs/>
                <w:i/>
                <w:sz w:val="20"/>
                <w:szCs w:val="20"/>
              </w:rPr>
            </w:pPr>
          </w:p>
        </w:tc>
        <w:tc>
          <w:tcPr>
            <w:tcW w:w="5683" w:type="dxa"/>
          </w:tcPr>
          <w:p w14:paraId="4B7FC687" w14:textId="26400D01" w:rsidR="002A69F0" w:rsidRPr="00FE444A" w:rsidRDefault="002A69F0" w:rsidP="00E71044">
            <w:pPr>
              <w:spacing w:before="20" w:after="60" w:line="240" w:lineRule="auto"/>
              <w:rPr>
                <w:rFonts w:cs="Arial"/>
                <w:b/>
                <w:bCs/>
                <w:i/>
                <w:sz w:val="20"/>
                <w:szCs w:val="20"/>
              </w:rPr>
            </w:pPr>
            <w:r w:rsidRPr="00FE444A">
              <w:rPr>
                <w:rFonts w:cs="Arial"/>
                <w:b/>
                <w:sz w:val="20"/>
                <w:szCs w:val="20"/>
                <w:shd w:val="clear" w:color="auto" w:fill="FFFFFF"/>
              </w:rPr>
              <w:t xml:space="preserve">PRO: </w:t>
            </w:r>
            <w:r w:rsidR="00E71044" w:rsidRPr="00FE444A">
              <w:rPr>
                <w:rFonts w:cs="Arial"/>
                <w:sz w:val="20"/>
                <w:szCs w:val="20"/>
                <w:shd w:val="clear" w:color="auto" w:fill="FFFFFF"/>
              </w:rPr>
              <w:t>RCT</w:t>
            </w:r>
            <w:r w:rsidRPr="00FE444A">
              <w:rPr>
                <w:rFonts w:cs="Arial"/>
                <w:sz w:val="20"/>
                <w:szCs w:val="20"/>
                <w:shd w:val="clear" w:color="auto" w:fill="FFFFFF"/>
              </w:rPr>
              <w:t xml:space="preserve"> focused on patients requiring mechanical ventilation for </w:t>
            </w:r>
            <w:r w:rsidR="003E436A">
              <w:rPr>
                <w:rFonts w:cs="Arial"/>
                <w:sz w:val="20"/>
                <w:szCs w:val="20"/>
              </w:rPr>
              <w:t xml:space="preserve">more than </w:t>
            </w:r>
            <w:r w:rsidRPr="00FE444A">
              <w:rPr>
                <w:rFonts w:cs="Arial"/>
                <w:sz w:val="20"/>
                <w:szCs w:val="20"/>
                <w:shd w:val="clear" w:color="auto" w:fill="FFFFFF"/>
              </w:rPr>
              <w:t xml:space="preserve">3 days. Patients were assigned to </w:t>
            </w:r>
            <w:r w:rsidR="00E71044" w:rsidRPr="00FE444A">
              <w:rPr>
                <w:rFonts w:cs="Arial"/>
                <w:sz w:val="20"/>
                <w:szCs w:val="20"/>
                <w:shd w:val="clear" w:color="auto" w:fill="FFFFFF"/>
              </w:rPr>
              <w:t>SSD</w:t>
            </w:r>
            <w:r w:rsidRPr="00FE444A">
              <w:rPr>
                <w:rFonts w:cs="Arial"/>
                <w:sz w:val="20"/>
                <w:szCs w:val="20"/>
                <w:shd w:val="clear" w:color="auto" w:fill="FFFFFF"/>
              </w:rPr>
              <w:t xml:space="preserve"> and</w:t>
            </w:r>
            <w:r w:rsidR="00837CDB" w:rsidRPr="00FE444A">
              <w:rPr>
                <w:rFonts w:cs="Arial"/>
                <w:sz w:val="20"/>
                <w:szCs w:val="20"/>
                <w:shd w:val="clear" w:color="auto" w:fill="FFFFFF"/>
              </w:rPr>
              <w:t>/or</w:t>
            </w:r>
            <w:r w:rsidRPr="00FE444A">
              <w:rPr>
                <w:rFonts w:cs="Arial"/>
                <w:sz w:val="20"/>
                <w:szCs w:val="20"/>
                <w:shd w:val="clear" w:color="auto" w:fill="FFFFFF"/>
              </w:rPr>
              <w:t xml:space="preserve"> treatment with sucralfate. </w:t>
            </w:r>
            <w:r w:rsidR="00E71044" w:rsidRPr="00FE444A">
              <w:rPr>
                <w:rFonts w:cs="Arial"/>
                <w:sz w:val="20"/>
                <w:szCs w:val="20"/>
                <w:shd w:val="clear" w:color="auto" w:fill="FFFFFF"/>
              </w:rPr>
              <w:t>SSD</w:t>
            </w:r>
            <w:r w:rsidRPr="00FE444A">
              <w:rPr>
                <w:rFonts w:cs="Arial"/>
                <w:sz w:val="20"/>
                <w:szCs w:val="20"/>
                <w:shd w:val="clear" w:color="auto" w:fill="FFFFFF"/>
              </w:rPr>
              <w:t xml:space="preserve"> was associated with a lower incidence of nosocomial pneumonia, a prolonged time to onset of nosocomial pneumonia, and a decrease in the colonization rate from admission to endpoint in tracheal aspirates and in subglottic secretions. </w:t>
            </w:r>
            <w:r w:rsidR="00837CDB" w:rsidRPr="00FE444A">
              <w:rPr>
                <w:rFonts w:cs="Arial"/>
                <w:sz w:val="20"/>
                <w:szCs w:val="20"/>
                <w:shd w:val="clear" w:color="auto" w:fill="FFFFFF"/>
              </w:rPr>
              <w:t>The use of s</w:t>
            </w:r>
            <w:r w:rsidRPr="00FE444A">
              <w:rPr>
                <w:rFonts w:cs="Arial"/>
                <w:sz w:val="20"/>
                <w:szCs w:val="20"/>
                <w:shd w:val="clear" w:color="auto" w:fill="FFFFFF"/>
              </w:rPr>
              <w:t xml:space="preserve">ucralfate was not associated with a decrease in nosocomial pneumonia rates. </w:t>
            </w:r>
          </w:p>
        </w:tc>
      </w:tr>
    </w:tbl>
    <w:p w14:paraId="375D763F" w14:textId="77777777" w:rsidR="00BA2D91" w:rsidRDefault="00BA2D91" w:rsidP="00946A29">
      <w:pPr>
        <w:spacing w:after="0" w:line="240" w:lineRule="auto"/>
        <w:rPr>
          <w:b/>
          <w:bCs/>
          <w:i/>
          <w:sz w:val="20"/>
          <w:szCs w:val="20"/>
        </w:rPr>
      </w:pPr>
    </w:p>
    <w:p w14:paraId="178E1FE3" w14:textId="77777777" w:rsidR="008709AF" w:rsidRDefault="008709AF">
      <w:pPr>
        <w:spacing w:after="0" w:line="240" w:lineRule="auto"/>
        <w:rPr>
          <w:b/>
          <w:bCs/>
          <w:i/>
          <w:sz w:val="20"/>
          <w:szCs w:val="20"/>
        </w:rPr>
      </w:pPr>
      <w:r>
        <w:rPr>
          <w:b/>
          <w:bCs/>
          <w:i/>
          <w:sz w:val="20"/>
          <w:szCs w:val="20"/>
        </w:rPr>
        <w:br w:type="page"/>
      </w:r>
    </w:p>
    <w:p w14:paraId="78D509D0" w14:textId="7E3E3EBB" w:rsidR="00946A29" w:rsidRPr="007C1F7F" w:rsidRDefault="00946A29" w:rsidP="007C1F7F">
      <w:pPr>
        <w:spacing w:after="0" w:line="240" w:lineRule="auto"/>
        <w:rPr>
          <w:b/>
          <w:bCs/>
          <w:i/>
          <w:sz w:val="20"/>
          <w:szCs w:val="20"/>
        </w:rPr>
      </w:pPr>
    </w:p>
    <w:p w14:paraId="6A2DEC54" w14:textId="77777777" w:rsidR="00946A29" w:rsidRDefault="00946A29" w:rsidP="00946A29">
      <w:pPr>
        <w:autoSpaceDE w:val="0"/>
        <w:autoSpaceDN w:val="0"/>
        <w:spacing w:after="0" w:line="240" w:lineRule="auto"/>
        <w:rPr>
          <w:rFonts w:eastAsia="TimesTen-Roman"/>
          <w:color w:val="FF0000"/>
          <w:sz w:val="20"/>
          <w:szCs w:val="20"/>
        </w:rPr>
      </w:pPr>
    </w:p>
    <w:tbl>
      <w:tblPr>
        <w:tblStyle w:val="TableGrid"/>
        <w:tblW w:w="9576" w:type="dxa"/>
        <w:tblInd w:w="108" w:type="dxa"/>
        <w:tblLook w:val="04A0" w:firstRow="1" w:lastRow="0" w:firstColumn="1" w:lastColumn="0" w:noHBand="0" w:noVBand="1"/>
      </w:tblPr>
      <w:tblGrid>
        <w:gridCol w:w="3619"/>
        <w:gridCol w:w="5957"/>
      </w:tblGrid>
      <w:tr w:rsidR="00946A29" w:rsidRPr="002457B3" w14:paraId="18ABF266" w14:textId="77777777" w:rsidTr="002457B3">
        <w:tc>
          <w:tcPr>
            <w:tcW w:w="9576" w:type="dxa"/>
            <w:gridSpan w:val="2"/>
            <w:shd w:val="clear" w:color="auto" w:fill="B8CCE4" w:themeFill="accent1" w:themeFillTint="66"/>
            <w:vAlign w:val="center"/>
          </w:tcPr>
          <w:p w14:paraId="7ED05077" w14:textId="27411AB3" w:rsidR="00946A29" w:rsidRPr="0091306D" w:rsidRDefault="00EF5093" w:rsidP="000E0468">
            <w:pPr>
              <w:autoSpaceDE w:val="0"/>
              <w:autoSpaceDN w:val="0"/>
              <w:spacing w:before="60" w:after="60" w:line="240" w:lineRule="auto"/>
              <w:jc w:val="center"/>
              <w:rPr>
                <w:rFonts w:ascii="Gill Sans MT" w:eastAsia="TimesTen-Roman" w:hAnsi="Gill Sans MT"/>
                <w:b/>
                <w:color w:val="FF0000"/>
                <w:sz w:val="20"/>
                <w:szCs w:val="20"/>
              </w:rPr>
            </w:pPr>
            <w:r>
              <w:rPr>
                <w:rFonts w:ascii="Gill Sans MT" w:hAnsi="Gill Sans MT" w:cs="Arial"/>
                <w:b/>
                <w:sz w:val="28"/>
                <w:szCs w:val="28"/>
              </w:rPr>
              <w:t>Reviews and Meta-Analyses</w:t>
            </w:r>
          </w:p>
        </w:tc>
      </w:tr>
      <w:tr w:rsidR="00946A29" w:rsidRPr="002457B3" w14:paraId="25D6A1D9" w14:textId="77777777" w:rsidTr="002457B3">
        <w:tc>
          <w:tcPr>
            <w:tcW w:w="3619" w:type="dxa"/>
            <w:shd w:val="clear" w:color="auto" w:fill="DBE5F1" w:themeFill="accent1" w:themeFillTint="33"/>
            <w:vAlign w:val="center"/>
          </w:tcPr>
          <w:p w14:paraId="177EEEA0" w14:textId="77777777" w:rsidR="00946A29" w:rsidRPr="0091306D" w:rsidRDefault="00946A29" w:rsidP="0091306D">
            <w:pPr>
              <w:autoSpaceDE w:val="0"/>
              <w:autoSpaceDN w:val="0"/>
              <w:spacing w:before="60" w:after="60" w:line="240" w:lineRule="auto"/>
              <w:rPr>
                <w:rFonts w:ascii="Gill Sans MT" w:eastAsia="TimesTen-Roman" w:hAnsi="Gill Sans MT"/>
                <w:b/>
                <w:color w:val="FF0000"/>
                <w:sz w:val="20"/>
                <w:szCs w:val="20"/>
              </w:rPr>
            </w:pPr>
            <w:r w:rsidRPr="0091306D">
              <w:rPr>
                <w:rFonts w:ascii="Gill Sans MT" w:hAnsi="Gill Sans MT" w:cs="Arial"/>
                <w:b/>
              </w:rPr>
              <w:t>Study Type and Author</w:t>
            </w:r>
          </w:p>
        </w:tc>
        <w:tc>
          <w:tcPr>
            <w:tcW w:w="5957" w:type="dxa"/>
            <w:shd w:val="clear" w:color="auto" w:fill="DBE5F1" w:themeFill="accent1" w:themeFillTint="33"/>
            <w:vAlign w:val="center"/>
          </w:tcPr>
          <w:p w14:paraId="7B95331C" w14:textId="69AF7E95" w:rsidR="00946A29" w:rsidRPr="0091306D" w:rsidRDefault="00946A29" w:rsidP="000E0468">
            <w:pPr>
              <w:autoSpaceDE w:val="0"/>
              <w:autoSpaceDN w:val="0"/>
              <w:spacing w:before="60" w:after="60" w:line="240" w:lineRule="auto"/>
              <w:rPr>
                <w:rFonts w:ascii="Gill Sans MT" w:eastAsia="TimesTen-Roman" w:hAnsi="Gill Sans MT"/>
                <w:b/>
                <w:color w:val="FF0000"/>
                <w:sz w:val="20"/>
                <w:szCs w:val="20"/>
              </w:rPr>
            </w:pPr>
            <w:r w:rsidRPr="0091306D">
              <w:rPr>
                <w:rFonts w:ascii="Gill Sans MT" w:hAnsi="Gill Sans MT" w:cs="Arial"/>
                <w:b/>
              </w:rPr>
              <w:t xml:space="preserve">Results </w:t>
            </w:r>
            <w:r w:rsidR="000E0468">
              <w:rPr>
                <w:rFonts w:asciiTheme="majorHAnsi" w:hAnsiTheme="majorHAnsi"/>
                <w:i/>
                <w:sz w:val="24"/>
                <w:szCs w:val="24"/>
              </w:rPr>
              <w:t>–</w:t>
            </w:r>
            <w:r w:rsidRPr="0091306D">
              <w:rPr>
                <w:rFonts w:ascii="Gill Sans MT" w:hAnsi="Gill Sans MT" w:cs="Arial"/>
                <w:b/>
              </w:rPr>
              <w:t xml:space="preserve"> Details in Annotated Bibliography</w:t>
            </w:r>
          </w:p>
        </w:tc>
      </w:tr>
      <w:tr w:rsidR="00C65694" w:rsidRPr="002457B3" w14:paraId="37E23ADE" w14:textId="77777777" w:rsidTr="00570CC9">
        <w:tc>
          <w:tcPr>
            <w:tcW w:w="3619" w:type="dxa"/>
          </w:tcPr>
          <w:p w14:paraId="5328230C" w14:textId="06D29B9C" w:rsidR="00C65694" w:rsidRPr="00FE444A" w:rsidRDefault="00C65694" w:rsidP="00FE444A">
            <w:pPr>
              <w:spacing w:before="60" w:after="60" w:line="240" w:lineRule="auto"/>
              <w:rPr>
                <w:rFonts w:cs="Arial"/>
                <w:sz w:val="20"/>
                <w:szCs w:val="20"/>
              </w:rPr>
            </w:pPr>
            <w:r w:rsidRPr="00FE444A">
              <w:rPr>
                <w:rFonts w:cs="Arial"/>
                <w:sz w:val="20"/>
                <w:szCs w:val="20"/>
              </w:rPr>
              <w:t>Systematic Review and Meta-</w:t>
            </w:r>
            <w:r w:rsidR="00A37C0D">
              <w:rPr>
                <w:rFonts w:cs="Arial"/>
                <w:sz w:val="20"/>
                <w:szCs w:val="20"/>
              </w:rPr>
              <w:t>a</w:t>
            </w:r>
            <w:r w:rsidRPr="00FE444A">
              <w:rPr>
                <w:rFonts w:cs="Arial"/>
                <w:sz w:val="20"/>
                <w:szCs w:val="20"/>
              </w:rPr>
              <w:t>nalysis</w:t>
            </w:r>
          </w:p>
          <w:p w14:paraId="38D376E3" w14:textId="2F2BD2ED" w:rsidR="00C65694" w:rsidRPr="00FE444A" w:rsidRDefault="00F01EDC" w:rsidP="00FE444A">
            <w:pPr>
              <w:spacing w:before="60" w:after="60" w:line="240" w:lineRule="auto"/>
              <w:rPr>
                <w:rFonts w:cs="Arial"/>
                <w:sz w:val="20"/>
                <w:szCs w:val="20"/>
              </w:rPr>
            </w:pPr>
            <w:r w:rsidRPr="00FE444A">
              <w:rPr>
                <w:rFonts w:cs="Arial"/>
                <w:sz w:val="20"/>
                <w:szCs w:val="20"/>
              </w:rPr>
              <w:t>(Car</w:t>
            </w:r>
            <w:r w:rsidR="00C65694" w:rsidRPr="00FE444A">
              <w:rPr>
                <w:rFonts w:cs="Arial"/>
                <w:sz w:val="20"/>
                <w:szCs w:val="20"/>
              </w:rPr>
              <w:t>off, 2016</w:t>
            </w:r>
            <w:r w:rsidRPr="00FE444A">
              <w:rPr>
                <w:rFonts w:cs="Arial"/>
                <w:sz w:val="20"/>
                <w:szCs w:val="20"/>
              </w:rPr>
              <w:t>)</w:t>
            </w:r>
            <w:r w:rsidR="00A05D14" w:rsidRPr="00FE444A">
              <w:rPr>
                <w:rFonts w:cs="Arial"/>
                <w:sz w:val="20"/>
                <w:szCs w:val="20"/>
              </w:rPr>
              <w:fldChar w:fldCharType="begin"/>
            </w:r>
            <w:r w:rsidR="00A05D14" w:rsidRPr="00FE444A">
              <w:rPr>
                <w:rFonts w:cs="Arial"/>
                <w:sz w:val="20"/>
                <w:szCs w:val="20"/>
              </w:rPr>
              <w:instrText>ADDIN RW.CITE{{1940 Caroff,D.A. 2016}}</w:instrText>
            </w:r>
            <w:r w:rsidR="00A05D14" w:rsidRPr="00FE444A">
              <w:rPr>
                <w:rFonts w:cs="Arial"/>
                <w:sz w:val="20"/>
                <w:szCs w:val="20"/>
              </w:rPr>
              <w:fldChar w:fldCharType="separate"/>
            </w:r>
            <w:r w:rsidR="00437A97" w:rsidRPr="00FE444A">
              <w:rPr>
                <w:rFonts w:eastAsia="Times New Roman" w:cs="Times New Roman"/>
                <w:sz w:val="20"/>
                <w:szCs w:val="20"/>
                <w:vertAlign w:val="superscript"/>
              </w:rPr>
              <w:t>20</w:t>
            </w:r>
            <w:r w:rsidR="00A05D14" w:rsidRPr="00FE444A">
              <w:rPr>
                <w:rFonts w:cs="Arial"/>
                <w:sz w:val="20"/>
                <w:szCs w:val="20"/>
              </w:rPr>
              <w:fldChar w:fldCharType="end"/>
            </w:r>
          </w:p>
        </w:tc>
        <w:tc>
          <w:tcPr>
            <w:tcW w:w="5957" w:type="dxa"/>
          </w:tcPr>
          <w:p w14:paraId="2384C765" w14:textId="4B5B8B90" w:rsidR="00C65694" w:rsidRPr="00FE444A" w:rsidDel="00AD4127" w:rsidRDefault="00C65694" w:rsidP="003E0D33">
            <w:pPr>
              <w:autoSpaceDE w:val="0"/>
              <w:autoSpaceDN w:val="0"/>
              <w:spacing w:before="60" w:after="60" w:line="240" w:lineRule="auto"/>
              <w:rPr>
                <w:rFonts w:cs="Arial"/>
                <w:sz w:val="20"/>
                <w:szCs w:val="20"/>
                <w:shd w:val="clear" w:color="auto" w:fill="FFFFFF"/>
              </w:rPr>
            </w:pPr>
            <w:r w:rsidRPr="00FE444A">
              <w:rPr>
                <w:rFonts w:cs="Arial"/>
                <w:sz w:val="20"/>
                <w:szCs w:val="20"/>
                <w:shd w:val="clear" w:color="auto" w:fill="FFFFFF"/>
              </w:rPr>
              <w:t>Study reviewed 17 eligible trials with a total of 3,369 patients. Subglottic secretion drainage was associated with lower VAP rates but there were no significant differences between groups in duration of mechanical ventilation, ICU length of stay, hospital length of stay, ventilator-associated events, or mortality. Further data are required to demonstrate the benefits of subglottic secretion drainage.</w:t>
            </w:r>
          </w:p>
        </w:tc>
      </w:tr>
      <w:tr w:rsidR="00E77167" w:rsidRPr="002457B3" w14:paraId="273B6C7D" w14:textId="77777777" w:rsidTr="00570CC9">
        <w:tc>
          <w:tcPr>
            <w:tcW w:w="3619" w:type="dxa"/>
          </w:tcPr>
          <w:p w14:paraId="360BD23B" w14:textId="58A8762E" w:rsidR="00E77167" w:rsidRPr="00FE444A" w:rsidRDefault="00E77167" w:rsidP="00FE444A">
            <w:pPr>
              <w:spacing w:before="60" w:after="60" w:line="240" w:lineRule="auto"/>
              <w:rPr>
                <w:rFonts w:cs="Arial"/>
                <w:sz w:val="20"/>
                <w:szCs w:val="20"/>
              </w:rPr>
            </w:pPr>
            <w:r w:rsidRPr="00FE444A">
              <w:rPr>
                <w:rFonts w:cs="Arial"/>
                <w:sz w:val="20"/>
                <w:szCs w:val="20"/>
              </w:rPr>
              <w:t>Systematic Review and Meta-</w:t>
            </w:r>
            <w:r w:rsidR="00A37C0D">
              <w:rPr>
                <w:rFonts w:cs="Arial"/>
                <w:sz w:val="20"/>
                <w:szCs w:val="20"/>
              </w:rPr>
              <w:t>a</w:t>
            </w:r>
            <w:r w:rsidRPr="00FE444A">
              <w:rPr>
                <w:rFonts w:cs="Arial"/>
                <w:sz w:val="20"/>
                <w:szCs w:val="20"/>
              </w:rPr>
              <w:t>nalysis</w:t>
            </w:r>
          </w:p>
          <w:p w14:paraId="7E8CF773" w14:textId="51CA99A1" w:rsidR="00E77167" w:rsidRPr="00FE444A" w:rsidRDefault="00E77167" w:rsidP="00FE444A">
            <w:pPr>
              <w:spacing w:before="60" w:after="60" w:line="240" w:lineRule="auto"/>
              <w:rPr>
                <w:rFonts w:cs="Arial"/>
                <w:sz w:val="20"/>
                <w:szCs w:val="20"/>
              </w:rPr>
            </w:pPr>
            <w:r w:rsidRPr="00FE444A">
              <w:rPr>
                <w:rFonts w:cs="Arial"/>
                <w:sz w:val="20"/>
                <w:szCs w:val="20"/>
              </w:rPr>
              <w:t>(Wang, 2012)</w:t>
            </w:r>
            <w:r w:rsidR="00A05D14" w:rsidRPr="00FE444A">
              <w:rPr>
                <w:rFonts w:cs="Arial"/>
                <w:sz w:val="20"/>
                <w:szCs w:val="20"/>
              </w:rPr>
              <w:fldChar w:fldCharType="begin"/>
            </w:r>
            <w:r w:rsidR="00A05D14" w:rsidRPr="00FE444A">
              <w:rPr>
                <w:rFonts w:cs="Arial"/>
                <w:sz w:val="20"/>
                <w:szCs w:val="20"/>
              </w:rPr>
              <w:instrText>ADDIN RW.CITE{{878 Wang,F. 2012}}</w:instrText>
            </w:r>
            <w:r w:rsidR="00A05D14" w:rsidRPr="00FE444A">
              <w:rPr>
                <w:rFonts w:cs="Arial"/>
                <w:sz w:val="20"/>
                <w:szCs w:val="20"/>
              </w:rPr>
              <w:fldChar w:fldCharType="separate"/>
            </w:r>
            <w:r w:rsidR="00437A97" w:rsidRPr="00FE444A">
              <w:rPr>
                <w:rFonts w:eastAsia="Times New Roman" w:cs="Times New Roman"/>
                <w:sz w:val="20"/>
                <w:szCs w:val="20"/>
                <w:vertAlign w:val="superscript"/>
              </w:rPr>
              <w:t>21</w:t>
            </w:r>
            <w:r w:rsidR="00A05D14" w:rsidRPr="00FE444A">
              <w:rPr>
                <w:rFonts w:cs="Arial"/>
                <w:sz w:val="20"/>
                <w:szCs w:val="20"/>
              </w:rPr>
              <w:fldChar w:fldCharType="end"/>
            </w:r>
          </w:p>
        </w:tc>
        <w:tc>
          <w:tcPr>
            <w:tcW w:w="5957" w:type="dxa"/>
          </w:tcPr>
          <w:p w14:paraId="00FDE4B4" w14:textId="36C186FA" w:rsidR="00E77167" w:rsidRPr="00FE444A" w:rsidRDefault="00E77167" w:rsidP="00492EC3">
            <w:pPr>
              <w:autoSpaceDE w:val="0"/>
              <w:autoSpaceDN w:val="0"/>
              <w:spacing w:before="60" w:after="60" w:line="240" w:lineRule="auto"/>
              <w:rPr>
                <w:rStyle w:val="apple-converted-space"/>
                <w:rFonts w:eastAsiaTheme="minorHAnsi" w:cs="Arial"/>
                <w:color w:val="000000"/>
                <w:sz w:val="20"/>
                <w:szCs w:val="20"/>
                <w:shd w:val="clear" w:color="auto" w:fill="FFFFFF"/>
              </w:rPr>
            </w:pPr>
            <w:r w:rsidRPr="00FE444A">
              <w:rPr>
                <w:rStyle w:val="apple-converted-space"/>
                <w:rFonts w:eastAsiaTheme="minorHAnsi" w:cs="Arial"/>
                <w:color w:val="000000"/>
                <w:sz w:val="20"/>
                <w:szCs w:val="20"/>
                <w:shd w:val="clear" w:color="auto" w:fill="FFFFFF"/>
              </w:rPr>
              <w:t xml:space="preserve">Study reviewed 10 RCTs with </w:t>
            </w:r>
            <w:r w:rsidR="00764836" w:rsidRPr="00FE444A">
              <w:rPr>
                <w:rStyle w:val="apple-converted-space"/>
                <w:rFonts w:eastAsiaTheme="minorHAnsi" w:cs="Arial"/>
                <w:color w:val="000000"/>
                <w:sz w:val="20"/>
                <w:szCs w:val="20"/>
                <w:shd w:val="clear" w:color="auto" w:fill="FFFFFF"/>
              </w:rPr>
              <w:t xml:space="preserve">a total of </w:t>
            </w:r>
            <w:r w:rsidRPr="00FE444A">
              <w:rPr>
                <w:rStyle w:val="apple-converted-space"/>
                <w:rFonts w:eastAsiaTheme="minorHAnsi" w:cs="Arial"/>
                <w:color w:val="000000"/>
                <w:sz w:val="20"/>
                <w:szCs w:val="20"/>
                <w:shd w:val="clear" w:color="auto" w:fill="FFFFFF"/>
              </w:rPr>
              <w:t>2,213 patients</w:t>
            </w:r>
            <w:r w:rsidR="0091306D" w:rsidRPr="00FE444A">
              <w:rPr>
                <w:rStyle w:val="apple-converted-space"/>
                <w:rFonts w:eastAsiaTheme="minorHAnsi" w:cs="Arial"/>
                <w:color w:val="000000"/>
                <w:sz w:val="20"/>
                <w:szCs w:val="20"/>
                <w:shd w:val="clear" w:color="auto" w:fill="FFFFFF"/>
              </w:rPr>
              <w:t xml:space="preserve">. </w:t>
            </w:r>
            <w:r w:rsidRPr="00FE444A">
              <w:rPr>
                <w:rStyle w:val="apple-converted-space"/>
                <w:rFonts w:eastAsiaTheme="minorHAnsi" w:cs="Arial"/>
                <w:color w:val="000000"/>
                <w:sz w:val="20"/>
                <w:szCs w:val="20"/>
                <w:shd w:val="clear" w:color="auto" w:fill="FFFFFF"/>
              </w:rPr>
              <w:t>Findings confirm</w:t>
            </w:r>
            <w:r w:rsidR="00B66FDF" w:rsidRPr="00FE444A">
              <w:rPr>
                <w:rStyle w:val="apple-converted-space"/>
                <w:rFonts w:eastAsiaTheme="minorHAnsi" w:cs="Arial"/>
                <w:color w:val="000000"/>
                <w:sz w:val="20"/>
                <w:szCs w:val="20"/>
                <w:shd w:val="clear" w:color="auto" w:fill="FFFFFF"/>
              </w:rPr>
              <w:t>ed</w:t>
            </w:r>
            <w:r w:rsidRPr="00FE444A">
              <w:rPr>
                <w:rStyle w:val="apple-converted-space"/>
                <w:rFonts w:eastAsiaTheme="minorHAnsi" w:cs="Arial"/>
                <w:color w:val="000000"/>
                <w:sz w:val="20"/>
                <w:szCs w:val="20"/>
                <w:shd w:val="clear" w:color="auto" w:fill="FFFFFF"/>
              </w:rPr>
              <w:t xml:space="preserve"> that SSD was beneficial in preventing VAP</w:t>
            </w:r>
            <w:r w:rsidR="0091306D" w:rsidRPr="00FE444A">
              <w:rPr>
                <w:rStyle w:val="apple-converted-space"/>
                <w:rFonts w:eastAsiaTheme="minorHAnsi" w:cs="Arial"/>
                <w:color w:val="000000"/>
                <w:sz w:val="20"/>
                <w:szCs w:val="20"/>
                <w:shd w:val="clear" w:color="auto" w:fill="FFFFFF"/>
              </w:rPr>
              <w:t xml:space="preserve">. </w:t>
            </w:r>
            <w:r w:rsidRPr="00FE444A">
              <w:rPr>
                <w:rStyle w:val="apple-converted-space"/>
                <w:rFonts w:eastAsiaTheme="minorHAnsi" w:cs="Arial"/>
                <w:color w:val="000000"/>
                <w:sz w:val="20"/>
                <w:szCs w:val="20"/>
                <w:shd w:val="clear" w:color="auto" w:fill="FFFFFF"/>
              </w:rPr>
              <w:t xml:space="preserve">Finding showed that SSD reduced incidence of VAP </w:t>
            </w:r>
            <w:r w:rsidR="00B66FDF" w:rsidRPr="00FE444A">
              <w:rPr>
                <w:rStyle w:val="apple-converted-space"/>
                <w:rFonts w:eastAsiaTheme="minorHAnsi" w:cs="Arial"/>
                <w:color w:val="000000"/>
                <w:sz w:val="20"/>
                <w:szCs w:val="20"/>
                <w:shd w:val="clear" w:color="auto" w:fill="FFFFFF"/>
              </w:rPr>
              <w:t>(</w:t>
            </w:r>
            <w:r w:rsidR="003672C9" w:rsidRPr="00FE444A">
              <w:rPr>
                <w:rStyle w:val="apple-converted-space"/>
                <w:rFonts w:eastAsiaTheme="minorHAnsi" w:cs="Arial"/>
                <w:color w:val="000000"/>
                <w:sz w:val="20"/>
                <w:szCs w:val="20"/>
                <w:shd w:val="clear" w:color="auto" w:fill="FFFFFF"/>
              </w:rPr>
              <w:t>relative risk</w:t>
            </w:r>
            <w:r w:rsidR="00A37C0D">
              <w:rPr>
                <w:rStyle w:val="apple-converted-space"/>
                <w:rFonts w:eastAsiaTheme="minorHAnsi" w:cs="Arial"/>
                <w:color w:val="000000"/>
                <w:sz w:val="20"/>
                <w:szCs w:val="20"/>
                <w:shd w:val="clear" w:color="auto" w:fill="FFFFFF"/>
              </w:rPr>
              <w:t xml:space="preserve"> </w:t>
            </w:r>
            <w:r w:rsidRPr="00FE444A">
              <w:rPr>
                <w:rStyle w:val="apple-converted-space"/>
                <w:rFonts w:eastAsiaTheme="minorHAnsi" w:cs="Arial"/>
                <w:color w:val="000000"/>
                <w:sz w:val="20"/>
                <w:szCs w:val="20"/>
                <w:shd w:val="clear" w:color="auto" w:fill="FFFFFF"/>
              </w:rPr>
              <w:t>=</w:t>
            </w:r>
            <w:r w:rsidR="00A37C0D">
              <w:rPr>
                <w:rStyle w:val="apple-converted-space"/>
                <w:rFonts w:eastAsiaTheme="minorHAnsi" w:cs="Arial"/>
                <w:color w:val="000000"/>
                <w:sz w:val="20"/>
                <w:szCs w:val="20"/>
                <w:shd w:val="clear" w:color="auto" w:fill="FFFFFF"/>
              </w:rPr>
              <w:t xml:space="preserve"> </w:t>
            </w:r>
            <w:r w:rsidRPr="00FE444A">
              <w:rPr>
                <w:rStyle w:val="apple-converted-space"/>
                <w:rFonts w:eastAsiaTheme="minorHAnsi" w:cs="Arial"/>
                <w:color w:val="000000"/>
                <w:sz w:val="20"/>
                <w:szCs w:val="20"/>
                <w:shd w:val="clear" w:color="auto" w:fill="FFFFFF"/>
              </w:rPr>
              <w:t xml:space="preserve">0.56, </w:t>
            </w:r>
            <w:r w:rsidR="003672C9" w:rsidRPr="00FE444A">
              <w:rPr>
                <w:rStyle w:val="apple-converted-space"/>
                <w:rFonts w:eastAsiaTheme="minorHAnsi" w:cs="Arial"/>
                <w:color w:val="000000"/>
                <w:sz w:val="20"/>
                <w:szCs w:val="20"/>
                <w:shd w:val="clear" w:color="auto" w:fill="FFFFFF"/>
              </w:rPr>
              <w:t>confidence interval</w:t>
            </w:r>
            <w:r w:rsidRPr="00FE444A">
              <w:rPr>
                <w:rStyle w:val="apple-converted-space"/>
                <w:rFonts w:eastAsiaTheme="minorHAnsi" w:cs="Arial"/>
                <w:color w:val="000000"/>
                <w:sz w:val="20"/>
                <w:szCs w:val="20"/>
                <w:shd w:val="clear" w:color="auto" w:fill="FFFFFF"/>
              </w:rPr>
              <w:t>: 0.42</w:t>
            </w:r>
            <w:r w:rsidR="00BE3BC5" w:rsidRPr="00FE444A">
              <w:rPr>
                <w:sz w:val="20"/>
                <w:szCs w:val="20"/>
              </w:rPr>
              <w:t xml:space="preserve"> to</w:t>
            </w:r>
            <w:r w:rsidR="00BE3BC5" w:rsidRPr="00FE444A">
              <w:rPr>
                <w:i/>
                <w:sz w:val="20"/>
                <w:szCs w:val="20"/>
              </w:rPr>
              <w:t xml:space="preserve"> </w:t>
            </w:r>
            <w:r w:rsidRPr="00FE444A">
              <w:rPr>
                <w:rStyle w:val="apple-converted-space"/>
                <w:rFonts w:eastAsiaTheme="minorHAnsi" w:cs="Arial"/>
                <w:color w:val="000000"/>
                <w:sz w:val="20"/>
                <w:szCs w:val="20"/>
                <w:shd w:val="clear" w:color="auto" w:fill="FFFFFF"/>
              </w:rPr>
              <w:t>0.69, p&lt;0.00001).</w:t>
            </w:r>
          </w:p>
        </w:tc>
      </w:tr>
      <w:tr w:rsidR="00946A29" w:rsidRPr="002457B3" w14:paraId="07D57FC2" w14:textId="77777777" w:rsidTr="00570CC9">
        <w:trPr>
          <w:trHeight w:val="917"/>
        </w:trPr>
        <w:tc>
          <w:tcPr>
            <w:tcW w:w="3619" w:type="dxa"/>
          </w:tcPr>
          <w:p w14:paraId="2DBDB980" w14:textId="647483F0" w:rsidR="00946A29" w:rsidRPr="00FE444A" w:rsidRDefault="00946A29" w:rsidP="00FE444A">
            <w:pPr>
              <w:spacing w:before="60" w:after="60" w:line="240" w:lineRule="auto"/>
              <w:rPr>
                <w:rFonts w:cs="Arial"/>
                <w:sz w:val="20"/>
                <w:szCs w:val="20"/>
              </w:rPr>
            </w:pPr>
            <w:r w:rsidRPr="00FE444A">
              <w:rPr>
                <w:rFonts w:cs="Arial"/>
                <w:sz w:val="20"/>
                <w:szCs w:val="20"/>
              </w:rPr>
              <w:t>Systematic Review and Meta-</w:t>
            </w:r>
            <w:r w:rsidR="00A37C0D">
              <w:rPr>
                <w:rFonts w:cs="Arial"/>
                <w:sz w:val="20"/>
                <w:szCs w:val="20"/>
              </w:rPr>
              <w:t>a</w:t>
            </w:r>
            <w:r w:rsidRPr="00FE444A">
              <w:rPr>
                <w:rFonts w:cs="Arial"/>
                <w:sz w:val="20"/>
                <w:szCs w:val="20"/>
              </w:rPr>
              <w:t>nalysis</w:t>
            </w:r>
          </w:p>
          <w:p w14:paraId="62822A6B" w14:textId="64F66ED8" w:rsidR="00946A29" w:rsidRPr="00FE444A" w:rsidRDefault="00946A29" w:rsidP="00FE444A">
            <w:pPr>
              <w:spacing w:before="60" w:after="60" w:line="240" w:lineRule="auto"/>
              <w:divId w:val="1227228763"/>
              <w:rPr>
                <w:rFonts w:eastAsia="Times New Roman" w:cs="Arial"/>
                <w:sz w:val="20"/>
                <w:szCs w:val="20"/>
              </w:rPr>
            </w:pPr>
            <w:r w:rsidRPr="00FE444A">
              <w:rPr>
                <w:rFonts w:cs="Arial"/>
                <w:sz w:val="20"/>
                <w:szCs w:val="20"/>
              </w:rPr>
              <w:t>(Leasure, 2012)</w:t>
            </w:r>
            <w:r w:rsidR="00A05D14" w:rsidRPr="00FE444A">
              <w:rPr>
                <w:rFonts w:eastAsia="Times New Roman" w:cs="Times New Roman"/>
                <w:sz w:val="20"/>
                <w:szCs w:val="20"/>
                <w:vertAlign w:val="superscript"/>
              </w:rPr>
              <w:fldChar w:fldCharType="begin"/>
            </w:r>
            <w:r w:rsidR="00A05D14" w:rsidRPr="00FE444A">
              <w:rPr>
                <w:rFonts w:eastAsia="Times New Roman" w:cs="Times New Roman"/>
                <w:sz w:val="20"/>
                <w:szCs w:val="20"/>
                <w:vertAlign w:val="superscript"/>
              </w:rPr>
              <w:instrText>ADDIN RW.CITE{{370 Leasure, AR. 2012}}</w:instrText>
            </w:r>
            <w:r w:rsidR="00A05D14"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22</w:t>
            </w:r>
            <w:r w:rsidR="00A05D14" w:rsidRPr="00FE444A">
              <w:rPr>
                <w:rFonts w:eastAsia="Times New Roman" w:cs="Times New Roman"/>
                <w:sz w:val="20"/>
                <w:szCs w:val="20"/>
                <w:vertAlign w:val="superscript"/>
              </w:rPr>
              <w:fldChar w:fldCharType="end"/>
            </w:r>
            <w:r w:rsidR="00442AFB" w:rsidRPr="00FE444A">
              <w:rPr>
                <w:rFonts w:cs="Arial"/>
                <w:sz w:val="20"/>
                <w:szCs w:val="20"/>
              </w:rPr>
              <w:t xml:space="preserve"> </w:t>
            </w:r>
          </w:p>
        </w:tc>
        <w:tc>
          <w:tcPr>
            <w:tcW w:w="5957" w:type="dxa"/>
          </w:tcPr>
          <w:p w14:paraId="36A234EF" w14:textId="2C56B493" w:rsidR="00946A29" w:rsidRPr="00FE444A" w:rsidRDefault="00946A29" w:rsidP="00541181">
            <w:pPr>
              <w:autoSpaceDE w:val="0"/>
              <w:autoSpaceDN w:val="0"/>
              <w:spacing w:before="60" w:after="60" w:line="240" w:lineRule="auto"/>
              <w:rPr>
                <w:rStyle w:val="apple-converted-space"/>
                <w:rFonts w:eastAsiaTheme="minorHAnsi" w:cs="Arial"/>
                <w:color w:val="000000"/>
                <w:sz w:val="20"/>
                <w:szCs w:val="20"/>
                <w:shd w:val="clear" w:color="auto" w:fill="FFFFFF"/>
              </w:rPr>
            </w:pPr>
            <w:r w:rsidRPr="00FE444A">
              <w:rPr>
                <w:rStyle w:val="apple-converted-space"/>
                <w:rFonts w:eastAsiaTheme="minorHAnsi" w:cs="Arial"/>
                <w:color w:val="000000"/>
                <w:sz w:val="20"/>
                <w:szCs w:val="20"/>
                <w:shd w:val="clear" w:color="auto" w:fill="FFFFFF"/>
              </w:rPr>
              <w:t>Study reviewed 12 original articles and 4 reviews that evaluated the effectiveness of S</w:t>
            </w:r>
            <w:r w:rsidR="00E77167" w:rsidRPr="00FE444A">
              <w:rPr>
                <w:rStyle w:val="apple-converted-space"/>
                <w:rFonts w:eastAsiaTheme="minorHAnsi" w:cs="Arial"/>
                <w:color w:val="000000"/>
                <w:sz w:val="20"/>
                <w:szCs w:val="20"/>
                <w:shd w:val="clear" w:color="auto" w:fill="FFFFFF"/>
              </w:rPr>
              <w:t>S</w:t>
            </w:r>
            <w:r w:rsidRPr="00FE444A">
              <w:rPr>
                <w:rStyle w:val="apple-converted-space"/>
                <w:rFonts w:eastAsiaTheme="minorHAnsi" w:cs="Arial"/>
                <w:color w:val="000000"/>
                <w:sz w:val="20"/>
                <w:szCs w:val="20"/>
                <w:shd w:val="clear" w:color="auto" w:fill="FFFFFF"/>
              </w:rPr>
              <w:t xml:space="preserve">D in reducing the occurrence of VAP. The findings of review support the recommendation for </w:t>
            </w:r>
            <w:r w:rsidR="00A802FB" w:rsidRPr="00FE444A">
              <w:rPr>
                <w:rStyle w:val="apple-converted-space"/>
                <w:rFonts w:eastAsiaTheme="minorHAnsi" w:cs="Arial"/>
                <w:color w:val="000000"/>
                <w:sz w:val="20"/>
                <w:szCs w:val="20"/>
                <w:shd w:val="clear" w:color="auto" w:fill="FFFFFF"/>
              </w:rPr>
              <w:t xml:space="preserve">use of ETTs with SSD based on a </w:t>
            </w:r>
            <w:r w:rsidRPr="00FE444A">
              <w:rPr>
                <w:rStyle w:val="apple-converted-space"/>
                <w:rFonts w:eastAsiaTheme="minorHAnsi" w:cs="Arial"/>
                <w:color w:val="000000"/>
                <w:sz w:val="20"/>
                <w:szCs w:val="20"/>
                <w:shd w:val="clear" w:color="auto" w:fill="FFFFFF"/>
              </w:rPr>
              <w:t>52</w:t>
            </w:r>
            <w:r w:rsidR="00541181">
              <w:rPr>
                <w:rStyle w:val="apple-converted-space"/>
                <w:rFonts w:eastAsiaTheme="minorHAnsi" w:cs="Arial"/>
                <w:color w:val="000000"/>
                <w:sz w:val="20"/>
                <w:szCs w:val="20"/>
                <w:shd w:val="clear" w:color="auto" w:fill="FFFFFF"/>
              </w:rPr>
              <w:t xml:space="preserve"> percent</w:t>
            </w:r>
            <w:r w:rsidRPr="00FE444A">
              <w:rPr>
                <w:rStyle w:val="apple-converted-space"/>
                <w:rFonts w:eastAsiaTheme="minorHAnsi" w:cs="Arial"/>
                <w:color w:val="000000"/>
                <w:sz w:val="20"/>
                <w:szCs w:val="20"/>
                <w:shd w:val="clear" w:color="auto" w:fill="FFFFFF"/>
              </w:rPr>
              <w:t xml:space="preserve"> reduction rate.</w:t>
            </w:r>
          </w:p>
        </w:tc>
      </w:tr>
      <w:tr w:rsidR="00CA2E70" w:rsidRPr="002457B3" w14:paraId="654CC30E" w14:textId="77777777" w:rsidTr="00570CC9">
        <w:tc>
          <w:tcPr>
            <w:tcW w:w="3619" w:type="dxa"/>
          </w:tcPr>
          <w:p w14:paraId="2492DB2B" w14:textId="4E643A69" w:rsidR="00CA2E70" w:rsidRPr="00FE444A" w:rsidRDefault="00433EBF" w:rsidP="00FE444A">
            <w:pPr>
              <w:spacing w:before="60" w:after="60" w:line="240" w:lineRule="auto"/>
              <w:rPr>
                <w:rFonts w:cs="Arial"/>
                <w:sz w:val="20"/>
                <w:szCs w:val="20"/>
              </w:rPr>
            </w:pPr>
            <w:r w:rsidRPr="00FE444A">
              <w:rPr>
                <w:rFonts w:cs="Arial"/>
                <w:sz w:val="20"/>
                <w:szCs w:val="20"/>
              </w:rPr>
              <w:t>R</w:t>
            </w:r>
            <w:r w:rsidR="00CA2E70" w:rsidRPr="00FE444A">
              <w:rPr>
                <w:rFonts w:cs="Arial"/>
                <w:sz w:val="20"/>
                <w:szCs w:val="20"/>
              </w:rPr>
              <w:t>eview</w:t>
            </w:r>
          </w:p>
          <w:p w14:paraId="30EEC21C" w14:textId="5D073A72" w:rsidR="00CA2E70" w:rsidRPr="00FE444A" w:rsidRDefault="00CA2E70" w:rsidP="00FE444A">
            <w:pPr>
              <w:spacing w:before="60" w:after="60" w:line="240" w:lineRule="auto"/>
              <w:rPr>
                <w:rFonts w:cs="Arial"/>
                <w:sz w:val="20"/>
                <w:szCs w:val="20"/>
              </w:rPr>
            </w:pPr>
            <w:r w:rsidRPr="00FE444A">
              <w:rPr>
                <w:rFonts w:cs="Arial"/>
                <w:sz w:val="20"/>
                <w:szCs w:val="20"/>
              </w:rPr>
              <w:t>(Barbas, 2012)</w:t>
            </w:r>
            <w:r w:rsidR="00A05D14" w:rsidRPr="00FE444A">
              <w:rPr>
                <w:rFonts w:eastAsia="Times New Roman" w:cs="Times New Roman"/>
                <w:sz w:val="20"/>
                <w:szCs w:val="20"/>
                <w:vertAlign w:val="superscript"/>
              </w:rPr>
              <w:fldChar w:fldCharType="begin"/>
            </w:r>
            <w:r w:rsidR="00A05D14" w:rsidRPr="00FE444A">
              <w:rPr>
                <w:rFonts w:eastAsia="Times New Roman" w:cs="Times New Roman"/>
                <w:sz w:val="20"/>
                <w:szCs w:val="20"/>
                <w:vertAlign w:val="superscript"/>
              </w:rPr>
              <w:instrText>ADDIN RW.CITE{{885 Barbas,C.S. 2012}}</w:instrText>
            </w:r>
            <w:r w:rsidR="00A05D14"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23</w:t>
            </w:r>
            <w:r w:rsidR="00A05D14" w:rsidRPr="00FE444A">
              <w:rPr>
                <w:rFonts w:eastAsia="Times New Roman" w:cs="Times New Roman"/>
                <w:sz w:val="20"/>
                <w:szCs w:val="20"/>
                <w:vertAlign w:val="superscript"/>
              </w:rPr>
              <w:fldChar w:fldCharType="end"/>
            </w:r>
            <w:r w:rsidR="00442AFB" w:rsidRPr="00FE444A">
              <w:rPr>
                <w:rFonts w:cs="Arial"/>
                <w:sz w:val="20"/>
                <w:szCs w:val="20"/>
              </w:rPr>
              <w:t xml:space="preserve"> </w:t>
            </w:r>
          </w:p>
        </w:tc>
        <w:tc>
          <w:tcPr>
            <w:tcW w:w="5957" w:type="dxa"/>
          </w:tcPr>
          <w:p w14:paraId="52997C92" w14:textId="06592F6B" w:rsidR="00CA2E70" w:rsidRPr="00FE444A" w:rsidRDefault="00CA2E70" w:rsidP="00E71044">
            <w:pPr>
              <w:spacing w:before="60" w:after="60" w:line="240" w:lineRule="auto"/>
              <w:rPr>
                <w:rStyle w:val="apple-converted-space"/>
                <w:rFonts w:eastAsiaTheme="minorHAnsi" w:cs="Arial"/>
                <w:color w:val="000000"/>
                <w:sz w:val="20"/>
                <w:szCs w:val="20"/>
                <w:shd w:val="clear" w:color="auto" w:fill="FFFFFF"/>
              </w:rPr>
            </w:pPr>
            <w:r w:rsidRPr="00FE444A">
              <w:rPr>
                <w:rStyle w:val="apple-converted-space"/>
                <w:rFonts w:eastAsiaTheme="minorHAnsi" w:cs="Arial"/>
                <w:color w:val="000000"/>
                <w:sz w:val="20"/>
                <w:szCs w:val="20"/>
                <w:shd w:val="clear" w:color="auto" w:fill="FFFFFF"/>
              </w:rPr>
              <w:t>Review of 10 RCTs (</w:t>
            </w:r>
            <w:r w:rsidR="00BE3BC5" w:rsidRPr="00FE444A">
              <w:rPr>
                <w:rStyle w:val="apple-converted-space"/>
                <w:rFonts w:eastAsiaTheme="minorHAnsi" w:cs="Arial"/>
                <w:color w:val="000000"/>
                <w:sz w:val="20"/>
                <w:szCs w:val="20"/>
                <w:shd w:val="clear" w:color="auto" w:fill="FFFFFF"/>
              </w:rPr>
              <w:t>n=</w:t>
            </w:r>
            <w:r w:rsidRPr="00FE444A">
              <w:rPr>
                <w:rStyle w:val="apple-converted-space"/>
                <w:rFonts w:eastAsiaTheme="minorHAnsi" w:cs="Arial"/>
                <w:color w:val="000000"/>
                <w:sz w:val="20"/>
                <w:szCs w:val="20"/>
                <w:shd w:val="clear" w:color="auto" w:fill="FFFFFF"/>
              </w:rPr>
              <w:t>2,213 patients) assessing the effectiveness of subglottic suctioning ETTs in the prevention of VAP</w:t>
            </w:r>
            <w:r w:rsidR="0091306D" w:rsidRPr="00FE444A">
              <w:rPr>
                <w:rStyle w:val="apple-converted-space"/>
                <w:rFonts w:eastAsiaTheme="minorHAnsi" w:cs="Arial"/>
                <w:color w:val="000000"/>
                <w:sz w:val="20"/>
                <w:szCs w:val="20"/>
                <w:shd w:val="clear" w:color="auto" w:fill="FFFFFF"/>
              </w:rPr>
              <w:t xml:space="preserve">. </w:t>
            </w:r>
            <w:r w:rsidRPr="00FE444A">
              <w:rPr>
                <w:rStyle w:val="apple-converted-space"/>
                <w:rFonts w:eastAsiaTheme="minorHAnsi" w:cs="Arial"/>
                <w:color w:val="000000"/>
                <w:sz w:val="20"/>
                <w:szCs w:val="20"/>
                <w:shd w:val="clear" w:color="auto" w:fill="FFFFFF"/>
              </w:rPr>
              <w:t>Findings show</w:t>
            </w:r>
            <w:r w:rsidR="0054510E" w:rsidRPr="00FE444A">
              <w:rPr>
                <w:rStyle w:val="apple-converted-space"/>
                <w:rFonts w:eastAsiaTheme="minorHAnsi" w:cs="Arial"/>
                <w:color w:val="000000"/>
                <w:sz w:val="20"/>
                <w:szCs w:val="20"/>
                <w:shd w:val="clear" w:color="auto" w:fill="FFFFFF"/>
              </w:rPr>
              <w:t>ed</w:t>
            </w:r>
            <w:r w:rsidRPr="00FE444A">
              <w:rPr>
                <w:rStyle w:val="apple-converted-space"/>
                <w:rFonts w:eastAsiaTheme="minorHAnsi" w:cs="Arial"/>
                <w:color w:val="000000"/>
                <w:sz w:val="20"/>
                <w:szCs w:val="20"/>
                <w:shd w:val="clear" w:color="auto" w:fill="FFFFFF"/>
              </w:rPr>
              <w:t xml:space="preserve"> that the use of subglottic suctioning ETTs reduces the incidence of VAP, early</w:t>
            </w:r>
            <w:r w:rsidR="009B5B4C" w:rsidRPr="00FE444A">
              <w:rPr>
                <w:rStyle w:val="apple-converted-space"/>
                <w:rFonts w:eastAsiaTheme="minorHAnsi" w:cs="Arial"/>
                <w:color w:val="000000"/>
                <w:sz w:val="20"/>
                <w:szCs w:val="20"/>
                <w:shd w:val="clear" w:color="auto" w:fill="FFFFFF"/>
              </w:rPr>
              <w:t>-</w:t>
            </w:r>
            <w:r w:rsidR="00BA40D9" w:rsidRPr="00FE444A">
              <w:rPr>
                <w:rStyle w:val="apple-converted-space"/>
                <w:rFonts w:eastAsiaTheme="minorHAnsi" w:cs="Arial"/>
                <w:color w:val="000000"/>
                <w:sz w:val="20"/>
                <w:szCs w:val="20"/>
                <w:shd w:val="clear" w:color="auto" w:fill="FFFFFF"/>
              </w:rPr>
              <w:t>onset VAP,</w:t>
            </w:r>
            <w:r w:rsidR="00CF0F09" w:rsidRPr="00FE444A">
              <w:rPr>
                <w:rStyle w:val="apple-converted-space"/>
                <w:rFonts w:eastAsiaTheme="minorHAnsi" w:cs="Arial"/>
                <w:color w:val="000000"/>
                <w:sz w:val="20"/>
                <w:szCs w:val="20"/>
                <w:shd w:val="clear" w:color="auto" w:fill="FFFFFF"/>
              </w:rPr>
              <w:t xml:space="preserve"> and </w:t>
            </w:r>
            <w:r w:rsidRPr="00FE444A">
              <w:rPr>
                <w:rStyle w:val="apple-converted-space"/>
                <w:rFonts w:eastAsiaTheme="minorHAnsi" w:cs="Arial"/>
                <w:color w:val="000000"/>
                <w:sz w:val="20"/>
                <w:szCs w:val="20"/>
                <w:shd w:val="clear" w:color="auto" w:fill="FFFFFF"/>
              </w:rPr>
              <w:t>duration of mechanical ventilation</w:t>
            </w:r>
            <w:r w:rsidR="009B5B4C" w:rsidRPr="00FE444A">
              <w:rPr>
                <w:rStyle w:val="apple-converted-space"/>
                <w:rFonts w:eastAsiaTheme="minorHAnsi" w:cs="Arial"/>
                <w:color w:val="000000"/>
                <w:sz w:val="20"/>
                <w:szCs w:val="20"/>
                <w:shd w:val="clear" w:color="auto" w:fill="FFFFFF"/>
              </w:rPr>
              <w:t>,</w:t>
            </w:r>
            <w:r w:rsidRPr="00FE444A">
              <w:rPr>
                <w:rStyle w:val="apple-converted-space"/>
                <w:rFonts w:eastAsiaTheme="minorHAnsi" w:cs="Arial"/>
                <w:color w:val="000000"/>
                <w:sz w:val="20"/>
                <w:szCs w:val="20"/>
                <w:shd w:val="clear" w:color="auto" w:fill="FFFFFF"/>
              </w:rPr>
              <w:t xml:space="preserve"> and increase</w:t>
            </w:r>
            <w:r w:rsidR="00CF0F09" w:rsidRPr="00FE444A">
              <w:rPr>
                <w:rStyle w:val="apple-converted-space"/>
                <w:rFonts w:eastAsiaTheme="minorHAnsi" w:cs="Arial"/>
                <w:color w:val="000000"/>
                <w:sz w:val="20"/>
                <w:szCs w:val="20"/>
                <w:shd w:val="clear" w:color="auto" w:fill="FFFFFF"/>
              </w:rPr>
              <w:t>s</w:t>
            </w:r>
            <w:r w:rsidRPr="00FE444A">
              <w:rPr>
                <w:rStyle w:val="apple-converted-space"/>
                <w:rFonts w:eastAsiaTheme="minorHAnsi" w:cs="Arial"/>
                <w:color w:val="000000"/>
                <w:sz w:val="20"/>
                <w:szCs w:val="20"/>
                <w:shd w:val="clear" w:color="auto" w:fill="FFFFFF"/>
              </w:rPr>
              <w:t xml:space="preserve"> time to </w:t>
            </w:r>
            <w:r w:rsidR="00CF0F09" w:rsidRPr="00FE444A">
              <w:rPr>
                <w:rStyle w:val="apple-converted-space"/>
                <w:rFonts w:eastAsiaTheme="minorHAnsi" w:cs="Arial"/>
                <w:color w:val="000000"/>
                <w:sz w:val="20"/>
                <w:szCs w:val="20"/>
                <w:shd w:val="clear" w:color="auto" w:fill="FFFFFF"/>
              </w:rPr>
              <w:t xml:space="preserve">development of </w:t>
            </w:r>
            <w:r w:rsidRPr="00FE444A">
              <w:rPr>
                <w:rStyle w:val="apple-converted-space"/>
                <w:rFonts w:eastAsiaTheme="minorHAnsi" w:cs="Arial"/>
                <w:color w:val="000000"/>
                <w:sz w:val="20"/>
                <w:szCs w:val="20"/>
                <w:shd w:val="clear" w:color="auto" w:fill="FFFFFF"/>
              </w:rPr>
              <w:t>VAP</w:t>
            </w:r>
            <w:r w:rsidR="0091306D" w:rsidRPr="00FE444A">
              <w:rPr>
                <w:rStyle w:val="apple-converted-space"/>
                <w:rFonts w:eastAsiaTheme="minorHAnsi" w:cs="Arial"/>
                <w:color w:val="000000"/>
                <w:sz w:val="20"/>
                <w:szCs w:val="20"/>
                <w:shd w:val="clear" w:color="auto" w:fill="FFFFFF"/>
              </w:rPr>
              <w:t xml:space="preserve">. </w:t>
            </w:r>
            <w:r w:rsidRPr="00FE444A">
              <w:rPr>
                <w:rStyle w:val="apple-converted-space"/>
                <w:rFonts w:eastAsiaTheme="minorHAnsi" w:cs="Arial"/>
                <w:color w:val="000000"/>
                <w:sz w:val="20"/>
                <w:szCs w:val="20"/>
                <w:shd w:val="clear" w:color="auto" w:fill="FFFFFF"/>
              </w:rPr>
              <w:t>However, the use of subglottic ETTs does not decrease the incidence of late</w:t>
            </w:r>
            <w:r w:rsidR="009B5B4C" w:rsidRPr="00FE444A">
              <w:rPr>
                <w:rStyle w:val="apple-converted-space"/>
                <w:rFonts w:eastAsiaTheme="minorHAnsi" w:cs="Arial"/>
                <w:color w:val="000000"/>
                <w:sz w:val="20"/>
                <w:szCs w:val="20"/>
                <w:shd w:val="clear" w:color="auto" w:fill="FFFFFF"/>
              </w:rPr>
              <w:t>-</w:t>
            </w:r>
            <w:r w:rsidRPr="00FE444A">
              <w:rPr>
                <w:rStyle w:val="apple-converted-space"/>
                <w:rFonts w:eastAsiaTheme="minorHAnsi" w:cs="Arial"/>
                <w:color w:val="000000"/>
                <w:sz w:val="20"/>
                <w:szCs w:val="20"/>
                <w:shd w:val="clear" w:color="auto" w:fill="FFFFFF"/>
              </w:rPr>
              <w:t xml:space="preserve">onset VAP, the length of stay in the </w:t>
            </w:r>
            <w:r w:rsidR="00E71044" w:rsidRPr="00FE444A">
              <w:rPr>
                <w:rStyle w:val="apple-converted-space"/>
                <w:rFonts w:eastAsiaTheme="minorHAnsi" w:cs="Arial"/>
                <w:color w:val="000000"/>
                <w:sz w:val="20"/>
                <w:szCs w:val="20"/>
                <w:shd w:val="clear" w:color="auto" w:fill="FFFFFF"/>
              </w:rPr>
              <w:t>ICU</w:t>
            </w:r>
            <w:r w:rsidRPr="00FE444A">
              <w:rPr>
                <w:rStyle w:val="apple-converted-space"/>
                <w:rFonts w:eastAsiaTheme="minorHAnsi" w:cs="Arial"/>
                <w:color w:val="000000"/>
                <w:sz w:val="20"/>
                <w:szCs w:val="20"/>
                <w:shd w:val="clear" w:color="auto" w:fill="FFFFFF"/>
              </w:rPr>
              <w:t xml:space="preserve"> or hospital, or hospital mortality.</w:t>
            </w:r>
          </w:p>
        </w:tc>
      </w:tr>
      <w:tr w:rsidR="00A33AFA" w:rsidRPr="002457B3" w14:paraId="4A9C4B92" w14:textId="77777777" w:rsidTr="00570CC9">
        <w:tc>
          <w:tcPr>
            <w:tcW w:w="3619" w:type="dxa"/>
          </w:tcPr>
          <w:p w14:paraId="4CE3DE01" w14:textId="7C7E0AE1" w:rsidR="00A33AFA" w:rsidRPr="00FE444A" w:rsidRDefault="00A33AFA" w:rsidP="00FE444A">
            <w:pPr>
              <w:spacing w:before="60" w:after="60" w:line="240" w:lineRule="auto"/>
              <w:rPr>
                <w:rFonts w:cs="Arial"/>
                <w:sz w:val="20"/>
                <w:szCs w:val="20"/>
              </w:rPr>
            </w:pPr>
            <w:r w:rsidRPr="00FE444A">
              <w:rPr>
                <w:rFonts w:cs="Arial"/>
                <w:sz w:val="20"/>
                <w:szCs w:val="20"/>
              </w:rPr>
              <w:t>Review</w:t>
            </w:r>
          </w:p>
          <w:p w14:paraId="5CC8B81C" w14:textId="795A096B" w:rsidR="00A33AFA" w:rsidRPr="00FE444A" w:rsidRDefault="00A33AFA" w:rsidP="00FE444A">
            <w:pPr>
              <w:spacing w:before="60" w:after="60" w:line="240" w:lineRule="auto"/>
              <w:rPr>
                <w:rFonts w:cs="Arial"/>
                <w:sz w:val="20"/>
                <w:szCs w:val="20"/>
              </w:rPr>
            </w:pPr>
            <w:r w:rsidRPr="00FE444A">
              <w:rPr>
                <w:rFonts w:cs="Arial"/>
                <w:sz w:val="20"/>
                <w:szCs w:val="20"/>
              </w:rPr>
              <w:t>(Blot, 2011)</w:t>
            </w:r>
            <w:r w:rsidR="00A05D14" w:rsidRPr="00FE444A">
              <w:rPr>
                <w:rFonts w:eastAsia="Times New Roman" w:cs="Times New Roman"/>
                <w:sz w:val="20"/>
                <w:szCs w:val="20"/>
                <w:vertAlign w:val="superscript"/>
              </w:rPr>
              <w:fldChar w:fldCharType="begin"/>
            </w:r>
            <w:r w:rsidR="00A05D14" w:rsidRPr="00FE444A">
              <w:rPr>
                <w:rFonts w:eastAsia="Times New Roman" w:cs="Times New Roman"/>
                <w:sz w:val="20"/>
                <w:szCs w:val="20"/>
                <w:vertAlign w:val="superscript"/>
              </w:rPr>
              <w:instrText>ADDIN RW.CITE{{132 Blot,S. 2011}}</w:instrText>
            </w:r>
            <w:r w:rsidR="00A05D14"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24</w:t>
            </w:r>
            <w:r w:rsidR="00A05D14" w:rsidRPr="00FE444A">
              <w:rPr>
                <w:rFonts w:eastAsia="Times New Roman" w:cs="Times New Roman"/>
                <w:sz w:val="20"/>
                <w:szCs w:val="20"/>
                <w:vertAlign w:val="superscript"/>
              </w:rPr>
              <w:fldChar w:fldCharType="end"/>
            </w:r>
            <w:r w:rsidR="00442AFB" w:rsidRPr="00FE444A">
              <w:rPr>
                <w:rFonts w:cs="Arial"/>
                <w:sz w:val="20"/>
                <w:szCs w:val="20"/>
              </w:rPr>
              <w:t xml:space="preserve"> </w:t>
            </w:r>
          </w:p>
        </w:tc>
        <w:tc>
          <w:tcPr>
            <w:tcW w:w="5957" w:type="dxa"/>
          </w:tcPr>
          <w:p w14:paraId="1B4BEBA8" w14:textId="3B1F1D09" w:rsidR="00A33AFA" w:rsidRPr="00FE444A" w:rsidRDefault="00A33AFA" w:rsidP="00E8255D">
            <w:pPr>
              <w:spacing w:before="60" w:after="60" w:line="240" w:lineRule="auto"/>
              <w:rPr>
                <w:rStyle w:val="apple-converted-space"/>
                <w:rFonts w:eastAsiaTheme="minorHAnsi" w:cs="Arial"/>
                <w:color w:val="000000"/>
                <w:sz w:val="20"/>
                <w:szCs w:val="20"/>
                <w:shd w:val="clear" w:color="auto" w:fill="FFFFFF"/>
              </w:rPr>
            </w:pPr>
            <w:r w:rsidRPr="00FE444A">
              <w:rPr>
                <w:rStyle w:val="apple-converted-space"/>
                <w:rFonts w:eastAsiaTheme="minorHAnsi" w:cs="Arial"/>
                <w:color w:val="000000"/>
                <w:sz w:val="20"/>
                <w:szCs w:val="20"/>
                <w:shd w:val="clear" w:color="auto" w:fill="FFFFFF"/>
              </w:rPr>
              <w:t>Revie</w:t>
            </w:r>
            <w:r w:rsidR="00CA2E70" w:rsidRPr="00FE444A">
              <w:rPr>
                <w:rStyle w:val="apple-converted-space"/>
                <w:rFonts w:eastAsiaTheme="minorHAnsi" w:cs="Arial"/>
                <w:color w:val="000000"/>
                <w:sz w:val="20"/>
                <w:szCs w:val="20"/>
                <w:shd w:val="clear" w:color="auto" w:fill="FFFFFF"/>
              </w:rPr>
              <w:t>w of recent, new, nonpharmacolo</w:t>
            </w:r>
            <w:r w:rsidRPr="00FE444A">
              <w:rPr>
                <w:rStyle w:val="apple-converted-space"/>
                <w:rFonts w:eastAsiaTheme="minorHAnsi" w:cs="Arial"/>
                <w:color w:val="000000"/>
                <w:sz w:val="20"/>
                <w:szCs w:val="20"/>
                <w:shd w:val="clear" w:color="auto" w:fill="FFFFFF"/>
              </w:rPr>
              <w:t>gical VAP prevention measures</w:t>
            </w:r>
            <w:r w:rsidR="0091306D" w:rsidRPr="00FE444A">
              <w:rPr>
                <w:rStyle w:val="apple-converted-space"/>
                <w:rFonts w:eastAsiaTheme="minorHAnsi" w:cs="Arial"/>
                <w:color w:val="000000"/>
                <w:sz w:val="20"/>
                <w:szCs w:val="20"/>
                <w:shd w:val="clear" w:color="auto" w:fill="FFFFFF"/>
              </w:rPr>
              <w:t xml:space="preserve">. </w:t>
            </w:r>
            <w:r w:rsidRPr="00FE444A">
              <w:rPr>
                <w:rStyle w:val="apple-converted-space"/>
                <w:rFonts w:eastAsiaTheme="minorHAnsi" w:cs="Arial"/>
                <w:color w:val="000000"/>
                <w:sz w:val="20"/>
                <w:szCs w:val="20"/>
                <w:shd w:val="clear" w:color="auto" w:fill="FFFFFF"/>
              </w:rPr>
              <w:t>Support</w:t>
            </w:r>
            <w:r w:rsidR="009B5B4C" w:rsidRPr="00FE444A">
              <w:rPr>
                <w:rStyle w:val="apple-converted-space"/>
                <w:rFonts w:eastAsiaTheme="minorHAnsi" w:cs="Arial"/>
                <w:color w:val="000000"/>
                <w:sz w:val="20"/>
                <w:szCs w:val="20"/>
                <w:shd w:val="clear" w:color="auto" w:fill="FFFFFF"/>
              </w:rPr>
              <w:t>ed</w:t>
            </w:r>
            <w:r w:rsidRPr="00FE444A">
              <w:rPr>
                <w:rStyle w:val="apple-converted-space"/>
                <w:rFonts w:eastAsiaTheme="minorHAnsi" w:cs="Arial"/>
                <w:color w:val="000000"/>
                <w:sz w:val="20"/>
                <w:szCs w:val="20"/>
                <w:shd w:val="clear" w:color="auto" w:fill="FFFFFF"/>
              </w:rPr>
              <w:t xml:space="preserve"> the use of subglottic secretions drainage using an </w:t>
            </w:r>
            <w:r w:rsidR="00E8255D" w:rsidRPr="00FE444A">
              <w:rPr>
                <w:rStyle w:val="apple-converted-space"/>
                <w:rFonts w:eastAsiaTheme="minorHAnsi" w:cs="Arial"/>
                <w:color w:val="000000"/>
                <w:sz w:val="20"/>
                <w:szCs w:val="20"/>
                <w:shd w:val="clear" w:color="auto" w:fill="FFFFFF"/>
              </w:rPr>
              <w:t>ETT</w:t>
            </w:r>
            <w:r w:rsidRPr="00FE444A">
              <w:rPr>
                <w:rStyle w:val="apple-converted-space"/>
                <w:rFonts w:eastAsiaTheme="minorHAnsi" w:cs="Arial"/>
                <w:color w:val="000000"/>
                <w:sz w:val="20"/>
                <w:szCs w:val="20"/>
                <w:shd w:val="clear" w:color="auto" w:fill="FFFFFF"/>
              </w:rPr>
              <w:t xml:space="preserve"> with a separ</w:t>
            </w:r>
            <w:r w:rsidR="003E0D33" w:rsidRPr="00FE444A">
              <w:rPr>
                <w:rStyle w:val="apple-converted-space"/>
                <w:rFonts w:eastAsiaTheme="minorHAnsi" w:cs="Arial"/>
                <w:color w:val="000000"/>
                <w:sz w:val="20"/>
                <w:szCs w:val="20"/>
                <w:shd w:val="clear" w:color="auto" w:fill="FFFFFF"/>
              </w:rPr>
              <w:t>ate dorsal lumen to avoid micro</w:t>
            </w:r>
            <w:r w:rsidR="00236A2B" w:rsidRPr="00FE444A">
              <w:rPr>
                <w:rStyle w:val="apple-converted-space"/>
                <w:rFonts w:eastAsiaTheme="minorHAnsi" w:cs="Arial"/>
                <w:color w:val="000000"/>
                <w:sz w:val="20"/>
                <w:szCs w:val="20"/>
                <w:shd w:val="clear" w:color="auto" w:fill="FFFFFF"/>
              </w:rPr>
              <w:t xml:space="preserve"> </w:t>
            </w:r>
            <w:r w:rsidRPr="00FE444A">
              <w:rPr>
                <w:rStyle w:val="apple-converted-space"/>
                <w:rFonts w:eastAsiaTheme="minorHAnsi" w:cs="Arial"/>
                <w:color w:val="000000"/>
                <w:sz w:val="20"/>
                <w:szCs w:val="20"/>
                <w:shd w:val="clear" w:color="auto" w:fill="FFFFFF"/>
              </w:rPr>
              <w:t>aspiration</w:t>
            </w:r>
            <w:r w:rsidR="0091306D" w:rsidRPr="00FE444A">
              <w:rPr>
                <w:rStyle w:val="apple-converted-space"/>
                <w:rFonts w:eastAsiaTheme="minorHAnsi" w:cs="Arial"/>
                <w:color w:val="000000"/>
                <w:sz w:val="20"/>
                <w:szCs w:val="20"/>
                <w:shd w:val="clear" w:color="auto" w:fill="FFFFFF"/>
              </w:rPr>
              <w:t xml:space="preserve">. </w:t>
            </w:r>
          </w:p>
        </w:tc>
      </w:tr>
      <w:tr w:rsidR="00946A29" w:rsidRPr="002457B3" w14:paraId="73D8E83C" w14:textId="77777777" w:rsidTr="00570CC9">
        <w:trPr>
          <w:trHeight w:val="692"/>
        </w:trPr>
        <w:tc>
          <w:tcPr>
            <w:tcW w:w="3619" w:type="dxa"/>
          </w:tcPr>
          <w:p w14:paraId="690BFB13" w14:textId="0E283E31" w:rsidR="00946A29" w:rsidRPr="00FE444A" w:rsidRDefault="00946A29" w:rsidP="00FE444A">
            <w:pPr>
              <w:spacing w:before="60" w:after="60" w:line="240" w:lineRule="auto"/>
              <w:rPr>
                <w:rFonts w:cs="Arial"/>
                <w:sz w:val="20"/>
                <w:szCs w:val="20"/>
              </w:rPr>
            </w:pPr>
            <w:r w:rsidRPr="00FE444A">
              <w:rPr>
                <w:rFonts w:cs="Arial"/>
                <w:sz w:val="20"/>
                <w:szCs w:val="20"/>
              </w:rPr>
              <w:t>Systematic Review and Meta-</w:t>
            </w:r>
            <w:r w:rsidR="00A37C0D">
              <w:rPr>
                <w:rFonts w:cs="Arial"/>
                <w:sz w:val="20"/>
                <w:szCs w:val="20"/>
              </w:rPr>
              <w:t>a</w:t>
            </w:r>
            <w:r w:rsidRPr="00FE444A">
              <w:rPr>
                <w:rFonts w:cs="Arial"/>
                <w:sz w:val="20"/>
                <w:szCs w:val="20"/>
              </w:rPr>
              <w:t>nalysis</w:t>
            </w:r>
          </w:p>
          <w:p w14:paraId="0BABFC58" w14:textId="38E69C11" w:rsidR="00946A29" w:rsidRPr="00FE444A" w:rsidRDefault="00946A29" w:rsidP="00FE444A">
            <w:pPr>
              <w:spacing w:before="60" w:after="60" w:line="240" w:lineRule="auto"/>
              <w:rPr>
                <w:rFonts w:cs="Arial"/>
                <w:sz w:val="20"/>
                <w:szCs w:val="20"/>
              </w:rPr>
            </w:pPr>
            <w:r w:rsidRPr="00FE444A">
              <w:rPr>
                <w:rFonts w:cs="Arial"/>
                <w:sz w:val="20"/>
                <w:szCs w:val="20"/>
              </w:rPr>
              <w:t>(Muscedere, 2011)</w:t>
            </w:r>
            <w:r w:rsidR="00A05D14" w:rsidRPr="00FE444A">
              <w:rPr>
                <w:rFonts w:eastAsia="Times New Roman" w:cs="Times New Roman"/>
                <w:sz w:val="20"/>
                <w:szCs w:val="20"/>
                <w:vertAlign w:val="superscript"/>
              </w:rPr>
              <w:fldChar w:fldCharType="begin"/>
            </w:r>
            <w:r w:rsidR="00A05D14" w:rsidRPr="00FE444A">
              <w:rPr>
                <w:rFonts w:eastAsia="Times New Roman" w:cs="Times New Roman"/>
                <w:sz w:val="20"/>
                <w:szCs w:val="20"/>
                <w:vertAlign w:val="superscript"/>
              </w:rPr>
              <w:instrText>ADDIN RW.CITE{{271 Muscedere,J. 2011}}</w:instrText>
            </w:r>
            <w:r w:rsidR="00A05D14"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25</w:t>
            </w:r>
            <w:r w:rsidR="00A05D14" w:rsidRPr="00FE444A">
              <w:rPr>
                <w:rFonts w:eastAsia="Times New Roman" w:cs="Times New Roman"/>
                <w:sz w:val="20"/>
                <w:szCs w:val="20"/>
                <w:vertAlign w:val="superscript"/>
              </w:rPr>
              <w:fldChar w:fldCharType="end"/>
            </w:r>
            <w:r w:rsidR="00442AFB" w:rsidRPr="00FE444A">
              <w:rPr>
                <w:rFonts w:cs="Arial"/>
                <w:sz w:val="20"/>
                <w:szCs w:val="20"/>
              </w:rPr>
              <w:t xml:space="preserve"> </w:t>
            </w:r>
          </w:p>
        </w:tc>
        <w:tc>
          <w:tcPr>
            <w:tcW w:w="5957" w:type="dxa"/>
          </w:tcPr>
          <w:p w14:paraId="5FFC79C8" w14:textId="1BEF293B" w:rsidR="00946A29" w:rsidRPr="00FE444A" w:rsidRDefault="00946A29" w:rsidP="00E71044">
            <w:pPr>
              <w:spacing w:before="60" w:after="60" w:line="240" w:lineRule="auto"/>
              <w:rPr>
                <w:rStyle w:val="apple-converted-space"/>
                <w:rFonts w:eastAsiaTheme="minorHAnsi" w:cs="Arial"/>
                <w:color w:val="000000"/>
                <w:sz w:val="20"/>
                <w:szCs w:val="20"/>
                <w:shd w:val="clear" w:color="auto" w:fill="FFFFFF"/>
              </w:rPr>
            </w:pPr>
            <w:r w:rsidRPr="00FE444A">
              <w:rPr>
                <w:rFonts w:cs="Arial"/>
                <w:sz w:val="20"/>
                <w:szCs w:val="20"/>
              </w:rPr>
              <w:t xml:space="preserve">Study focused on 13 RCTs evaluating </w:t>
            </w:r>
            <w:r w:rsidR="00E71044" w:rsidRPr="00FE444A">
              <w:rPr>
                <w:rFonts w:cs="Arial"/>
                <w:sz w:val="20"/>
                <w:szCs w:val="20"/>
              </w:rPr>
              <w:t>SSD</w:t>
            </w:r>
            <w:r w:rsidRPr="00FE444A">
              <w:rPr>
                <w:rFonts w:cs="Arial"/>
                <w:sz w:val="20"/>
                <w:szCs w:val="20"/>
              </w:rPr>
              <w:t xml:space="preserve"> in adult mechanically ventilated patients. Study findings support</w:t>
            </w:r>
            <w:r w:rsidR="00E8255D" w:rsidRPr="00FE444A">
              <w:rPr>
                <w:rFonts w:cs="Arial"/>
                <w:sz w:val="20"/>
                <w:szCs w:val="20"/>
              </w:rPr>
              <w:t>ed</w:t>
            </w:r>
            <w:r w:rsidRPr="00FE444A">
              <w:rPr>
                <w:rFonts w:cs="Arial"/>
                <w:sz w:val="20"/>
                <w:szCs w:val="20"/>
              </w:rPr>
              <w:t xml:space="preserve"> the use</w:t>
            </w:r>
            <w:r w:rsidR="00A802FB" w:rsidRPr="00FE444A">
              <w:rPr>
                <w:rFonts w:cs="Arial"/>
                <w:sz w:val="20"/>
                <w:szCs w:val="20"/>
              </w:rPr>
              <w:t xml:space="preserve"> of </w:t>
            </w:r>
            <w:r w:rsidR="00E71044" w:rsidRPr="00FE444A">
              <w:rPr>
                <w:rFonts w:cs="Arial"/>
                <w:sz w:val="20"/>
                <w:szCs w:val="20"/>
              </w:rPr>
              <w:t>SSD-</w:t>
            </w:r>
            <w:r w:rsidR="00A802FB" w:rsidRPr="00FE444A">
              <w:rPr>
                <w:rFonts w:cs="Arial"/>
                <w:sz w:val="20"/>
                <w:szCs w:val="20"/>
              </w:rPr>
              <w:t>ETT</w:t>
            </w:r>
            <w:r w:rsidRPr="00FE444A">
              <w:rPr>
                <w:rFonts w:cs="Arial"/>
                <w:sz w:val="20"/>
                <w:szCs w:val="20"/>
              </w:rPr>
              <w:t xml:space="preserve"> in reduction rate of VAP.</w:t>
            </w:r>
          </w:p>
        </w:tc>
      </w:tr>
      <w:tr w:rsidR="00E14C4F" w:rsidRPr="002457B3" w14:paraId="5504EEB4" w14:textId="77777777" w:rsidTr="00570CC9">
        <w:tc>
          <w:tcPr>
            <w:tcW w:w="3619" w:type="dxa"/>
          </w:tcPr>
          <w:p w14:paraId="626A9753" w14:textId="6DAA3587" w:rsidR="00E14C4F" w:rsidRPr="00FE444A" w:rsidRDefault="00E77167" w:rsidP="00FE444A">
            <w:pPr>
              <w:spacing w:before="60" w:after="60" w:line="240" w:lineRule="auto"/>
              <w:rPr>
                <w:rFonts w:cs="Arial"/>
                <w:sz w:val="20"/>
                <w:szCs w:val="20"/>
              </w:rPr>
            </w:pPr>
            <w:r w:rsidRPr="00FE444A">
              <w:rPr>
                <w:rFonts w:cs="Arial"/>
                <w:sz w:val="20"/>
                <w:szCs w:val="20"/>
              </w:rPr>
              <w:t>Correspondence re: Lacherade study</w:t>
            </w:r>
            <w:r w:rsidR="00442AFB" w:rsidRPr="00FE444A">
              <w:rPr>
                <w:rFonts w:cs="Arial"/>
                <w:sz w:val="20"/>
                <w:szCs w:val="20"/>
              </w:rPr>
              <w:t xml:space="preserve"> </w:t>
            </w:r>
            <w:r w:rsidR="00E14C4F" w:rsidRPr="00FE444A">
              <w:rPr>
                <w:rFonts w:cs="Arial"/>
                <w:sz w:val="20"/>
                <w:szCs w:val="20"/>
              </w:rPr>
              <w:t>(Taylor, 2011)</w:t>
            </w:r>
            <w:r w:rsidR="00442AFB" w:rsidRPr="00FE444A">
              <w:rPr>
                <w:rFonts w:cs="Arial"/>
                <w:sz w:val="20"/>
                <w:szCs w:val="20"/>
              </w:rPr>
              <w:fldChar w:fldCharType="begin"/>
            </w:r>
            <w:r w:rsidR="00442AFB" w:rsidRPr="00FE444A">
              <w:rPr>
                <w:rFonts w:cs="Arial"/>
                <w:sz w:val="20"/>
                <w:szCs w:val="20"/>
              </w:rPr>
              <w:instrText>ADDIN RW.CITE{{880 Taylor,N.J. 2011;116 Lacherade,J.C. 2010}}</w:instrText>
            </w:r>
            <w:r w:rsidR="00442AFB" w:rsidRPr="00FE444A">
              <w:rPr>
                <w:rFonts w:cs="Arial"/>
                <w:sz w:val="20"/>
                <w:szCs w:val="20"/>
              </w:rPr>
              <w:fldChar w:fldCharType="separate"/>
            </w:r>
            <w:r w:rsidR="00437A97" w:rsidRPr="00FE444A">
              <w:rPr>
                <w:rFonts w:eastAsia="Times New Roman" w:cs="Times New Roman"/>
                <w:sz w:val="20"/>
                <w:szCs w:val="20"/>
                <w:vertAlign w:val="superscript"/>
              </w:rPr>
              <w:t>11,26</w:t>
            </w:r>
            <w:r w:rsidR="00442AFB" w:rsidRPr="00FE444A">
              <w:rPr>
                <w:rFonts w:cs="Arial"/>
                <w:sz w:val="20"/>
                <w:szCs w:val="20"/>
              </w:rPr>
              <w:fldChar w:fldCharType="end"/>
            </w:r>
          </w:p>
        </w:tc>
        <w:tc>
          <w:tcPr>
            <w:tcW w:w="5957" w:type="dxa"/>
          </w:tcPr>
          <w:p w14:paraId="2E3C2930" w14:textId="64E242D2" w:rsidR="00E14C4F" w:rsidRPr="00FE444A" w:rsidRDefault="00E14C4F" w:rsidP="00E8255D">
            <w:pPr>
              <w:autoSpaceDE w:val="0"/>
              <w:autoSpaceDN w:val="0"/>
              <w:spacing w:before="60" w:after="60" w:line="240" w:lineRule="auto"/>
              <w:rPr>
                <w:rFonts w:cs="Arial"/>
                <w:sz w:val="20"/>
                <w:szCs w:val="20"/>
              </w:rPr>
            </w:pPr>
            <w:r w:rsidRPr="00FE444A">
              <w:rPr>
                <w:rFonts w:cs="Arial"/>
                <w:sz w:val="20"/>
                <w:szCs w:val="20"/>
              </w:rPr>
              <w:t>Discusse</w:t>
            </w:r>
            <w:r w:rsidR="00E8255D" w:rsidRPr="00FE444A">
              <w:rPr>
                <w:rFonts w:cs="Arial"/>
                <w:sz w:val="20"/>
                <w:szCs w:val="20"/>
              </w:rPr>
              <w:t>d</w:t>
            </w:r>
            <w:r w:rsidRPr="00FE444A">
              <w:rPr>
                <w:rFonts w:cs="Arial"/>
                <w:sz w:val="20"/>
                <w:szCs w:val="20"/>
              </w:rPr>
              <w:t xml:space="preserve"> the validity of the analysis in the Lacherade 2010 study</w:t>
            </w:r>
            <w:r w:rsidR="0091306D" w:rsidRPr="00FE444A">
              <w:rPr>
                <w:rFonts w:cs="Arial"/>
                <w:sz w:val="20"/>
                <w:szCs w:val="20"/>
              </w:rPr>
              <w:t xml:space="preserve">. </w:t>
            </w:r>
            <w:r w:rsidRPr="00FE444A">
              <w:rPr>
                <w:rFonts w:cs="Arial"/>
                <w:sz w:val="20"/>
                <w:szCs w:val="20"/>
              </w:rPr>
              <w:t>State</w:t>
            </w:r>
            <w:r w:rsidR="00E8255D" w:rsidRPr="00FE444A">
              <w:rPr>
                <w:rFonts w:cs="Arial"/>
                <w:sz w:val="20"/>
                <w:szCs w:val="20"/>
              </w:rPr>
              <w:t>d</w:t>
            </w:r>
            <w:r w:rsidRPr="00FE444A">
              <w:rPr>
                <w:rFonts w:cs="Arial"/>
                <w:sz w:val="20"/>
                <w:szCs w:val="20"/>
              </w:rPr>
              <w:t xml:space="preserve"> that while there were significant decreases in VAP rates in the intervention arm, the decreases did not translate into any reduction in the rate of clinically relevant outcomes</w:t>
            </w:r>
            <w:r w:rsidR="0091306D" w:rsidRPr="00FE444A">
              <w:rPr>
                <w:rFonts w:cs="Arial"/>
                <w:sz w:val="20"/>
                <w:szCs w:val="20"/>
              </w:rPr>
              <w:t xml:space="preserve">. </w:t>
            </w:r>
            <w:r w:rsidR="00E77167" w:rsidRPr="00FE444A">
              <w:rPr>
                <w:rFonts w:cs="Arial"/>
                <w:sz w:val="20"/>
                <w:szCs w:val="20"/>
              </w:rPr>
              <w:t xml:space="preserve"> </w:t>
            </w:r>
          </w:p>
        </w:tc>
      </w:tr>
      <w:tr w:rsidR="001A71B0" w:rsidRPr="002457B3" w14:paraId="4F375EEA" w14:textId="77777777" w:rsidTr="00570CC9">
        <w:tc>
          <w:tcPr>
            <w:tcW w:w="3619" w:type="dxa"/>
          </w:tcPr>
          <w:p w14:paraId="3946482E" w14:textId="77777777" w:rsidR="001A71B0" w:rsidRPr="00FE444A" w:rsidRDefault="001A71B0" w:rsidP="00FE444A">
            <w:pPr>
              <w:spacing w:before="60" w:after="60" w:line="240" w:lineRule="auto"/>
              <w:rPr>
                <w:rFonts w:cs="Arial"/>
                <w:sz w:val="20"/>
                <w:szCs w:val="20"/>
              </w:rPr>
            </w:pPr>
            <w:r w:rsidRPr="00FE444A">
              <w:rPr>
                <w:rFonts w:cs="Arial"/>
                <w:sz w:val="20"/>
                <w:szCs w:val="20"/>
              </w:rPr>
              <w:t>Correspondence</w:t>
            </w:r>
            <w:r w:rsidR="00E77167" w:rsidRPr="00FE444A">
              <w:rPr>
                <w:rFonts w:cs="Arial"/>
                <w:sz w:val="20"/>
                <w:szCs w:val="20"/>
              </w:rPr>
              <w:t xml:space="preserve"> re: Lacherade study</w:t>
            </w:r>
          </w:p>
          <w:p w14:paraId="584BEFEA" w14:textId="422FEF58" w:rsidR="001A71B0" w:rsidRPr="00FE444A" w:rsidRDefault="001A71B0" w:rsidP="00FE444A">
            <w:pPr>
              <w:spacing w:before="60" w:after="60" w:line="240" w:lineRule="auto"/>
              <w:rPr>
                <w:rFonts w:cs="Arial"/>
                <w:sz w:val="20"/>
                <w:szCs w:val="20"/>
              </w:rPr>
            </w:pPr>
            <w:r w:rsidRPr="00FE444A">
              <w:rPr>
                <w:rFonts w:cs="Arial"/>
                <w:sz w:val="20"/>
                <w:szCs w:val="20"/>
              </w:rPr>
              <w:t>(Silvestri, 2011)</w:t>
            </w:r>
            <w:r w:rsidR="00442AFB" w:rsidRPr="00FE444A">
              <w:rPr>
                <w:rFonts w:cs="Arial"/>
                <w:sz w:val="20"/>
                <w:szCs w:val="20"/>
              </w:rPr>
              <w:fldChar w:fldCharType="begin"/>
            </w:r>
            <w:r w:rsidR="00442AFB" w:rsidRPr="00FE444A">
              <w:rPr>
                <w:rFonts w:cs="Arial"/>
                <w:sz w:val="20"/>
                <w:szCs w:val="20"/>
              </w:rPr>
              <w:instrText>ADDIN RW.CITE{{116 Lacherade,J.C. 2010;879 Silvestri,L. 2011}}</w:instrText>
            </w:r>
            <w:r w:rsidR="00442AFB" w:rsidRPr="00FE444A">
              <w:rPr>
                <w:rFonts w:cs="Arial"/>
                <w:sz w:val="20"/>
                <w:szCs w:val="20"/>
              </w:rPr>
              <w:fldChar w:fldCharType="separate"/>
            </w:r>
            <w:r w:rsidR="00437A97" w:rsidRPr="00FE444A">
              <w:rPr>
                <w:rFonts w:eastAsia="Times New Roman" w:cs="Times New Roman"/>
                <w:sz w:val="20"/>
                <w:szCs w:val="20"/>
                <w:vertAlign w:val="superscript"/>
              </w:rPr>
              <w:t>11,27</w:t>
            </w:r>
            <w:r w:rsidR="00442AFB" w:rsidRPr="00FE444A">
              <w:rPr>
                <w:rFonts w:cs="Arial"/>
                <w:sz w:val="20"/>
                <w:szCs w:val="20"/>
              </w:rPr>
              <w:fldChar w:fldCharType="end"/>
            </w:r>
          </w:p>
        </w:tc>
        <w:tc>
          <w:tcPr>
            <w:tcW w:w="5957" w:type="dxa"/>
          </w:tcPr>
          <w:p w14:paraId="743FD0BA" w14:textId="52868CC6" w:rsidR="001A71B0" w:rsidRPr="00FE444A" w:rsidRDefault="001A71B0" w:rsidP="00A710E9">
            <w:pPr>
              <w:autoSpaceDE w:val="0"/>
              <w:autoSpaceDN w:val="0"/>
              <w:spacing w:before="60" w:after="60" w:line="240" w:lineRule="auto"/>
              <w:rPr>
                <w:rFonts w:cs="Arial"/>
                <w:sz w:val="20"/>
                <w:szCs w:val="20"/>
              </w:rPr>
            </w:pPr>
            <w:r w:rsidRPr="00FE444A">
              <w:rPr>
                <w:rFonts w:cs="Arial"/>
                <w:sz w:val="20"/>
                <w:szCs w:val="20"/>
              </w:rPr>
              <w:t>Discusse</w:t>
            </w:r>
            <w:r w:rsidR="00E8255D" w:rsidRPr="00FE444A">
              <w:rPr>
                <w:rFonts w:cs="Arial"/>
                <w:sz w:val="20"/>
                <w:szCs w:val="20"/>
              </w:rPr>
              <w:t>d</w:t>
            </w:r>
            <w:r w:rsidRPr="00FE444A">
              <w:rPr>
                <w:rFonts w:cs="Arial"/>
                <w:sz w:val="20"/>
                <w:szCs w:val="20"/>
              </w:rPr>
              <w:t xml:space="preserve"> the validity of the analysis in the Lacherade 2010 study</w:t>
            </w:r>
            <w:r w:rsidR="0091306D" w:rsidRPr="00FE444A">
              <w:rPr>
                <w:rFonts w:cs="Arial"/>
                <w:sz w:val="20"/>
                <w:szCs w:val="20"/>
              </w:rPr>
              <w:t xml:space="preserve">. </w:t>
            </w:r>
            <w:r w:rsidRPr="00FE444A">
              <w:rPr>
                <w:rFonts w:cs="Arial"/>
                <w:sz w:val="20"/>
                <w:szCs w:val="20"/>
              </w:rPr>
              <w:t>State</w:t>
            </w:r>
            <w:r w:rsidR="00A710E9" w:rsidRPr="00FE444A">
              <w:rPr>
                <w:rFonts w:cs="Arial"/>
                <w:sz w:val="20"/>
                <w:szCs w:val="20"/>
              </w:rPr>
              <w:t>d</w:t>
            </w:r>
            <w:r w:rsidRPr="00FE444A">
              <w:rPr>
                <w:rFonts w:cs="Arial"/>
                <w:sz w:val="20"/>
                <w:szCs w:val="20"/>
              </w:rPr>
              <w:t xml:space="preserve"> that the results were not strong enough for the inclusion of this technique in VAP prevention strategies</w:t>
            </w:r>
            <w:r w:rsidR="0091306D" w:rsidRPr="00FE444A">
              <w:rPr>
                <w:rFonts w:cs="Arial"/>
                <w:sz w:val="20"/>
                <w:szCs w:val="20"/>
              </w:rPr>
              <w:t xml:space="preserve">. </w:t>
            </w:r>
            <w:r w:rsidRPr="00FE444A">
              <w:rPr>
                <w:rFonts w:cs="Arial"/>
                <w:sz w:val="20"/>
                <w:szCs w:val="20"/>
              </w:rPr>
              <w:t>Mortality was not impacted</w:t>
            </w:r>
            <w:r w:rsidR="0091306D" w:rsidRPr="00FE444A">
              <w:rPr>
                <w:rFonts w:cs="Arial"/>
                <w:sz w:val="20"/>
                <w:szCs w:val="20"/>
              </w:rPr>
              <w:t xml:space="preserve">. </w:t>
            </w:r>
            <w:r w:rsidRPr="00FE444A">
              <w:rPr>
                <w:rFonts w:cs="Arial"/>
                <w:sz w:val="20"/>
                <w:szCs w:val="20"/>
              </w:rPr>
              <w:t>However, this study had a small sample size</w:t>
            </w:r>
            <w:r w:rsidR="00E14C4F" w:rsidRPr="00FE444A">
              <w:rPr>
                <w:rFonts w:cs="Arial"/>
                <w:sz w:val="20"/>
                <w:szCs w:val="20"/>
              </w:rPr>
              <w:t xml:space="preserve"> and was underpowered.</w:t>
            </w:r>
          </w:p>
        </w:tc>
      </w:tr>
      <w:tr w:rsidR="00A44F18" w:rsidRPr="002457B3" w14:paraId="08868149" w14:textId="77777777" w:rsidTr="00570CC9">
        <w:trPr>
          <w:trHeight w:val="980"/>
        </w:trPr>
        <w:tc>
          <w:tcPr>
            <w:tcW w:w="3619" w:type="dxa"/>
          </w:tcPr>
          <w:p w14:paraId="13B8B81A" w14:textId="77777777" w:rsidR="00A44F18" w:rsidRPr="00FE444A" w:rsidRDefault="0050743C" w:rsidP="00FE444A">
            <w:pPr>
              <w:spacing w:before="60" w:after="60" w:line="240" w:lineRule="auto"/>
              <w:rPr>
                <w:rFonts w:cs="Arial"/>
                <w:sz w:val="20"/>
                <w:szCs w:val="20"/>
              </w:rPr>
            </w:pPr>
            <w:r w:rsidRPr="00FE444A">
              <w:rPr>
                <w:rFonts w:cs="Arial"/>
                <w:sz w:val="20"/>
                <w:szCs w:val="20"/>
              </w:rPr>
              <w:t xml:space="preserve">Systematic </w:t>
            </w:r>
            <w:r w:rsidR="00D268D1" w:rsidRPr="00FE444A">
              <w:rPr>
                <w:rFonts w:cs="Arial"/>
                <w:sz w:val="20"/>
                <w:szCs w:val="20"/>
              </w:rPr>
              <w:t>Literature Review</w:t>
            </w:r>
          </w:p>
          <w:p w14:paraId="307B75A5" w14:textId="6713469F" w:rsidR="00D268D1" w:rsidRPr="00FE444A" w:rsidRDefault="00D268D1" w:rsidP="00FE444A">
            <w:pPr>
              <w:spacing w:before="60" w:after="60" w:line="240" w:lineRule="auto"/>
              <w:rPr>
                <w:rFonts w:cs="Arial"/>
                <w:sz w:val="20"/>
                <w:szCs w:val="20"/>
              </w:rPr>
            </w:pPr>
            <w:r w:rsidRPr="00FE444A">
              <w:rPr>
                <w:rFonts w:cs="Arial"/>
                <w:sz w:val="20"/>
                <w:szCs w:val="20"/>
              </w:rPr>
              <w:t>(Scherzer, 2010)</w:t>
            </w:r>
            <w:r w:rsidR="00442AFB" w:rsidRPr="00FE444A">
              <w:rPr>
                <w:rFonts w:eastAsia="Times New Roman" w:cs="Times New Roman"/>
                <w:sz w:val="20"/>
                <w:szCs w:val="20"/>
                <w:vertAlign w:val="superscript"/>
              </w:rPr>
              <w:fldChar w:fldCharType="begin"/>
            </w:r>
            <w:r w:rsidR="00442AFB" w:rsidRPr="00FE444A">
              <w:rPr>
                <w:rFonts w:eastAsia="Times New Roman" w:cs="Times New Roman"/>
                <w:sz w:val="20"/>
                <w:szCs w:val="20"/>
                <w:vertAlign w:val="superscript"/>
              </w:rPr>
              <w:instrText>ADDIN RW.CITE{{354 Scherzer , P. 2010}}</w:instrText>
            </w:r>
            <w:r w:rsidR="00442AFB" w:rsidRPr="00FE444A">
              <w:rPr>
                <w:rFonts w:eastAsia="Times New Roman" w:cs="Times New Roman"/>
                <w:sz w:val="20"/>
                <w:szCs w:val="20"/>
                <w:vertAlign w:val="superscript"/>
              </w:rPr>
              <w:fldChar w:fldCharType="separate"/>
            </w:r>
            <w:r w:rsidR="00437A97" w:rsidRPr="00FE444A">
              <w:rPr>
                <w:rFonts w:eastAsia="Times New Roman" w:cs="Times New Roman"/>
                <w:sz w:val="20"/>
                <w:szCs w:val="20"/>
                <w:vertAlign w:val="superscript"/>
              </w:rPr>
              <w:t>28</w:t>
            </w:r>
            <w:r w:rsidR="00442AFB" w:rsidRPr="00FE444A">
              <w:rPr>
                <w:rFonts w:eastAsia="Times New Roman" w:cs="Times New Roman"/>
                <w:sz w:val="20"/>
                <w:szCs w:val="20"/>
                <w:vertAlign w:val="superscript"/>
              </w:rPr>
              <w:fldChar w:fldCharType="end"/>
            </w:r>
          </w:p>
        </w:tc>
        <w:tc>
          <w:tcPr>
            <w:tcW w:w="5957" w:type="dxa"/>
            <w:shd w:val="clear" w:color="auto" w:fill="auto"/>
          </w:tcPr>
          <w:p w14:paraId="0B5CF743" w14:textId="155A4924" w:rsidR="00A44F18" w:rsidRPr="00FE444A" w:rsidRDefault="00D268D1" w:rsidP="00B74B1B">
            <w:pPr>
              <w:autoSpaceDE w:val="0"/>
              <w:autoSpaceDN w:val="0"/>
              <w:spacing w:before="60" w:after="60" w:line="240" w:lineRule="auto"/>
              <w:rPr>
                <w:rFonts w:cs="Arial"/>
                <w:sz w:val="20"/>
                <w:szCs w:val="20"/>
              </w:rPr>
            </w:pPr>
            <w:r w:rsidRPr="00FE444A">
              <w:rPr>
                <w:rFonts w:cs="Arial"/>
                <w:sz w:val="20"/>
                <w:szCs w:val="20"/>
              </w:rPr>
              <w:t>Review of</w:t>
            </w:r>
            <w:r w:rsidRPr="00FE444A">
              <w:rPr>
                <w:rFonts w:cs="Arial"/>
                <w:b/>
                <w:sz w:val="20"/>
                <w:szCs w:val="20"/>
              </w:rPr>
              <w:t xml:space="preserve"> </w:t>
            </w:r>
            <w:r w:rsidR="00541181">
              <w:rPr>
                <w:rFonts w:cs="Arial"/>
                <w:sz w:val="20"/>
                <w:szCs w:val="20"/>
              </w:rPr>
              <w:t>six</w:t>
            </w:r>
            <w:r w:rsidRPr="00FE444A">
              <w:rPr>
                <w:rFonts w:cs="Arial"/>
                <w:sz w:val="20"/>
                <w:szCs w:val="20"/>
              </w:rPr>
              <w:t xml:space="preserve"> randomized control studies regarding subglottic secretion aspiration in the prevention of VAP</w:t>
            </w:r>
            <w:r w:rsidR="0091306D" w:rsidRPr="00FE444A">
              <w:rPr>
                <w:rFonts w:cs="Arial"/>
                <w:sz w:val="20"/>
                <w:szCs w:val="20"/>
              </w:rPr>
              <w:t xml:space="preserve">. </w:t>
            </w:r>
            <w:r w:rsidRPr="00FE444A">
              <w:rPr>
                <w:rFonts w:cs="Arial"/>
                <w:sz w:val="20"/>
                <w:szCs w:val="20"/>
              </w:rPr>
              <w:t>Re</w:t>
            </w:r>
            <w:r w:rsidR="00651B15" w:rsidRPr="00FE444A">
              <w:rPr>
                <w:rFonts w:cs="Arial"/>
                <w:sz w:val="20"/>
                <w:szCs w:val="20"/>
              </w:rPr>
              <w:t>sults consistent</w:t>
            </w:r>
            <w:r w:rsidRPr="00FE444A">
              <w:rPr>
                <w:rFonts w:cs="Arial"/>
                <w:sz w:val="20"/>
                <w:szCs w:val="20"/>
              </w:rPr>
              <w:t>ly show</w:t>
            </w:r>
            <w:r w:rsidR="00A710E9" w:rsidRPr="00FE444A">
              <w:rPr>
                <w:rFonts w:cs="Arial"/>
                <w:sz w:val="20"/>
                <w:szCs w:val="20"/>
              </w:rPr>
              <w:t>ed</w:t>
            </w:r>
            <w:r w:rsidRPr="00FE444A">
              <w:rPr>
                <w:rFonts w:cs="Arial"/>
                <w:sz w:val="20"/>
                <w:szCs w:val="20"/>
              </w:rPr>
              <w:t xml:space="preserve"> that subglottic secretion </w:t>
            </w:r>
            <w:r w:rsidR="00B74B1B" w:rsidRPr="00FE444A">
              <w:rPr>
                <w:rFonts w:cs="Arial"/>
                <w:sz w:val="20"/>
                <w:szCs w:val="20"/>
              </w:rPr>
              <w:t xml:space="preserve">drainage </w:t>
            </w:r>
            <w:r w:rsidRPr="00FE444A">
              <w:rPr>
                <w:rFonts w:cs="Arial"/>
                <w:sz w:val="20"/>
                <w:szCs w:val="20"/>
              </w:rPr>
              <w:t>significantly reduces the in</w:t>
            </w:r>
            <w:r w:rsidR="00651B15" w:rsidRPr="00FE444A">
              <w:rPr>
                <w:rFonts w:cs="Arial"/>
                <w:sz w:val="20"/>
                <w:szCs w:val="20"/>
              </w:rPr>
              <w:t>cid</w:t>
            </w:r>
            <w:r w:rsidRPr="00FE444A">
              <w:rPr>
                <w:rFonts w:cs="Arial"/>
                <w:sz w:val="20"/>
                <w:szCs w:val="20"/>
              </w:rPr>
              <w:t xml:space="preserve">ence of VAP in a variety of patient </w:t>
            </w:r>
            <w:r w:rsidR="00B307E7" w:rsidRPr="00FE444A">
              <w:rPr>
                <w:rFonts w:cs="Arial"/>
                <w:sz w:val="20"/>
                <w:szCs w:val="20"/>
              </w:rPr>
              <w:t>populations</w:t>
            </w:r>
            <w:r w:rsidRPr="00FE444A">
              <w:rPr>
                <w:rFonts w:cs="Arial"/>
                <w:sz w:val="20"/>
                <w:szCs w:val="20"/>
              </w:rPr>
              <w:t>.</w:t>
            </w:r>
          </w:p>
        </w:tc>
      </w:tr>
      <w:tr w:rsidR="00292C05" w:rsidRPr="002457B3" w14:paraId="38581906" w14:textId="77777777" w:rsidTr="00570CC9">
        <w:trPr>
          <w:trHeight w:val="980"/>
        </w:trPr>
        <w:tc>
          <w:tcPr>
            <w:tcW w:w="3619" w:type="dxa"/>
          </w:tcPr>
          <w:p w14:paraId="2B1A8CFC" w14:textId="7A8EFA4D" w:rsidR="00292C05" w:rsidRPr="00FE444A" w:rsidRDefault="00B74B1B" w:rsidP="00FE444A">
            <w:pPr>
              <w:spacing w:before="60" w:after="60" w:line="240" w:lineRule="auto"/>
              <w:rPr>
                <w:rFonts w:cs="Arial"/>
                <w:sz w:val="20"/>
                <w:szCs w:val="20"/>
              </w:rPr>
            </w:pPr>
            <w:r w:rsidRPr="00FE444A">
              <w:rPr>
                <w:rFonts w:cs="Arial"/>
                <w:sz w:val="20"/>
                <w:szCs w:val="20"/>
              </w:rPr>
              <w:lastRenderedPageBreak/>
              <w:t>R</w:t>
            </w:r>
            <w:r w:rsidR="00292C05" w:rsidRPr="00FE444A">
              <w:rPr>
                <w:rFonts w:cs="Arial"/>
                <w:sz w:val="20"/>
                <w:szCs w:val="20"/>
              </w:rPr>
              <w:t>eview</w:t>
            </w:r>
          </w:p>
          <w:p w14:paraId="349F739E" w14:textId="01FE0FD9" w:rsidR="00292C05" w:rsidRPr="00FE444A" w:rsidRDefault="00292C05" w:rsidP="00FE444A">
            <w:pPr>
              <w:spacing w:before="60" w:after="60" w:line="240" w:lineRule="auto"/>
              <w:rPr>
                <w:rFonts w:cs="Arial"/>
                <w:sz w:val="20"/>
                <w:szCs w:val="20"/>
              </w:rPr>
            </w:pPr>
            <w:r w:rsidRPr="00FE444A">
              <w:rPr>
                <w:rFonts w:cs="Arial"/>
                <w:sz w:val="20"/>
                <w:szCs w:val="20"/>
              </w:rPr>
              <w:t>(Deem, 2010)</w:t>
            </w:r>
            <w:r w:rsidR="00442AFB" w:rsidRPr="00FE444A">
              <w:rPr>
                <w:rFonts w:cs="Arial"/>
                <w:sz w:val="20"/>
                <w:szCs w:val="20"/>
              </w:rPr>
              <w:fldChar w:fldCharType="begin"/>
            </w:r>
            <w:r w:rsidR="00442AFB" w:rsidRPr="00FE444A">
              <w:rPr>
                <w:rFonts w:cs="Arial"/>
                <w:sz w:val="20"/>
                <w:szCs w:val="20"/>
              </w:rPr>
              <w:instrText>ADDIN RW.CITE{{260 Deem,S. 2010}}</w:instrText>
            </w:r>
            <w:r w:rsidR="00442AFB" w:rsidRPr="00FE444A">
              <w:rPr>
                <w:rFonts w:cs="Arial"/>
                <w:sz w:val="20"/>
                <w:szCs w:val="20"/>
              </w:rPr>
              <w:fldChar w:fldCharType="separate"/>
            </w:r>
            <w:r w:rsidR="00437A97" w:rsidRPr="00FE444A">
              <w:rPr>
                <w:rFonts w:eastAsia="Times New Roman" w:cs="Times New Roman"/>
                <w:sz w:val="20"/>
                <w:szCs w:val="20"/>
                <w:vertAlign w:val="superscript"/>
              </w:rPr>
              <w:t>29</w:t>
            </w:r>
            <w:r w:rsidR="00442AFB" w:rsidRPr="00FE444A">
              <w:rPr>
                <w:rFonts w:cs="Arial"/>
                <w:sz w:val="20"/>
                <w:szCs w:val="20"/>
              </w:rPr>
              <w:fldChar w:fldCharType="end"/>
            </w:r>
            <w:r w:rsidR="00442AFB" w:rsidRPr="00FE444A">
              <w:rPr>
                <w:rFonts w:cs="Arial"/>
                <w:sz w:val="20"/>
                <w:szCs w:val="20"/>
              </w:rPr>
              <w:t xml:space="preserve"> </w:t>
            </w:r>
          </w:p>
        </w:tc>
        <w:tc>
          <w:tcPr>
            <w:tcW w:w="5957" w:type="dxa"/>
            <w:shd w:val="clear" w:color="auto" w:fill="auto"/>
          </w:tcPr>
          <w:p w14:paraId="64234698" w14:textId="046332DF" w:rsidR="00292C05" w:rsidRPr="00FE444A" w:rsidRDefault="00292C05" w:rsidP="00B6314D">
            <w:pPr>
              <w:autoSpaceDE w:val="0"/>
              <w:autoSpaceDN w:val="0"/>
              <w:spacing w:before="60" w:after="60" w:line="240" w:lineRule="auto"/>
              <w:rPr>
                <w:rFonts w:cs="Arial"/>
                <w:sz w:val="20"/>
                <w:szCs w:val="20"/>
              </w:rPr>
            </w:pPr>
            <w:r w:rsidRPr="00FE444A">
              <w:rPr>
                <w:rFonts w:cs="Arial"/>
                <w:sz w:val="20"/>
                <w:szCs w:val="20"/>
              </w:rPr>
              <w:t xml:space="preserve">Review of </w:t>
            </w:r>
            <w:r w:rsidR="00541181">
              <w:rPr>
                <w:rFonts w:cs="Arial"/>
                <w:sz w:val="20"/>
                <w:szCs w:val="20"/>
              </w:rPr>
              <w:t>nine</w:t>
            </w:r>
            <w:r w:rsidRPr="00FE444A">
              <w:rPr>
                <w:rFonts w:cs="Arial"/>
                <w:sz w:val="20"/>
                <w:szCs w:val="20"/>
              </w:rPr>
              <w:t xml:space="preserve"> RCTs and</w:t>
            </w:r>
            <w:r w:rsidR="00B74B1B" w:rsidRPr="00FE444A">
              <w:rPr>
                <w:rFonts w:cs="Arial"/>
                <w:sz w:val="20"/>
                <w:szCs w:val="20"/>
              </w:rPr>
              <w:t xml:space="preserve"> </w:t>
            </w:r>
            <w:r w:rsidR="00541181">
              <w:rPr>
                <w:rFonts w:cs="Arial"/>
                <w:sz w:val="20"/>
                <w:szCs w:val="20"/>
              </w:rPr>
              <w:t>one</w:t>
            </w:r>
            <w:r w:rsidRPr="00FE444A">
              <w:rPr>
                <w:rFonts w:cs="Arial"/>
                <w:sz w:val="20"/>
                <w:szCs w:val="20"/>
              </w:rPr>
              <w:t xml:space="preserve"> prospective observational trial regarding the use of </w:t>
            </w:r>
            <w:r w:rsidR="00B6314D" w:rsidRPr="00FE444A">
              <w:rPr>
                <w:rFonts w:cs="Arial"/>
                <w:sz w:val="20"/>
                <w:szCs w:val="20"/>
              </w:rPr>
              <w:t>SSD-</w:t>
            </w:r>
            <w:r w:rsidRPr="00FE444A">
              <w:rPr>
                <w:rFonts w:cs="Arial"/>
                <w:sz w:val="20"/>
                <w:szCs w:val="20"/>
              </w:rPr>
              <w:t>ETTs in the prevention of VAP</w:t>
            </w:r>
            <w:r w:rsidR="0091306D" w:rsidRPr="00FE444A">
              <w:rPr>
                <w:rFonts w:cs="Arial"/>
                <w:sz w:val="20"/>
                <w:szCs w:val="20"/>
              </w:rPr>
              <w:t xml:space="preserve">. </w:t>
            </w:r>
            <w:r w:rsidRPr="00FE444A">
              <w:rPr>
                <w:rFonts w:cs="Arial"/>
                <w:sz w:val="20"/>
                <w:szCs w:val="20"/>
              </w:rPr>
              <w:t>There is no clear evidence about the efficacy and effectiveness of subglottic suctioning in reducing the development of VAP.</w:t>
            </w:r>
          </w:p>
        </w:tc>
      </w:tr>
      <w:tr w:rsidR="00292C05" w:rsidRPr="002457B3" w14:paraId="51378705" w14:textId="77777777" w:rsidTr="00570CC9">
        <w:trPr>
          <w:trHeight w:val="980"/>
        </w:trPr>
        <w:tc>
          <w:tcPr>
            <w:tcW w:w="3619" w:type="dxa"/>
          </w:tcPr>
          <w:p w14:paraId="26C4D2EC" w14:textId="0AB298E1" w:rsidR="00292C05" w:rsidRPr="00FE444A" w:rsidRDefault="00292C05" w:rsidP="00FE444A">
            <w:pPr>
              <w:spacing w:before="60" w:after="60" w:line="240" w:lineRule="auto"/>
              <w:rPr>
                <w:rFonts w:cs="Arial"/>
                <w:sz w:val="20"/>
                <w:szCs w:val="20"/>
              </w:rPr>
            </w:pPr>
            <w:r w:rsidRPr="00FE444A">
              <w:rPr>
                <w:rFonts w:cs="Arial"/>
                <w:sz w:val="20"/>
                <w:szCs w:val="20"/>
              </w:rPr>
              <w:t>Literature Review and Meta</w:t>
            </w:r>
            <w:r w:rsidR="00987C5C" w:rsidRPr="00FE444A">
              <w:rPr>
                <w:rFonts w:cs="Arial"/>
                <w:sz w:val="20"/>
                <w:szCs w:val="20"/>
              </w:rPr>
              <w:t>-</w:t>
            </w:r>
            <w:r w:rsidR="00A37C0D">
              <w:rPr>
                <w:rFonts w:cs="Arial"/>
                <w:sz w:val="20"/>
                <w:szCs w:val="20"/>
              </w:rPr>
              <w:t>a</w:t>
            </w:r>
            <w:r w:rsidRPr="00FE444A">
              <w:rPr>
                <w:rFonts w:cs="Arial"/>
                <w:sz w:val="20"/>
                <w:szCs w:val="20"/>
              </w:rPr>
              <w:t>nalysis</w:t>
            </w:r>
          </w:p>
          <w:p w14:paraId="67DC761B" w14:textId="051299BF" w:rsidR="00292C05" w:rsidRPr="00FE444A" w:rsidRDefault="00292C05" w:rsidP="00FE444A">
            <w:pPr>
              <w:spacing w:before="60" w:after="60" w:line="240" w:lineRule="auto"/>
              <w:rPr>
                <w:rFonts w:cs="Arial"/>
                <w:sz w:val="20"/>
                <w:szCs w:val="20"/>
              </w:rPr>
            </w:pPr>
            <w:r w:rsidRPr="00FE444A">
              <w:rPr>
                <w:rFonts w:cs="Arial"/>
                <w:sz w:val="20"/>
                <w:szCs w:val="20"/>
              </w:rPr>
              <w:t>(Gentile, 2010)</w:t>
            </w:r>
            <w:r w:rsidR="00A05D14" w:rsidRPr="00FE444A">
              <w:rPr>
                <w:rFonts w:cs="Arial"/>
                <w:sz w:val="20"/>
                <w:szCs w:val="20"/>
              </w:rPr>
              <w:fldChar w:fldCharType="begin"/>
            </w:r>
            <w:r w:rsidR="00A05D14" w:rsidRPr="00FE444A">
              <w:rPr>
                <w:rFonts w:cs="Arial"/>
                <w:sz w:val="20"/>
                <w:szCs w:val="20"/>
              </w:rPr>
              <w:instrText>ADDIN RW.CITE{{884 Gentile,M.A. 2010}}</w:instrText>
            </w:r>
            <w:r w:rsidR="00A05D14" w:rsidRPr="00FE444A">
              <w:rPr>
                <w:rFonts w:cs="Arial"/>
                <w:sz w:val="20"/>
                <w:szCs w:val="20"/>
              </w:rPr>
              <w:fldChar w:fldCharType="separate"/>
            </w:r>
            <w:r w:rsidR="00437A97" w:rsidRPr="00FE444A">
              <w:rPr>
                <w:rFonts w:eastAsia="Times New Roman" w:cs="Times New Roman"/>
                <w:sz w:val="20"/>
                <w:szCs w:val="20"/>
                <w:vertAlign w:val="superscript"/>
              </w:rPr>
              <w:t>30</w:t>
            </w:r>
            <w:r w:rsidR="00A05D14" w:rsidRPr="00FE444A">
              <w:rPr>
                <w:rFonts w:cs="Arial"/>
                <w:sz w:val="20"/>
                <w:szCs w:val="20"/>
              </w:rPr>
              <w:fldChar w:fldCharType="end"/>
            </w:r>
          </w:p>
        </w:tc>
        <w:tc>
          <w:tcPr>
            <w:tcW w:w="5957" w:type="dxa"/>
            <w:shd w:val="clear" w:color="auto" w:fill="auto"/>
          </w:tcPr>
          <w:p w14:paraId="0FABE9DD" w14:textId="6CA3505A" w:rsidR="00292C05" w:rsidRPr="00FE444A" w:rsidRDefault="00292C05" w:rsidP="00B6314D">
            <w:pPr>
              <w:autoSpaceDE w:val="0"/>
              <w:autoSpaceDN w:val="0"/>
              <w:spacing w:before="60" w:after="60" w:line="240" w:lineRule="auto"/>
              <w:rPr>
                <w:rFonts w:cs="Arial"/>
                <w:sz w:val="20"/>
                <w:szCs w:val="20"/>
              </w:rPr>
            </w:pPr>
            <w:r w:rsidRPr="00FE444A">
              <w:rPr>
                <w:rFonts w:cs="Arial"/>
                <w:sz w:val="20"/>
                <w:szCs w:val="20"/>
              </w:rPr>
              <w:t xml:space="preserve">Review of </w:t>
            </w:r>
            <w:r w:rsidR="00541181">
              <w:rPr>
                <w:rFonts w:cs="Arial"/>
                <w:sz w:val="20"/>
                <w:szCs w:val="20"/>
              </w:rPr>
              <w:t>six</w:t>
            </w:r>
            <w:r w:rsidRPr="00FE444A">
              <w:rPr>
                <w:rFonts w:cs="Arial"/>
                <w:sz w:val="20"/>
                <w:szCs w:val="20"/>
              </w:rPr>
              <w:t xml:space="preserve"> RCTs regarding the use of </w:t>
            </w:r>
            <w:r w:rsidR="00B6314D" w:rsidRPr="00FE444A">
              <w:rPr>
                <w:rFonts w:cs="Arial"/>
                <w:sz w:val="20"/>
                <w:szCs w:val="20"/>
              </w:rPr>
              <w:t>SSD=ETTs</w:t>
            </w:r>
            <w:r w:rsidRPr="00FE444A">
              <w:rPr>
                <w:rFonts w:cs="Arial"/>
                <w:sz w:val="20"/>
                <w:szCs w:val="20"/>
              </w:rPr>
              <w:t xml:space="preserve"> in the prevention of VAP</w:t>
            </w:r>
            <w:r w:rsidR="0091306D" w:rsidRPr="00FE444A">
              <w:rPr>
                <w:rFonts w:cs="Arial"/>
                <w:sz w:val="20"/>
                <w:szCs w:val="20"/>
              </w:rPr>
              <w:t xml:space="preserve">. </w:t>
            </w:r>
            <w:r w:rsidRPr="00FE444A">
              <w:rPr>
                <w:rFonts w:cs="Arial"/>
                <w:sz w:val="20"/>
                <w:szCs w:val="20"/>
              </w:rPr>
              <w:t xml:space="preserve">Analysis included </w:t>
            </w:r>
            <w:r w:rsidR="00B74B1B" w:rsidRPr="00FE444A">
              <w:rPr>
                <w:rFonts w:cs="Arial"/>
                <w:sz w:val="20"/>
                <w:szCs w:val="20"/>
              </w:rPr>
              <w:t xml:space="preserve">a total of </w:t>
            </w:r>
            <w:r w:rsidRPr="00FE444A">
              <w:rPr>
                <w:rFonts w:cs="Arial"/>
                <w:sz w:val="20"/>
                <w:szCs w:val="20"/>
              </w:rPr>
              <w:t>896 patients</w:t>
            </w:r>
            <w:r w:rsidR="0091306D" w:rsidRPr="00FE444A">
              <w:rPr>
                <w:rFonts w:cs="Arial"/>
                <w:sz w:val="20"/>
                <w:szCs w:val="20"/>
              </w:rPr>
              <w:t xml:space="preserve">. </w:t>
            </w:r>
            <w:r w:rsidRPr="00FE444A">
              <w:rPr>
                <w:rFonts w:cs="Arial"/>
                <w:sz w:val="20"/>
                <w:szCs w:val="20"/>
              </w:rPr>
              <w:t>Findings show</w:t>
            </w:r>
            <w:r w:rsidR="00A710E9" w:rsidRPr="00FE444A">
              <w:rPr>
                <w:rFonts w:cs="Arial"/>
                <w:sz w:val="20"/>
                <w:szCs w:val="20"/>
              </w:rPr>
              <w:t>ed</w:t>
            </w:r>
            <w:r w:rsidRPr="00FE444A">
              <w:rPr>
                <w:rFonts w:cs="Arial"/>
                <w:sz w:val="20"/>
                <w:szCs w:val="20"/>
              </w:rPr>
              <w:t xml:space="preserve"> that subglottic suctioning reduced the incidence of VAP by nearly half in patients expected to require 72 hours of mechanical ventilation, primarily by reducing early-onset VAP.</w:t>
            </w:r>
          </w:p>
        </w:tc>
      </w:tr>
      <w:tr w:rsidR="00946A29" w:rsidRPr="002457B3" w14:paraId="01CE0A7D" w14:textId="77777777" w:rsidTr="00570CC9">
        <w:tc>
          <w:tcPr>
            <w:tcW w:w="3619" w:type="dxa"/>
          </w:tcPr>
          <w:p w14:paraId="0CBA9C0F" w14:textId="234D079D" w:rsidR="00946A29" w:rsidRPr="00FE444A" w:rsidRDefault="00946A29" w:rsidP="00FE444A">
            <w:pPr>
              <w:spacing w:before="60" w:after="60" w:line="240" w:lineRule="auto"/>
              <w:rPr>
                <w:rFonts w:cs="Arial"/>
                <w:sz w:val="20"/>
                <w:szCs w:val="20"/>
              </w:rPr>
            </w:pPr>
            <w:r w:rsidRPr="00FE444A">
              <w:rPr>
                <w:rFonts w:cs="Arial"/>
                <w:sz w:val="20"/>
                <w:szCs w:val="20"/>
              </w:rPr>
              <w:t>Review</w:t>
            </w:r>
          </w:p>
          <w:p w14:paraId="6E019914" w14:textId="10111F6F" w:rsidR="00946A29" w:rsidRPr="00FE444A" w:rsidRDefault="00946A29" w:rsidP="00FE444A">
            <w:pPr>
              <w:autoSpaceDE w:val="0"/>
              <w:autoSpaceDN w:val="0"/>
              <w:spacing w:before="60" w:after="60" w:line="240" w:lineRule="auto"/>
              <w:rPr>
                <w:rFonts w:eastAsia="TimesTen-Roman" w:cs="Arial"/>
                <w:color w:val="FF0000"/>
                <w:sz w:val="20"/>
                <w:szCs w:val="20"/>
              </w:rPr>
            </w:pPr>
            <w:r w:rsidRPr="00FE444A">
              <w:rPr>
                <w:rFonts w:cs="Arial"/>
                <w:sz w:val="20"/>
                <w:szCs w:val="20"/>
              </w:rPr>
              <w:t>(Depew, 2007)</w:t>
            </w:r>
            <w:r w:rsidR="00A05D14" w:rsidRPr="00FE444A">
              <w:rPr>
                <w:rFonts w:cs="Arial"/>
                <w:sz w:val="20"/>
                <w:szCs w:val="20"/>
              </w:rPr>
              <w:fldChar w:fldCharType="begin"/>
            </w:r>
            <w:r w:rsidR="00A05D14" w:rsidRPr="00FE444A">
              <w:rPr>
                <w:rFonts w:cs="Arial"/>
                <w:sz w:val="20"/>
                <w:szCs w:val="20"/>
              </w:rPr>
              <w:instrText>ADDIN RW.CITE{{351 Depew, CL. 2007}}</w:instrText>
            </w:r>
            <w:r w:rsidR="00A05D14" w:rsidRPr="00FE444A">
              <w:rPr>
                <w:rFonts w:cs="Arial"/>
                <w:sz w:val="20"/>
                <w:szCs w:val="20"/>
              </w:rPr>
              <w:fldChar w:fldCharType="separate"/>
            </w:r>
            <w:r w:rsidR="00437A97" w:rsidRPr="00FE444A">
              <w:rPr>
                <w:rFonts w:eastAsia="Times New Roman" w:cs="Times New Roman"/>
                <w:sz w:val="20"/>
                <w:szCs w:val="20"/>
                <w:vertAlign w:val="superscript"/>
              </w:rPr>
              <w:t>31</w:t>
            </w:r>
            <w:r w:rsidR="00A05D14" w:rsidRPr="00FE444A">
              <w:rPr>
                <w:rFonts w:cs="Arial"/>
                <w:sz w:val="20"/>
                <w:szCs w:val="20"/>
              </w:rPr>
              <w:fldChar w:fldCharType="end"/>
            </w:r>
          </w:p>
        </w:tc>
        <w:tc>
          <w:tcPr>
            <w:tcW w:w="5957" w:type="dxa"/>
          </w:tcPr>
          <w:p w14:paraId="4E5A85DB" w14:textId="6FB12E9C" w:rsidR="00946A29" w:rsidRPr="00FE444A" w:rsidRDefault="00946A29" w:rsidP="00987C5C">
            <w:pPr>
              <w:spacing w:before="60" w:after="60" w:line="240" w:lineRule="auto"/>
              <w:rPr>
                <w:rFonts w:eastAsia="TimesTen-Roman" w:cs="Arial"/>
                <w:color w:val="FF0000"/>
                <w:sz w:val="20"/>
                <w:szCs w:val="20"/>
              </w:rPr>
            </w:pPr>
            <w:r w:rsidRPr="00FE444A">
              <w:rPr>
                <w:rFonts w:cs="Arial"/>
                <w:sz w:val="20"/>
                <w:szCs w:val="20"/>
              </w:rPr>
              <w:t>Review of meta-analysis</w:t>
            </w:r>
            <w:r w:rsidRPr="00FE444A">
              <w:rPr>
                <w:rFonts w:cs="Arial"/>
                <w:b/>
                <w:bCs/>
                <w:i/>
                <w:sz w:val="20"/>
                <w:szCs w:val="20"/>
              </w:rPr>
              <w:t xml:space="preserve"> </w:t>
            </w:r>
            <w:r w:rsidRPr="00FE444A">
              <w:rPr>
                <w:rFonts w:cs="Arial"/>
                <w:sz w:val="20"/>
                <w:szCs w:val="20"/>
              </w:rPr>
              <w:t xml:space="preserve">that looked at </w:t>
            </w:r>
            <w:r w:rsidR="00541181">
              <w:rPr>
                <w:rFonts w:cs="Arial"/>
                <w:sz w:val="20"/>
                <w:szCs w:val="20"/>
              </w:rPr>
              <w:t>five</w:t>
            </w:r>
            <w:r w:rsidR="00E71044" w:rsidRPr="00FE444A">
              <w:rPr>
                <w:rFonts w:cs="Arial"/>
                <w:sz w:val="20"/>
                <w:szCs w:val="20"/>
              </w:rPr>
              <w:t xml:space="preserve"> </w:t>
            </w:r>
            <w:r w:rsidRPr="00FE444A">
              <w:rPr>
                <w:rFonts w:cs="Arial"/>
                <w:sz w:val="20"/>
                <w:szCs w:val="20"/>
              </w:rPr>
              <w:t>RCT</w:t>
            </w:r>
            <w:r w:rsidR="00C37C6C" w:rsidRPr="00FE444A">
              <w:rPr>
                <w:rFonts w:cs="Arial"/>
                <w:sz w:val="20"/>
                <w:szCs w:val="20"/>
              </w:rPr>
              <w:t>s</w:t>
            </w:r>
            <w:r w:rsidRPr="00FE444A">
              <w:rPr>
                <w:rFonts w:cs="Arial"/>
                <w:sz w:val="20"/>
                <w:szCs w:val="20"/>
              </w:rPr>
              <w:t xml:space="preserve"> that compared aspiration of subglottic secretion </w:t>
            </w:r>
            <w:r w:rsidR="00FE444A">
              <w:rPr>
                <w:rFonts w:cs="Arial"/>
                <w:sz w:val="20"/>
                <w:szCs w:val="20"/>
              </w:rPr>
              <w:t>versus</w:t>
            </w:r>
            <w:r w:rsidRPr="00FE444A">
              <w:rPr>
                <w:rFonts w:cs="Arial"/>
                <w:sz w:val="20"/>
                <w:szCs w:val="20"/>
              </w:rPr>
              <w:t xml:space="preserve"> standard ETT care</w:t>
            </w:r>
            <w:r w:rsidR="0091306D" w:rsidRPr="00FE444A">
              <w:rPr>
                <w:rFonts w:cs="Arial"/>
                <w:sz w:val="20"/>
                <w:szCs w:val="20"/>
              </w:rPr>
              <w:t xml:space="preserve">. </w:t>
            </w:r>
            <w:r w:rsidR="00987C5C" w:rsidRPr="00FE444A">
              <w:rPr>
                <w:rFonts w:cs="Arial"/>
                <w:sz w:val="20"/>
                <w:szCs w:val="20"/>
              </w:rPr>
              <w:t>Although VAP reduction using subglottic secretion drainage has been implicated by multiple randomized and controlled studies, the data on ventilator da</w:t>
            </w:r>
            <w:r w:rsidR="00FE5977">
              <w:rPr>
                <w:rFonts w:cs="Arial"/>
                <w:sz w:val="20"/>
                <w:szCs w:val="20"/>
              </w:rPr>
              <w:t>y</w:t>
            </w:r>
            <w:r w:rsidR="00987C5C" w:rsidRPr="00FE444A">
              <w:rPr>
                <w:rFonts w:cs="Arial"/>
                <w:sz w:val="20"/>
                <w:szCs w:val="20"/>
              </w:rPr>
              <w:t>s and length of stay in the ICU and the hospital are insufficient as a consequence of limitations and weaknesses of those very same studies. A much larger multicenter study is needed.</w:t>
            </w:r>
            <w:r w:rsidRPr="00FE444A">
              <w:rPr>
                <w:rFonts w:cs="Arial"/>
                <w:sz w:val="20"/>
                <w:szCs w:val="20"/>
              </w:rPr>
              <w:t xml:space="preserve"> </w:t>
            </w:r>
          </w:p>
        </w:tc>
      </w:tr>
      <w:tr w:rsidR="00922842" w:rsidRPr="002457B3" w14:paraId="49BC5D30" w14:textId="77777777" w:rsidTr="00570CC9">
        <w:tc>
          <w:tcPr>
            <w:tcW w:w="3619" w:type="dxa"/>
          </w:tcPr>
          <w:p w14:paraId="19D25EF3" w14:textId="3691542A" w:rsidR="00922842" w:rsidRPr="00FE444A" w:rsidRDefault="00922842" w:rsidP="00FE444A">
            <w:pPr>
              <w:spacing w:before="60" w:after="60" w:line="240" w:lineRule="auto"/>
              <w:rPr>
                <w:rFonts w:cs="Arial"/>
                <w:sz w:val="20"/>
                <w:szCs w:val="20"/>
              </w:rPr>
            </w:pPr>
            <w:r w:rsidRPr="00FE444A">
              <w:rPr>
                <w:rFonts w:cs="Arial"/>
                <w:sz w:val="20"/>
                <w:szCs w:val="20"/>
              </w:rPr>
              <w:t>Review and Meta-analysis</w:t>
            </w:r>
          </w:p>
          <w:p w14:paraId="0D8FCDD2" w14:textId="2DE4E6FF" w:rsidR="00922842" w:rsidRPr="00FE444A" w:rsidRDefault="00922842" w:rsidP="00FE444A">
            <w:pPr>
              <w:spacing w:before="60" w:after="60" w:line="240" w:lineRule="auto"/>
              <w:rPr>
                <w:rFonts w:cs="Arial"/>
                <w:sz w:val="20"/>
                <w:szCs w:val="20"/>
              </w:rPr>
            </w:pPr>
            <w:r w:rsidRPr="00FE444A">
              <w:rPr>
                <w:rFonts w:cs="Arial"/>
                <w:sz w:val="20"/>
                <w:szCs w:val="20"/>
              </w:rPr>
              <w:t>(Dezfulian, 2005)</w:t>
            </w:r>
            <w:r w:rsidR="00437A97" w:rsidRPr="00FE444A">
              <w:rPr>
                <w:rFonts w:cs="Arial"/>
                <w:sz w:val="20"/>
                <w:szCs w:val="20"/>
              </w:rPr>
              <w:fldChar w:fldCharType="begin"/>
            </w:r>
            <w:r w:rsidR="00437A97" w:rsidRPr="00FE444A">
              <w:rPr>
                <w:rFonts w:cs="Arial"/>
                <w:sz w:val="20"/>
                <w:szCs w:val="20"/>
              </w:rPr>
              <w:instrText>ADDIN RW.CITE{{325 Dezfulian, C. 2005}}</w:instrText>
            </w:r>
            <w:r w:rsidR="00437A97" w:rsidRPr="00FE444A">
              <w:rPr>
                <w:rFonts w:cs="Arial"/>
                <w:sz w:val="20"/>
                <w:szCs w:val="20"/>
              </w:rPr>
              <w:fldChar w:fldCharType="separate"/>
            </w:r>
            <w:r w:rsidR="00437A97" w:rsidRPr="00FE444A">
              <w:rPr>
                <w:rFonts w:eastAsia="Times New Roman" w:cs="Times New Roman"/>
                <w:sz w:val="20"/>
                <w:szCs w:val="20"/>
                <w:vertAlign w:val="superscript"/>
              </w:rPr>
              <w:t>32</w:t>
            </w:r>
            <w:r w:rsidR="00437A97" w:rsidRPr="00FE444A">
              <w:rPr>
                <w:rFonts w:cs="Arial"/>
                <w:sz w:val="20"/>
                <w:szCs w:val="20"/>
              </w:rPr>
              <w:fldChar w:fldCharType="end"/>
            </w:r>
          </w:p>
        </w:tc>
        <w:tc>
          <w:tcPr>
            <w:tcW w:w="5957" w:type="dxa"/>
          </w:tcPr>
          <w:p w14:paraId="60D796AD" w14:textId="70E6ECC9" w:rsidR="00922842" w:rsidRPr="00FE444A" w:rsidRDefault="00A05D14" w:rsidP="00541181">
            <w:pPr>
              <w:spacing w:before="60" w:after="60" w:line="240" w:lineRule="auto"/>
              <w:rPr>
                <w:rFonts w:cs="Arial"/>
                <w:sz w:val="20"/>
                <w:szCs w:val="20"/>
              </w:rPr>
            </w:pPr>
            <w:r w:rsidRPr="00FE444A">
              <w:rPr>
                <w:rFonts w:cs="Arial"/>
                <w:sz w:val="20"/>
                <w:szCs w:val="20"/>
              </w:rPr>
              <w:t xml:space="preserve">Review and meta-analysis. </w:t>
            </w:r>
            <w:r w:rsidR="00922842" w:rsidRPr="00FE444A">
              <w:rPr>
                <w:rFonts w:cs="Arial"/>
                <w:sz w:val="20"/>
                <w:szCs w:val="20"/>
              </w:rPr>
              <w:t xml:space="preserve">Drainage </w:t>
            </w:r>
            <w:r w:rsidR="00541181">
              <w:rPr>
                <w:rFonts w:cs="Arial"/>
                <w:sz w:val="20"/>
                <w:szCs w:val="20"/>
              </w:rPr>
              <w:t>versus</w:t>
            </w:r>
            <w:r w:rsidR="00922842" w:rsidRPr="00FE444A">
              <w:rPr>
                <w:rFonts w:cs="Arial"/>
                <w:sz w:val="20"/>
                <w:szCs w:val="20"/>
              </w:rPr>
              <w:t xml:space="preserve"> </w:t>
            </w:r>
            <w:r w:rsidR="00541181">
              <w:rPr>
                <w:rFonts w:cs="Arial"/>
                <w:sz w:val="20"/>
                <w:szCs w:val="20"/>
              </w:rPr>
              <w:t>s</w:t>
            </w:r>
            <w:r w:rsidR="00922842" w:rsidRPr="00FE444A">
              <w:rPr>
                <w:rFonts w:cs="Arial"/>
                <w:sz w:val="20"/>
                <w:szCs w:val="20"/>
              </w:rPr>
              <w:t xml:space="preserve">tandard endotracheal treatment. Study evaluated 896 patients who required mechanical ventilation from </w:t>
            </w:r>
            <w:r w:rsidR="00541181">
              <w:rPr>
                <w:rFonts w:cs="Arial"/>
                <w:sz w:val="20"/>
                <w:szCs w:val="20"/>
              </w:rPr>
              <w:t>five</w:t>
            </w:r>
            <w:r w:rsidR="00922842" w:rsidRPr="00FE444A">
              <w:rPr>
                <w:rFonts w:cs="Arial"/>
                <w:sz w:val="20"/>
                <w:szCs w:val="20"/>
              </w:rPr>
              <w:t xml:space="preserve"> </w:t>
            </w:r>
            <w:r w:rsidR="003E436A">
              <w:rPr>
                <w:rFonts w:cs="Arial"/>
                <w:sz w:val="20"/>
                <w:szCs w:val="20"/>
              </w:rPr>
              <w:t>RCT</w:t>
            </w:r>
            <w:r w:rsidR="00922842" w:rsidRPr="00FE444A">
              <w:rPr>
                <w:rFonts w:cs="Arial"/>
                <w:sz w:val="20"/>
                <w:szCs w:val="20"/>
              </w:rPr>
              <w:t xml:space="preserve">s. </w:t>
            </w:r>
            <w:r w:rsidR="00E71044" w:rsidRPr="00FE444A">
              <w:rPr>
                <w:rFonts w:cs="Arial"/>
                <w:sz w:val="20"/>
                <w:szCs w:val="20"/>
              </w:rPr>
              <w:t>SSD</w:t>
            </w:r>
            <w:r w:rsidR="00922842" w:rsidRPr="00FE444A">
              <w:rPr>
                <w:rFonts w:cs="Arial"/>
                <w:sz w:val="20"/>
                <w:szCs w:val="20"/>
              </w:rPr>
              <w:t xml:space="preserve"> appears effective in preventing ea</w:t>
            </w:r>
            <w:r w:rsidR="00FB7211" w:rsidRPr="00FE444A">
              <w:rPr>
                <w:rFonts w:cs="Arial"/>
                <w:sz w:val="20"/>
                <w:szCs w:val="20"/>
              </w:rPr>
              <w:t>r</w:t>
            </w:r>
            <w:r w:rsidR="00922842" w:rsidRPr="00FE444A">
              <w:rPr>
                <w:rFonts w:cs="Arial"/>
                <w:sz w:val="20"/>
                <w:szCs w:val="20"/>
              </w:rPr>
              <w:t xml:space="preserve">ly-onset </w:t>
            </w:r>
            <w:r w:rsidR="00FB7211" w:rsidRPr="00FE444A">
              <w:rPr>
                <w:rFonts w:cs="Arial"/>
                <w:sz w:val="20"/>
                <w:szCs w:val="20"/>
              </w:rPr>
              <w:t xml:space="preserve">ventilator-associated pneumonia among patients expected to require </w:t>
            </w:r>
            <w:r w:rsidR="00541181">
              <w:rPr>
                <w:rFonts w:cs="Arial"/>
                <w:sz w:val="20"/>
                <w:szCs w:val="20"/>
              </w:rPr>
              <w:t xml:space="preserve">at least </w:t>
            </w:r>
            <w:r w:rsidR="00FB7211" w:rsidRPr="00FE444A">
              <w:rPr>
                <w:rFonts w:cs="Arial"/>
                <w:sz w:val="20"/>
                <w:szCs w:val="20"/>
              </w:rPr>
              <w:t>72 hours of mechanical ventilation.</w:t>
            </w:r>
          </w:p>
        </w:tc>
      </w:tr>
    </w:tbl>
    <w:p w14:paraId="7DD26FA6" w14:textId="7B5DC0D8" w:rsidR="00CB6904" w:rsidRDefault="00CB6904" w:rsidP="00171F28">
      <w:pPr>
        <w:pStyle w:val="NormalWeb"/>
        <w:spacing w:before="0" w:beforeAutospacing="0" w:after="0" w:afterAutospacing="0"/>
        <w:rPr>
          <w:rFonts w:asciiTheme="majorHAnsi" w:hAnsiTheme="majorHAnsi" w:cs="Arial"/>
          <w:sz w:val="20"/>
          <w:szCs w:val="20"/>
        </w:rPr>
      </w:pPr>
    </w:p>
    <w:p w14:paraId="417E8899" w14:textId="2E4B25C2" w:rsidR="00437A97" w:rsidRDefault="00437A97">
      <w:pPr>
        <w:rPr>
          <w:rFonts w:asciiTheme="majorHAnsi" w:eastAsia="Times New Roman" w:hAnsiTheme="majorHAnsi" w:cs="Arial"/>
          <w:sz w:val="20"/>
          <w:szCs w:val="20"/>
        </w:rPr>
      </w:pPr>
      <w:r>
        <w:rPr>
          <w:rFonts w:asciiTheme="majorHAnsi" w:hAnsiTheme="majorHAnsi" w:cs="Arial"/>
          <w:sz w:val="20"/>
          <w:szCs w:val="20"/>
        </w:rPr>
        <w:br w:type="page"/>
      </w:r>
    </w:p>
    <w:p w14:paraId="13F44498" w14:textId="183DF346" w:rsidR="00437A97" w:rsidRDefault="00437A97" w:rsidP="00FE444A">
      <w:pPr>
        <w:pStyle w:val="Heading2"/>
      </w:pPr>
      <w:r>
        <w:lastRenderedPageBreak/>
        <w:t>Annotated Bibliography</w:t>
      </w:r>
    </w:p>
    <w:p w14:paraId="77411E8D" w14:textId="77777777" w:rsidR="00437A97" w:rsidRDefault="00437A97" w:rsidP="00171F28">
      <w:pPr>
        <w:pStyle w:val="NormalWeb"/>
        <w:spacing w:before="0" w:beforeAutospacing="0" w:after="0" w:afterAutospacing="0"/>
        <w:rPr>
          <w:rFonts w:asciiTheme="majorHAnsi" w:hAnsiTheme="majorHAnsi" w:cs="Arial"/>
          <w:sz w:val="20"/>
          <w:szCs w:val="20"/>
        </w:rPr>
      </w:pPr>
    </w:p>
    <w:p w14:paraId="226FE389" w14:textId="63942A5D"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rFonts w:cs="Arial"/>
          <w:sz w:val="20"/>
          <w:szCs w:val="20"/>
        </w:rPr>
        <w:fldChar w:fldCharType="begin"/>
      </w:r>
      <w:r w:rsidRPr="00FE444A">
        <w:rPr>
          <w:rFonts w:cs="Arial"/>
          <w:sz w:val="20"/>
          <w:szCs w:val="20"/>
        </w:rPr>
        <w:instrText>ADDIN RW.BIB</w:instrText>
      </w:r>
      <w:r w:rsidRPr="00FE444A">
        <w:rPr>
          <w:rFonts w:cs="Arial"/>
          <w:sz w:val="20"/>
          <w:szCs w:val="20"/>
        </w:rPr>
        <w:fldChar w:fldCharType="separate"/>
      </w:r>
      <w:r w:rsidRPr="00FE444A">
        <w:rPr>
          <w:sz w:val="20"/>
          <w:szCs w:val="20"/>
        </w:rPr>
        <w:t xml:space="preserve">Klompas M, Branson R, Eichenwald EC, et al. Strategies to prevent ventilator-associated pneumonia in acute care hospitals: 2014 update. </w:t>
      </w:r>
      <w:r w:rsidRPr="00D42BC9">
        <w:rPr>
          <w:iCs/>
          <w:sz w:val="20"/>
          <w:szCs w:val="20"/>
        </w:rPr>
        <w:t>Infect Control Hosp Epidemiol</w:t>
      </w:r>
      <w:r w:rsidRPr="00D42BC9">
        <w:rPr>
          <w:sz w:val="20"/>
          <w:szCs w:val="20"/>
        </w:rPr>
        <w:t xml:space="preserve">. </w:t>
      </w:r>
      <w:r w:rsidRPr="00FE444A">
        <w:rPr>
          <w:sz w:val="20"/>
          <w:szCs w:val="20"/>
        </w:rPr>
        <w:t>2014</w:t>
      </w:r>
      <w:r w:rsidR="00EC13B3">
        <w:rPr>
          <w:sz w:val="20"/>
          <w:szCs w:val="20"/>
        </w:rPr>
        <w:t xml:space="preserve"> Aug;35(8):915-</w:t>
      </w:r>
      <w:r w:rsidRPr="00FE444A">
        <w:rPr>
          <w:sz w:val="20"/>
          <w:szCs w:val="20"/>
        </w:rPr>
        <w:t>36.</w:t>
      </w:r>
      <w:r w:rsidR="00EC13B3">
        <w:rPr>
          <w:sz w:val="20"/>
          <w:szCs w:val="20"/>
        </w:rPr>
        <w:t xml:space="preserve"> PMID: 25026607.</w:t>
      </w:r>
    </w:p>
    <w:p w14:paraId="600332FE" w14:textId="2EE1158E"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Muscedere J, Dodek P, Keenan S, et al. Comprehensive evidence-based clinical practice guidelines for ventilator-associated pneumonia: Prevention. </w:t>
      </w:r>
      <w:r w:rsidRPr="00D42BC9">
        <w:rPr>
          <w:iCs/>
          <w:sz w:val="20"/>
          <w:szCs w:val="20"/>
        </w:rPr>
        <w:t>J Crit Care</w:t>
      </w:r>
      <w:r w:rsidRPr="00D42BC9">
        <w:rPr>
          <w:sz w:val="20"/>
          <w:szCs w:val="20"/>
        </w:rPr>
        <w:t>.</w:t>
      </w:r>
      <w:r w:rsidRPr="00FE444A">
        <w:rPr>
          <w:sz w:val="20"/>
          <w:szCs w:val="20"/>
        </w:rPr>
        <w:t xml:space="preserve"> 2008</w:t>
      </w:r>
      <w:r w:rsidR="00EC13B3">
        <w:rPr>
          <w:sz w:val="20"/>
          <w:szCs w:val="20"/>
        </w:rPr>
        <w:t xml:space="preserve"> Mar;23(1):126-37</w:t>
      </w:r>
      <w:r w:rsidRPr="00FE444A">
        <w:rPr>
          <w:sz w:val="20"/>
          <w:szCs w:val="20"/>
        </w:rPr>
        <w:t>.</w:t>
      </w:r>
      <w:r w:rsidR="00EC13B3">
        <w:rPr>
          <w:sz w:val="20"/>
          <w:szCs w:val="20"/>
        </w:rPr>
        <w:t xml:space="preserve"> PMID: 18359430. </w:t>
      </w:r>
    </w:p>
    <w:p w14:paraId="687A341D" w14:textId="050A9CF2"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American Thoracic Society, Infectious Diseases Society of America. Guidelines for the management of adults with hospital-acquired, ventilator-associated, and healthcare-associated pneumonia. </w:t>
      </w:r>
      <w:r w:rsidRPr="00D42BC9">
        <w:rPr>
          <w:iCs/>
          <w:sz w:val="20"/>
          <w:szCs w:val="20"/>
        </w:rPr>
        <w:t>Am J Respir Crit Care Med</w:t>
      </w:r>
      <w:r w:rsidRPr="00D42BC9">
        <w:rPr>
          <w:sz w:val="20"/>
          <w:szCs w:val="20"/>
        </w:rPr>
        <w:t>.</w:t>
      </w:r>
      <w:r w:rsidRPr="00FE444A">
        <w:rPr>
          <w:sz w:val="20"/>
          <w:szCs w:val="20"/>
        </w:rPr>
        <w:t xml:space="preserve"> 2005</w:t>
      </w:r>
      <w:r w:rsidR="00EC13B3">
        <w:rPr>
          <w:sz w:val="20"/>
          <w:szCs w:val="20"/>
        </w:rPr>
        <w:t xml:space="preserve"> Feb</w:t>
      </w:r>
      <w:r w:rsidRPr="00FE444A">
        <w:rPr>
          <w:sz w:val="20"/>
          <w:szCs w:val="20"/>
        </w:rPr>
        <w:t>;171(4):388-416.</w:t>
      </w:r>
      <w:r w:rsidR="00EC13B3">
        <w:rPr>
          <w:sz w:val="20"/>
          <w:szCs w:val="20"/>
        </w:rPr>
        <w:t xml:space="preserve"> PMID: 21481251.</w:t>
      </w:r>
    </w:p>
    <w:p w14:paraId="332E30AD" w14:textId="74070EBF"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Tablan OC, Anderson LJ, Besser R, </w:t>
      </w:r>
      <w:r w:rsidR="00EC13B3">
        <w:rPr>
          <w:sz w:val="20"/>
          <w:szCs w:val="20"/>
        </w:rPr>
        <w:t>et al</w:t>
      </w:r>
      <w:r w:rsidRPr="00FE444A">
        <w:rPr>
          <w:sz w:val="20"/>
          <w:szCs w:val="20"/>
        </w:rPr>
        <w:t xml:space="preserve">. Guidelines for preventing healthcare-associated pneumonia, 2003: Recommendations of CDC and the healthcare infection control practices advisory committee. </w:t>
      </w:r>
      <w:r w:rsidRPr="00D42BC9">
        <w:rPr>
          <w:iCs/>
          <w:sz w:val="20"/>
          <w:szCs w:val="20"/>
        </w:rPr>
        <w:t>MMWR Recomm Rep</w:t>
      </w:r>
      <w:r w:rsidRPr="00D42BC9">
        <w:rPr>
          <w:sz w:val="20"/>
          <w:szCs w:val="20"/>
        </w:rPr>
        <w:t>.</w:t>
      </w:r>
      <w:r w:rsidRPr="00FE444A">
        <w:rPr>
          <w:sz w:val="20"/>
          <w:szCs w:val="20"/>
        </w:rPr>
        <w:t xml:space="preserve"> 2004</w:t>
      </w:r>
      <w:r w:rsidR="00EC13B3">
        <w:rPr>
          <w:sz w:val="20"/>
          <w:szCs w:val="20"/>
        </w:rPr>
        <w:t xml:space="preserve"> Mar</w:t>
      </w:r>
      <w:r w:rsidRPr="00FE444A">
        <w:rPr>
          <w:sz w:val="20"/>
          <w:szCs w:val="20"/>
        </w:rPr>
        <w:t>;53:1-36.</w:t>
      </w:r>
      <w:r w:rsidR="00EC13B3">
        <w:rPr>
          <w:sz w:val="20"/>
          <w:szCs w:val="20"/>
        </w:rPr>
        <w:t xml:space="preserve"> PMID: 15048056.</w:t>
      </w:r>
    </w:p>
    <w:p w14:paraId="0E0E2528" w14:textId="4DD57ACC"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Mareiniss DP, Xu T, Pham JC, et al. Predicting which patients will likely benefit from subglottic secretion drainage endotracheal tubes: A retrospective study. </w:t>
      </w:r>
      <w:r w:rsidRPr="00D42BC9">
        <w:rPr>
          <w:iCs/>
          <w:sz w:val="20"/>
          <w:szCs w:val="20"/>
        </w:rPr>
        <w:t>J Emerg Med</w:t>
      </w:r>
      <w:r w:rsidR="00EC13B3" w:rsidRPr="00D42BC9">
        <w:rPr>
          <w:sz w:val="20"/>
          <w:szCs w:val="20"/>
        </w:rPr>
        <w:t>.</w:t>
      </w:r>
      <w:r w:rsidR="00EC13B3">
        <w:rPr>
          <w:sz w:val="20"/>
          <w:szCs w:val="20"/>
        </w:rPr>
        <w:t xml:space="preserve"> 2016 Mar;50(3):385-</w:t>
      </w:r>
      <w:r w:rsidRPr="00FE444A">
        <w:rPr>
          <w:sz w:val="20"/>
          <w:szCs w:val="20"/>
        </w:rPr>
        <w:t>93.</w:t>
      </w:r>
      <w:r w:rsidR="00EC13B3">
        <w:rPr>
          <w:sz w:val="20"/>
          <w:szCs w:val="20"/>
        </w:rPr>
        <w:t xml:space="preserve"> PMID: 26806317.</w:t>
      </w:r>
    </w:p>
    <w:p w14:paraId="43F49E5A" w14:textId="07DDB6CC" w:rsidR="00AB3D0D" w:rsidRPr="00FE444A" w:rsidRDefault="008E16B2" w:rsidP="008E16B2">
      <w:pPr>
        <w:pStyle w:val="NormalWeb"/>
        <w:spacing w:before="120" w:beforeAutospacing="0" w:after="120" w:afterAutospacing="0"/>
        <w:ind w:left="270"/>
        <w:rPr>
          <w:sz w:val="20"/>
          <w:szCs w:val="20"/>
        </w:rPr>
      </w:pPr>
      <w:r>
        <w:rPr>
          <w:b/>
          <w:sz w:val="20"/>
          <w:szCs w:val="20"/>
        </w:rPr>
        <w:t>NEITHER PRO NOR CON</w:t>
      </w:r>
      <w:r w:rsidR="00437A97" w:rsidRPr="00FE444A">
        <w:rPr>
          <w:b/>
          <w:sz w:val="20"/>
          <w:szCs w:val="20"/>
        </w:rPr>
        <w:t xml:space="preserve">: </w:t>
      </w:r>
      <w:r w:rsidR="00437A97" w:rsidRPr="00FE444A">
        <w:rPr>
          <w:sz w:val="20"/>
          <w:szCs w:val="20"/>
        </w:rPr>
        <w:t>Retrospective chart review to determine risk factors associated with intubatio</w:t>
      </w:r>
      <w:r w:rsidR="00A37C0D">
        <w:rPr>
          <w:sz w:val="20"/>
          <w:szCs w:val="20"/>
        </w:rPr>
        <w:t>n</w:t>
      </w:r>
      <w:r w:rsidR="00437A97" w:rsidRPr="00FE444A">
        <w:rPr>
          <w:sz w:val="20"/>
          <w:szCs w:val="20"/>
        </w:rPr>
        <w:t xml:space="preserve">s of </w:t>
      </w:r>
      <w:r w:rsidR="00AB3D0D" w:rsidRPr="00FE444A">
        <w:rPr>
          <w:sz w:val="20"/>
          <w:szCs w:val="20"/>
        </w:rPr>
        <w:t>≥</w:t>
      </w:r>
      <w:r w:rsidR="00437A97" w:rsidRPr="00FE444A">
        <w:rPr>
          <w:sz w:val="20"/>
          <w:szCs w:val="20"/>
        </w:rPr>
        <w:t xml:space="preserve">48 or 72 hours. Medical records of 2,159 ventilated patients, intubation reason, were reviewed for intubation duration, age, sex, race, </w:t>
      </w:r>
      <w:r w:rsidR="00DF0C40" w:rsidRPr="00FE444A">
        <w:rPr>
          <w:sz w:val="20"/>
          <w:szCs w:val="20"/>
        </w:rPr>
        <w:t>body mass index</w:t>
      </w:r>
      <w:r w:rsidR="00437A97" w:rsidRPr="00FE444A">
        <w:rPr>
          <w:sz w:val="20"/>
          <w:szCs w:val="20"/>
        </w:rPr>
        <w:t xml:space="preserve">, weight, whether the intubation was emergent, operative status, </w:t>
      </w:r>
      <w:r w:rsidR="00DF0C40" w:rsidRPr="00FE444A">
        <w:rPr>
          <w:sz w:val="20"/>
          <w:szCs w:val="20"/>
        </w:rPr>
        <w:t xml:space="preserve">intensive care unit (ICU) </w:t>
      </w:r>
      <w:r w:rsidR="00437A97" w:rsidRPr="00FE444A">
        <w:rPr>
          <w:sz w:val="20"/>
          <w:szCs w:val="20"/>
        </w:rPr>
        <w:t xml:space="preserve"> diagnosis, intubation location, ICU  location, comorbidities (e.</w:t>
      </w:r>
      <w:r w:rsidR="00003F69">
        <w:rPr>
          <w:sz w:val="20"/>
          <w:szCs w:val="20"/>
        </w:rPr>
        <w:t>g</w:t>
      </w:r>
      <w:r w:rsidR="00437A97" w:rsidRPr="00FE444A">
        <w:rPr>
          <w:sz w:val="20"/>
          <w:szCs w:val="20"/>
        </w:rPr>
        <w:t xml:space="preserve">., congestive heart failure, </w:t>
      </w:r>
      <w:r w:rsidR="00DF0C40" w:rsidRPr="00FE444A">
        <w:rPr>
          <w:sz w:val="20"/>
          <w:szCs w:val="20"/>
        </w:rPr>
        <w:t>chronic obstructive pulmonary disease</w:t>
      </w:r>
      <w:r w:rsidR="00437A97" w:rsidRPr="00FE444A">
        <w:rPr>
          <w:sz w:val="20"/>
          <w:szCs w:val="20"/>
        </w:rPr>
        <w:t>, coronary</w:t>
      </w:r>
      <w:r w:rsidR="00AB3D0D" w:rsidRPr="00FE444A">
        <w:rPr>
          <w:sz w:val="20"/>
          <w:szCs w:val="20"/>
        </w:rPr>
        <w:t xml:space="preserve"> artery disease, dementia and l</w:t>
      </w:r>
      <w:r w:rsidR="00437A97" w:rsidRPr="00FE444A">
        <w:rPr>
          <w:sz w:val="20"/>
          <w:szCs w:val="20"/>
        </w:rPr>
        <w:t>iver disease</w:t>
      </w:r>
      <w:r w:rsidR="00AB3D0D" w:rsidRPr="00FE444A">
        <w:rPr>
          <w:sz w:val="20"/>
          <w:szCs w:val="20"/>
        </w:rPr>
        <w:t>)</w:t>
      </w:r>
      <w:r w:rsidR="00437A97" w:rsidRPr="00FE444A">
        <w:rPr>
          <w:sz w:val="20"/>
          <w:szCs w:val="20"/>
        </w:rPr>
        <w:t xml:space="preserve">, </w:t>
      </w:r>
      <w:r w:rsidR="00AB3D0D" w:rsidRPr="00FE444A">
        <w:rPr>
          <w:sz w:val="20"/>
          <w:szCs w:val="20"/>
        </w:rPr>
        <w:t>acute kidney injury (AKI), and chronic renal injury. A multivariate analysis was performed. The following were associated with intubation of ≥48 hours: N</w:t>
      </w:r>
      <w:r w:rsidR="00DF0C40" w:rsidRPr="00FE444A">
        <w:rPr>
          <w:sz w:val="20"/>
          <w:szCs w:val="20"/>
        </w:rPr>
        <w:t>eurocritical care unit (N</w:t>
      </w:r>
      <w:r w:rsidR="00AB3D0D" w:rsidRPr="00FE444A">
        <w:rPr>
          <w:sz w:val="20"/>
          <w:szCs w:val="20"/>
        </w:rPr>
        <w:t>CCU</w:t>
      </w:r>
      <w:r w:rsidR="00DF0C40" w:rsidRPr="00FE444A">
        <w:rPr>
          <w:sz w:val="20"/>
          <w:szCs w:val="20"/>
        </w:rPr>
        <w:t>)</w:t>
      </w:r>
      <w:r w:rsidR="00AB3D0D" w:rsidRPr="00FE444A">
        <w:rPr>
          <w:sz w:val="20"/>
          <w:szCs w:val="20"/>
        </w:rPr>
        <w:t xml:space="preserve"> admission (</w:t>
      </w:r>
      <w:r w:rsidR="006B726A" w:rsidRPr="00FE444A">
        <w:rPr>
          <w:sz w:val="20"/>
          <w:szCs w:val="20"/>
        </w:rPr>
        <w:t>risk ratio [</w:t>
      </w:r>
      <w:r w:rsidR="00AB3D0D" w:rsidRPr="00FE444A">
        <w:rPr>
          <w:sz w:val="20"/>
          <w:szCs w:val="20"/>
        </w:rPr>
        <w:t>RR</w:t>
      </w:r>
      <w:r w:rsidR="006B726A" w:rsidRPr="00FE444A">
        <w:rPr>
          <w:sz w:val="20"/>
          <w:szCs w:val="20"/>
        </w:rPr>
        <w:t>]</w:t>
      </w:r>
      <w:r w:rsidR="00AB3D0D" w:rsidRPr="00FE444A">
        <w:rPr>
          <w:sz w:val="20"/>
          <w:szCs w:val="20"/>
        </w:rPr>
        <w:t xml:space="preserve">=1.85; 95% </w:t>
      </w:r>
      <w:r w:rsidR="006B726A" w:rsidRPr="00FE444A">
        <w:rPr>
          <w:sz w:val="20"/>
          <w:szCs w:val="20"/>
        </w:rPr>
        <w:t>confidence interval [</w:t>
      </w:r>
      <w:r w:rsidR="00AB3D0D" w:rsidRPr="00FE444A">
        <w:rPr>
          <w:sz w:val="20"/>
          <w:szCs w:val="20"/>
        </w:rPr>
        <w:t>CI</w:t>
      </w:r>
      <w:r w:rsidR="006B726A" w:rsidRPr="00FE444A">
        <w:rPr>
          <w:sz w:val="20"/>
          <w:szCs w:val="20"/>
        </w:rPr>
        <w:t>]</w:t>
      </w:r>
      <w:r w:rsidR="00AB3D0D" w:rsidRPr="00FE444A">
        <w:rPr>
          <w:sz w:val="20"/>
          <w:szCs w:val="20"/>
        </w:rPr>
        <w:t xml:space="preserve"> 1.34-2.56), emergent intubation (RR=1.97; 95% CI1.28-3.03), comorbid dementia (RR=2.31; 95%  CI 1.28-4.18), nonoperative intubation (RR=1.77; 95% CI 1.28-4.18), and AKI (RR-3.32; 95% CI 2.46-4.3). The following were independently associated with intubation of ≥72 jours: NCCU admission (RR = 2.2; 95% CI 1.57-3.08), nonoperative intubation (RR = 3.38; 95% CI 2.63</w:t>
      </w:r>
      <w:r w:rsidR="008E37AC" w:rsidRPr="00FE444A">
        <w:rPr>
          <w:sz w:val="20"/>
          <w:szCs w:val="20"/>
        </w:rPr>
        <w:t>-4</w:t>
      </w:r>
      <w:r w:rsidR="00AB3D0D" w:rsidRPr="00FE444A">
        <w:rPr>
          <w:sz w:val="20"/>
          <w:szCs w:val="20"/>
        </w:rPr>
        <w:t>.35,</w:t>
      </w:r>
      <w:r w:rsidR="008E37AC" w:rsidRPr="00FE444A">
        <w:rPr>
          <w:sz w:val="20"/>
          <w:szCs w:val="20"/>
        </w:rPr>
        <w:t xml:space="preserve"> comorbid dementia (RR = 3.03; 95% CI 1.67-5.48), and AKI (RR = 3.11; 95% CI 2.38-4.07). Nonoperative intubation, emergent intubation, history of dementia, admission the NCCU and AKI al appear to be indepndently associated with increased RRs for either ≥48 or 72 hours of ventilation.</w:t>
      </w:r>
    </w:p>
    <w:p w14:paraId="4FB42DDF" w14:textId="34BA4113"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Hubbard JL, Veneman </w:t>
      </w:r>
      <w:r w:rsidR="00D42BC9">
        <w:rPr>
          <w:sz w:val="20"/>
          <w:szCs w:val="20"/>
        </w:rPr>
        <w:t>WL, Dirks RC, et al</w:t>
      </w:r>
      <w:r w:rsidRPr="00FE444A">
        <w:rPr>
          <w:sz w:val="20"/>
          <w:szCs w:val="20"/>
        </w:rPr>
        <w:t xml:space="preserve">. Use of endotracheal tubes with subglottic secretion drainage reduces ventilator-associated pneumonia in trauma patients. </w:t>
      </w:r>
      <w:r w:rsidRPr="00D42BC9">
        <w:rPr>
          <w:iCs/>
          <w:sz w:val="20"/>
          <w:szCs w:val="20"/>
        </w:rPr>
        <w:t>J Trauma Acute Care Surg</w:t>
      </w:r>
      <w:r w:rsidRPr="00FE444A">
        <w:rPr>
          <w:sz w:val="20"/>
          <w:szCs w:val="20"/>
        </w:rPr>
        <w:t>. 2016</w:t>
      </w:r>
      <w:r w:rsidR="00D42BC9">
        <w:rPr>
          <w:sz w:val="20"/>
          <w:szCs w:val="20"/>
        </w:rPr>
        <w:t xml:space="preserve"> Feb;80(2):218-</w:t>
      </w:r>
      <w:r w:rsidRPr="00FE444A">
        <w:rPr>
          <w:sz w:val="20"/>
          <w:szCs w:val="20"/>
        </w:rPr>
        <w:t>22.</w:t>
      </w:r>
      <w:r w:rsidR="00D42BC9">
        <w:rPr>
          <w:sz w:val="20"/>
          <w:szCs w:val="20"/>
        </w:rPr>
        <w:t xml:space="preserve"> PMID: 26595709.</w:t>
      </w:r>
    </w:p>
    <w:p w14:paraId="475F6622" w14:textId="14A5D9BD" w:rsidR="006226B2" w:rsidRPr="00FE444A" w:rsidRDefault="006226B2" w:rsidP="008E16B2">
      <w:pPr>
        <w:pStyle w:val="NormalWeb"/>
        <w:spacing w:before="120" w:beforeAutospacing="0" w:after="120" w:afterAutospacing="0"/>
        <w:ind w:left="270"/>
        <w:rPr>
          <w:sz w:val="20"/>
          <w:szCs w:val="20"/>
        </w:rPr>
      </w:pPr>
      <w:r w:rsidRPr="00FE444A">
        <w:rPr>
          <w:b/>
          <w:sz w:val="20"/>
          <w:szCs w:val="20"/>
        </w:rPr>
        <w:t xml:space="preserve">PRO: </w:t>
      </w:r>
      <w:r w:rsidRPr="00FE444A">
        <w:rPr>
          <w:sz w:val="20"/>
          <w:szCs w:val="20"/>
        </w:rPr>
        <w:t xml:space="preserve">Retrospective chart review to determine if the use of </w:t>
      </w:r>
      <w:r w:rsidR="006B726A" w:rsidRPr="00FE444A">
        <w:rPr>
          <w:sz w:val="20"/>
          <w:szCs w:val="20"/>
        </w:rPr>
        <w:t xml:space="preserve">subglottic secretion drainage </w:t>
      </w:r>
      <w:r w:rsidRPr="00FE444A">
        <w:rPr>
          <w:sz w:val="20"/>
          <w:szCs w:val="20"/>
        </w:rPr>
        <w:t xml:space="preserve">endotracheal tubes </w:t>
      </w:r>
      <w:r w:rsidR="006B726A" w:rsidRPr="00FE444A">
        <w:rPr>
          <w:sz w:val="20"/>
          <w:szCs w:val="20"/>
        </w:rPr>
        <w:t xml:space="preserve">(SSD-ETT) </w:t>
      </w:r>
      <w:r w:rsidRPr="00FE444A">
        <w:rPr>
          <w:sz w:val="20"/>
          <w:szCs w:val="20"/>
        </w:rPr>
        <w:t xml:space="preserve">would reduce </w:t>
      </w:r>
      <w:r w:rsidR="006B726A" w:rsidRPr="00FE444A">
        <w:rPr>
          <w:sz w:val="20"/>
          <w:szCs w:val="20"/>
        </w:rPr>
        <w:t>ventilator-associated pneumonia (</w:t>
      </w:r>
      <w:r w:rsidRPr="00FE444A">
        <w:rPr>
          <w:sz w:val="20"/>
          <w:szCs w:val="20"/>
        </w:rPr>
        <w:t>VAP</w:t>
      </w:r>
      <w:r w:rsidR="006B726A" w:rsidRPr="00FE444A">
        <w:rPr>
          <w:sz w:val="20"/>
          <w:szCs w:val="20"/>
        </w:rPr>
        <w:t>)</w:t>
      </w:r>
      <w:r w:rsidRPr="00FE444A">
        <w:rPr>
          <w:sz w:val="20"/>
          <w:szCs w:val="20"/>
        </w:rPr>
        <w:t xml:space="preserve"> in trauma patients. This was performed at a </w:t>
      </w:r>
      <w:r w:rsidR="00541181">
        <w:rPr>
          <w:sz w:val="20"/>
          <w:szCs w:val="20"/>
        </w:rPr>
        <w:t>l</w:t>
      </w:r>
      <w:r w:rsidRPr="00FE444A">
        <w:rPr>
          <w:sz w:val="20"/>
          <w:szCs w:val="20"/>
        </w:rPr>
        <w:t>evel 1 trauma center for patients orotracheally intubated for &gt;48 hours from 2010 to 2014. Diagnosis of VAP was made by quantitative bronchoalveolar lavage. Patients with SSD</w:t>
      </w:r>
      <w:r w:rsidR="006B726A" w:rsidRPr="00FE444A">
        <w:rPr>
          <w:sz w:val="20"/>
          <w:szCs w:val="20"/>
        </w:rPr>
        <w:t>-ETT</w:t>
      </w:r>
      <w:r w:rsidRPr="00FE444A">
        <w:rPr>
          <w:sz w:val="20"/>
          <w:szCs w:val="20"/>
        </w:rPr>
        <w:t xml:space="preserve"> were matched to patients with </w:t>
      </w:r>
      <w:r w:rsidR="000F6590">
        <w:rPr>
          <w:sz w:val="20"/>
          <w:szCs w:val="20"/>
        </w:rPr>
        <w:t xml:space="preserve">standard </w:t>
      </w:r>
      <w:r w:rsidRPr="00FE444A">
        <w:rPr>
          <w:sz w:val="20"/>
          <w:szCs w:val="20"/>
        </w:rPr>
        <w:t xml:space="preserve">ETT based on age group, sex, mechanism of </w:t>
      </w:r>
      <w:r w:rsidR="0008711E" w:rsidRPr="00FE444A">
        <w:rPr>
          <w:sz w:val="20"/>
          <w:szCs w:val="20"/>
        </w:rPr>
        <w:t xml:space="preserve">injury, </w:t>
      </w:r>
      <w:r w:rsidR="006B726A" w:rsidRPr="00FE444A">
        <w:rPr>
          <w:sz w:val="20"/>
          <w:szCs w:val="20"/>
        </w:rPr>
        <w:t xml:space="preserve">Glasgow Coma Scale </w:t>
      </w:r>
      <w:r w:rsidR="0008711E" w:rsidRPr="00FE444A">
        <w:rPr>
          <w:sz w:val="20"/>
          <w:szCs w:val="20"/>
        </w:rPr>
        <w:t>score, alcohol intox</w:t>
      </w:r>
      <w:r w:rsidRPr="00FE444A">
        <w:rPr>
          <w:sz w:val="20"/>
          <w:szCs w:val="20"/>
        </w:rPr>
        <w:t xml:space="preserve">ication, or </w:t>
      </w:r>
      <w:r w:rsidR="006B726A" w:rsidRPr="00FE444A">
        <w:rPr>
          <w:sz w:val="20"/>
          <w:szCs w:val="20"/>
        </w:rPr>
        <w:t>Injury Severity Score</w:t>
      </w:r>
      <w:r w:rsidRPr="00FE444A">
        <w:rPr>
          <w:sz w:val="20"/>
          <w:szCs w:val="20"/>
        </w:rPr>
        <w:t>. In matched cohorts</w:t>
      </w:r>
      <w:r w:rsidR="0008711E" w:rsidRPr="00FE444A">
        <w:rPr>
          <w:sz w:val="20"/>
          <w:szCs w:val="20"/>
        </w:rPr>
        <w:t>, SSD</w:t>
      </w:r>
      <w:r w:rsidR="006B726A" w:rsidRPr="00FE444A">
        <w:rPr>
          <w:sz w:val="20"/>
          <w:szCs w:val="20"/>
        </w:rPr>
        <w:t>-ETT</w:t>
      </w:r>
      <w:r w:rsidR="0008711E" w:rsidRPr="00FE444A">
        <w:rPr>
          <w:sz w:val="20"/>
          <w:szCs w:val="20"/>
        </w:rPr>
        <w:t xml:space="preserve"> had a lower VAP rate (5.7 vs. 9.3 for ETT, p=0.03), decreased ventilator days (12 vs. 14, p=0.04) and decreased ICU length of stay (13 days vs. 16 days, </w:t>
      </w:r>
      <w:r w:rsidR="00B6314D" w:rsidRPr="00FE444A">
        <w:rPr>
          <w:sz w:val="20"/>
          <w:szCs w:val="20"/>
        </w:rPr>
        <w:t>p</w:t>
      </w:r>
      <w:r w:rsidR="0008711E" w:rsidRPr="00FE444A">
        <w:rPr>
          <w:sz w:val="20"/>
          <w:szCs w:val="20"/>
        </w:rPr>
        <w:t>=0.003). After controlling for confounding factors, SSD</w:t>
      </w:r>
      <w:r w:rsidR="006B726A" w:rsidRPr="00FE444A">
        <w:rPr>
          <w:sz w:val="20"/>
          <w:szCs w:val="20"/>
        </w:rPr>
        <w:t>-ETTs</w:t>
      </w:r>
      <w:r w:rsidR="0008711E" w:rsidRPr="00FE444A">
        <w:rPr>
          <w:sz w:val="20"/>
          <w:szCs w:val="20"/>
        </w:rPr>
        <w:t xml:space="preserve"> decreased VAP rate, ventilator days and ICU length of stay in trauma patients.</w:t>
      </w:r>
      <w:r w:rsidRPr="00FE444A">
        <w:rPr>
          <w:sz w:val="20"/>
          <w:szCs w:val="20"/>
        </w:rPr>
        <w:t xml:space="preserve"> </w:t>
      </w:r>
    </w:p>
    <w:p w14:paraId="4E50A2A5" w14:textId="6EEBE939"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Damas P, Frippiat F, Ancion A, et al. Prevention of ventilator-associated pneumonia and ventilator-associated conditions: A randomized controlled trial with subglottic secretion suctioning. </w:t>
      </w:r>
      <w:r w:rsidRPr="00D42BC9">
        <w:rPr>
          <w:iCs/>
          <w:sz w:val="20"/>
          <w:szCs w:val="20"/>
        </w:rPr>
        <w:t>Crit Care Med</w:t>
      </w:r>
      <w:r w:rsidRPr="00D42BC9">
        <w:rPr>
          <w:sz w:val="20"/>
          <w:szCs w:val="20"/>
        </w:rPr>
        <w:t>.</w:t>
      </w:r>
      <w:r w:rsidRPr="00FE444A">
        <w:rPr>
          <w:sz w:val="20"/>
          <w:szCs w:val="20"/>
        </w:rPr>
        <w:t xml:space="preserve"> 2015</w:t>
      </w:r>
      <w:r w:rsidR="00D42BC9">
        <w:rPr>
          <w:sz w:val="20"/>
          <w:szCs w:val="20"/>
        </w:rPr>
        <w:t xml:space="preserve"> Jan</w:t>
      </w:r>
      <w:r w:rsidRPr="00FE444A">
        <w:rPr>
          <w:sz w:val="20"/>
          <w:szCs w:val="20"/>
        </w:rPr>
        <w:t>;43(1):22-30.</w:t>
      </w:r>
      <w:r w:rsidR="00D42BC9">
        <w:rPr>
          <w:sz w:val="20"/>
          <w:szCs w:val="20"/>
        </w:rPr>
        <w:t xml:space="preserve"> PMID: 25343570.</w:t>
      </w:r>
    </w:p>
    <w:p w14:paraId="56EBF207" w14:textId="45B82738" w:rsidR="0008711E" w:rsidRPr="00FE444A" w:rsidRDefault="0008711E" w:rsidP="008E16B2">
      <w:pPr>
        <w:pStyle w:val="NormalWeb"/>
        <w:spacing w:before="120" w:beforeAutospacing="0" w:after="120" w:afterAutospacing="0"/>
        <w:ind w:left="270"/>
        <w:rPr>
          <w:sz w:val="20"/>
          <w:szCs w:val="20"/>
        </w:rPr>
      </w:pPr>
      <w:r w:rsidRPr="00FE444A">
        <w:rPr>
          <w:b/>
          <w:sz w:val="20"/>
          <w:szCs w:val="20"/>
        </w:rPr>
        <w:t>PRO:</w:t>
      </w:r>
      <w:r w:rsidRPr="00FE444A">
        <w:rPr>
          <w:sz w:val="20"/>
          <w:szCs w:val="20"/>
        </w:rPr>
        <w:t xml:space="preserve"> </w:t>
      </w:r>
      <w:r w:rsidR="00F64DE2" w:rsidRPr="00FE444A">
        <w:rPr>
          <w:sz w:val="20"/>
          <w:szCs w:val="20"/>
        </w:rPr>
        <w:t>Randomized controlled trial in 5 ICUs of the same hospital. 352 patients intubated with a</w:t>
      </w:r>
      <w:r w:rsidR="00070062">
        <w:rPr>
          <w:sz w:val="20"/>
          <w:szCs w:val="20"/>
        </w:rPr>
        <w:t>n</w:t>
      </w:r>
      <w:r w:rsidR="00F64DE2" w:rsidRPr="00FE444A">
        <w:rPr>
          <w:sz w:val="20"/>
          <w:szCs w:val="20"/>
        </w:rPr>
        <w:t xml:space="preserve"> </w:t>
      </w:r>
      <w:r w:rsidR="00070062">
        <w:rPr>
          <w:sz w:val="20"/>
          <w:szCs w:val="20"/>
        </w:rPr>
        <w:t>endo</w:t>
      </w:r>
      <w:r w:rsidR="00F64DE2" w:rsidRPr="00FE444A">
        <w:rPr>
          <w:sz w:val="20"/>
          <w:szCs w:val="20"/>
        </w:rPr>
        <w:t xml:space="preserve">tracheal tube allowing subglottic secretion suctioning were randomized to undergo suctioning (n=170, group 1) or not (n=182, group 2. </w:t>
      </w:r>
      <w:r w:rsidR="001F199A" w:rsidRPr="00FE444A">
        <w:rPr>
          <w:sz w:val="20"/>
          <w:szCs w:val="20"/>
        </w:rPr>
        <w:t>During ventilation, microbilogically confirmed VAP occurred in 15 patients (8.8%) of</w:t>
      </w:r>
      <w:r w:rsidR="007D6B6D" w:rsidRPr="00FE444A">
        <w:rPr>
          <w:sz w:val="20"/>
          <w:szCs w:val="20"/>
        </w:rPr>
        <w:t xml:space="preserve"> group 1 and 32 patients (17.6%</w:t>
      </w:r>
      <w:r w:rsidR="001F199A" w:rsidRPr="00FE444A">
        <w:rPr>
          <w:sz w:val="20"/>
          <w:szCs w:val="20"/>
        </w:rPr>
        <w:t xml:space="preserve">) of group 2 (p=0.018). VAP rates were 9.6 per 1,000 ventilator days for group 1 and 19.8 </w:t>
      </w:r>
      <w:r w:rsidR="001F199A" w:rsidRPr="00FE444A">
        <w:rPr>
          <w:sz w:val="20"/>
          <w:szCs w:val="20"/>
        </w:rPr>
        <w:lastRenderedPageBreak/>
        <w:t xml:space="preserve">per 1,000 ventilator days for group 2 (p=0.0076). </w:t>
      </w:r>
      <w:r w:rsidR="006B726A" w:rsidRPr="00FE444A">
        <w:rPr>
          <w:sz w:val="20"/>
          <w:szCs w:val="20"/>
        </w:rPr>
        <w:t>Ventilator-associated condition</w:t>
      </w:r>
      <w:r w:rsidR="00667F7B">
        <w:rPr>
          <w:sz w:val="20"/>
          <w:szCs w:val="20"/>
        </w:rPr>
        <w:t xml:space="preserve"> </w:t>
      </w:r>
      <w:r w:rsidR="001F199A" w:rsidRPr="00FE444A">
        <w:rPr>
          <w:sz w:val="20"/>
          <w:szCs w:val="20"/>
        </w:rPr>
        <w:t>prevalence was 21.8% in group</w:t>
      </w:r>
      <w:r w:rsidR="00667F7B">
        <w:rPr>
          <w:sz w:val="20"/>
          <w:szCs w:val="20"/>
        </w:rPr>
        <w:t xml:space="preserve"> </w:t>
      </w:r>
      <w:r w:rsidR="001F199A" w:rsidRPr="00FE444A">
        <w:rPr>
          <w:sz w:val="20"/>
          <w:szCs w:val="20"/>
        </w:rPr>
        <w:t>1 and 22.5% in</w:t>
      </w:r>
      <w:r w:rsidR="007D6B6D" w:rsidRPr="00FE444A">
        <w:rPr>
          <w:sz w:val="20"/>
          <w:szCs w:val="20"/>
        </w:rPr>
        <w:t xml:space="preserve"> </w:t>
      </w:r>
      <w:r w:rsidR="001F199A" w:rsidRPr="00FE444A">
        <w:rPr>
          <w:sz w:val="20"/>
          <w:szCs w:val="20"/>
        </w:rPr>
        <w:t>group 2 (p=0.84). Neither ICU length of stay nor mortality differed between the groups.  The total number of antibiotic days was 1.696 in group 1, representing 61.6% of the 2,754 ICU days and 1,965 in group 2, representing 68.5% of 2,868 ICU days (p&lt;0.0001). Subglottic suctioning resulted in a significant reduction of VAP prevalence associated with a significant decrease in antibiotic use.</w:t>
      </w:r>
    </w:p>
    <w:p w14:paraId="03CD067C" w14:textId="5514B865" w:rsidR="001F199A"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Hallais C, Merle V, Guitard PG, et al. Is continuous subglottic suctioning cost-effective for the prevention of ventilator-associated pneumonia? </w:t>
      </w:r>
      <w:r w:rsidRPr="00D42BC9">
        <w:rPr>
          <w:iCs/>
          <w:sz w:val="20"/>
          <w:szCs w:val="20"/>
        </w:rPr>
        <w:t>Infect Control Hosp Epidemiol</w:t>
      </w:r>
      <w:r w:rsidR="00D42BC9">
        <w:rPr>
          <w:sz w:val="20"/>
          <w:szCs w:val="20"/>
        </w:rPr>
        <w:t>. 2011 Feb;32(2):131-</w:t>
      </w:r>
      <w:r w:rsidRPr="00FE444A">
        <w:rPr>
          <w:sz w:val="20"/>
          <w:szCs w:val="20"/>
        </w:rPr>
        <w:t>5.</w:t>
      </w:r>
      <w:r w:rsidR="00D42BC9">
        <w:rPr>
          <w:sz w:val="20"/>
          <w:szCs w:val="20"/>
        </w:rPr>
        <w:t xml:space="preserve"> PMID: 21460467.</w:t>
      </w:r>
    </w:p>
    <w:p w14:paraId="20445185" w14:textId="31FA7B35" w:rsidR="00866582" w:rsidRPr="00FE444A" w:rsidRDefault="00CB0A72" w:rsidP="008E16B2">
      <w:pPr>
        <w:pStyle w:val="NormalWeb"/>
        <w:spacing w:before="120" w:beforeAutospacing="0" w:after="120" w:afterAutospacing="0"/>
        <w:ind w:left="270"/>
        <w:rPr>
          <w:sz w:val="20"/>
          <w:szCs w:val="20"/>
        </w:rPr>
      </w:pPr>
      <w:r>
        <w:rPr>
          <w:b/>
          <w:sz w:val="20"/>
          <w:szCs w:val="20"/>
        </w:rPr>
        <w:t xml:space="preserve">PRO:  </w:t>
      </w:r>
      <w:r w:rsidR="00866582" w:rsidRPr="00FE444A">
        <w:rPr>
          <w:sz w:val="20"/>
          <w:szCs w:val="20"/>
        </w:rPr>
        <w:t>Cost/benefit analysis – Study analyzed the cost benefit of 416 surgical patients receiving mechanical ventilation for 3,487 ventilation days in the surgical intensive care unit. A total of 32 VAP episodes were observed (7.9 episodes per 100 ventilated patients; incidence density, 9.2 episodes per 10,000 ventilation-days). Based on a hypothesized 29 percent reduction in the risk of VAP with continuous subglottic suctioning (CSS) tubes than conventional ventilation (CV) Tubes, 9 VAP episodes could have been averted. The additional cost of CSS for 2006 was estimated to be €10,585.34</w:t>
      </w:r>
      <w:r w:rsidR="00B12500">
        <w:rPr>
          <w:sz w:val="20"/>
          <w:szCs w:val="20"/>
        </w:rPr>
        <w:t xml:space="preserve"> ($11,802.53)</w:t>
      </w:r>
      <w:r w:rsidR="00866582" w:rsidRPr="00FE444A">
        <w:rPr>
          <w:sz w:val="20"/>
          <w:szCs w:val="20"/>
        </w:rPr>
        <w:t>. The cost per averted VAP episode was €1,176.15</w:t>
      </w:r>
      <w:r w:rsidR="00B12500">
        <w:rPr>
          <w:sz w:val="20"/>
          <w:szCs w:val="20"/>
        </w:rPr>
        <w:t xml:space="preserve"> ($1,211.52)</w:t>
      </w:r>
      <w:r w:rsidR="00866582" w:rsidRPr="00FE444A">
        <w:rPr>
          <w:sz w:val="20"/>
          <w:szCs w:val="20"/>
        </w:rPr>
        <w:t>. Assuming a VAP cost of €4,387</w:t>
      </w:r>
      <w:r w:rsidR="00B12500">
        <w:rPr>
          <w:sz w:val="20"/>
          <w:szCs w:val="20"/>
        </w:rPr>
        <w:t xml:space="preserve"> ($4,891.95)</w:t>
      </w:r>
      <w:r w:rsidR="00866582" w:rsidRPr="00FE444A">
        <w:rPr>
          <w:sz w:val="20"/>
          <w:szCs w:val="20"/>
        </w:rPr>
        <w:t>, a total of three averted VAP episodes would neutralize the additional cost. For a low VAP incidence of 6.6 percent, the cost per averted VAP would be €1,323</w:t>
      </w:r>
      <w:r w:rsidR="00B12500">
        <w:rPr>
          <w:sz w:val="20"/>
          <w:szCs w:val="20"/>
        </w:rPr>
        <w:t xml:space="preserve"> ($1,475.28)</w:t>
      </w:r>
      <w:r w:rsidR="00866582" w:rsidRPr="00FE444A">
        <w:rPr>
          <w:sz w:val="20"/>
          <w:szCs w:val="20"/>
        </w:rPr>
        <w:t>. The cost of a CV tube was €1.01</w:t>
      </w:r>
      <w:r w:rsidR="00B12500">
        <w:rPr>
          <w:sz w:val="20"/>
          <w:szCs w:val="20"/>
        </w:rPr>
        <w:t xml:space="preserve"> ($1.12)</w:t>
      </w:r>
      <w:r w:rsidR="00866582" w:rsidRPr="00FE444A">
        <w:rPr>
          <w:sz w:val="20"/>
          <w:szCs w:val="20"/>
        </w:rPr>
        <w:t>. The cost of a CSS tube (Hi-Lo Evac) was €5.50</w:t>
      </w:r>
      <w:r w:rsidR="00B12500">
        <w:rPr>
          <w:sz w:val="20"/>
          <w:szCs w:val="20"/>
        </w:rPr>
        <w:t xml:space="preserve"> ($6.13)</w:t>
      </w:r>
      <w:r w:rsidR="00866582" w:rsidRPr="00FE444A">
        <w:rPr>
          <w:sz w:val="20"/>
          <w:szCs w:val="20"/>
        </w:rPr>
        <w:t>, and the cost of one secretion-receiving bottle was €2.50</w:t>
      </w:r>
      <w:r w:rsidR="00B12500">
        <w:rPr>
          <w:sz w:val="20"/>
          <w:szCs w:val="20"/>
        </w:rPr>
        <w:t xml:space="preserve"> ($2.78)</w:t>
      </w:r>
      <w:r w:rsidR="00866582" w:rsidRPr="00FE444A">
        <w:rPr>
          <w:sz w:val="20"/>
          <w:szCs w:val="20"/>
        </w:rPr>
        <w:t xml:space="preserve">. If each patient required two tubes during ventilation, the cost would be €1,383.69 </w:t>
      </w:r>
      <w:r w:rsidR="00B12500">
        <w:rPr>
          <w:sz w:val="20"/>
          <w:szCs w:val="20"/>
        </w:rPr>
        <w:t xml:space="preserve">($1,542.94) </w:t>
      </w:r>
      <w:r w:rsidR="00866582" w:rsidRPr="00FE444A">
        <w:rPr>
          <w:sz w:val="20"/>
          <w:szCs w:val="20"/>
        </w:rPr>
        <w:t>per averted VAP episode. Findings conclude that replacement of CV with CSS was a cost-effective method for treatment and for reducing VAP rates.</w:t>
      </w:r>
    </w:p>
    <w:p w14:paraId="70EAE80A" w14:textId="51BBDF25"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Juneja D, Javeri Y, Singh O, </w:t>
      </w:r>
      <w:r w:rsidR="00D42BC9">
        <w:rPr>
          <w:sz w:val="20"/>
          <w:szCs w:val="20"/>
        </w:rPr>
        <w:t>et al</w:t>
      </w:r>
      <w:r w:rsidRPr="00FE444A">
        <w:rPr>
          <w:sz w:val="20"/>
          <w:szCs w:val="20"/>
        </w:rPr>
        <w:t xml:space="preserve">. </w:t>
      </w:r>
      <w:r w:rsidRPr="00D42BC9">
        <w:rPr>
          <w:bCs/>
          <w:sz w:val="20"/>
          <w:szCs w:val="20"/>
        </w:rPr>
        <w:t>Comparing influence of intermittent subglottic secretions drainage with/without closed suction systems on the incidence of ventilator associated pneumonia.</w:t>
      </w:r>
      <w:r w:rsidRPr="00D42BC9">
        <w:rPr>
          <w:sz w:val="20"/>
          <w:szCs w:val="20"/>
        </w:rPr>
        <w:t xml:space="preserve"> </w:t>
      </w:r>
      <w:r w:rsidRPr="00D42BC9">
        <w:rPr>
          <w:iCs/>
          <w:sz w:val="20"/>
          <w:szCs w:val="20"/>
        </w:rPr>
        <w:t>Indian J Crit Care Med</w:t>
      </w:r>
      <w:r w:rsidRPr="00D42BC9">
        <w:rPr>
          <w:sz w:val="20"/>
          <w:szCs w:val="20"/>
        </w:rPr>
        <w:t>.</w:t>
      </w:r>
      <w:r w:rsidRPr="00FE444A">
        <w:rPr>
          <w:sz w:val="20"/>
          <w:szCs w:val="20"/>
        </w:rPr>
        <w:t xml:space="preserve"> 2011;15(3):168-72.</w:t>
      </w:r>
      <w:r w:rsidR="00D42BC9">
        <w:rPr>
          <w:sz w:val="20"/>
          <w:szCs w:val="20"/>
        </w:rPr>
        <w:t xml:space="preserve"> PMID: 22013309.</w:t>
      </w:r>
    </w:p>
    <w:p w14:paraId="349BC770" w14:textId="5C8403E5" w:rsidR="00866582" w:rsidRPr="00FE444A" w:rsidRDefault="00866582" w:rsidP="008E16B2">
      <w:pPr>
        <w:pStyle w:val="NormalWeb"/>
        <w:spacing w:before="120" w:beforeAutospacing="0" w:after="120" w:afterAutospacing="0"/>
        <w:ind w:left="270"/>
        <w:rPr>
          <w:sz w:val="20"/>
          <w:szCs w:val="20"/>
        </w:rPr>
      </w:pPr>
      <w:r w:rsidRPr="00570CC9">
        <w:rPr>
          <w:b/>
          <w:sz w:val="20"/>
          <w:szCs w:val="20"/>
        </w:rPr>
        <w:t>PRO:</w:t>
      </w:r>
      <w:r w:rsidRPr="00FE444A">
        <w:rPr>
          <w:sz w:val="20"/>
          <w:szCs w:val="20"/>
        </w:rPr>
        <w:t xml:space="preserve"> Intermittent versus continuous suctioning – Study focused on 311 patients requiring mechanical ventilation for more than 72 hours. Data were collected retrospectively for following four groups: group A, no intervention; group B, only continues suctioning; group C, only intermittent drainage; and group D, intermittent drainage with continuous suctioning. Incidence of VAP per 1,000 ventilator days in groups A, B, C, and D was 25, 23.9, 15.7, and 14.3, respectively (p=0.04). There was no significant difference in the duration of mechanical ventilation (p=0.33), length of intensive care unit (p=0.55) and hospital stay (p=0.36) and ICU mortality (p=0.9) among the four groups. Intermittent drainage of secretions reduces the incidence of VAP. Continuous suctioning alone or in combination with intermittent has no significant effect on VAP incidence.</w:t>
      </w:r>
    </w:p>
    <w:p w14:paraId="7ED4ADD5" w14:textId="490C0526"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Speroni KG, Lucas J, Dugan L, et al. Comparative effectiveness of standard endotracheal tubes vs. endotracheal tubes with continuous subglottic suctioning on ventilator-associated pneumonia rates. </w:t>
      </w:r>
      <w:r w:rsidRPr="00D42BC9">
        <w:rPr>
          <w:iCs/>
          <w:sz w:val="20"/>
          <w:szCs w:val="20"/>
        </w:rPr>
        <w:t>Nurs Econ</w:t>
      </w:r>
      <w:r w:rsidRPr="00D42BC9">
        <w:rPr>
          <w:sz w:val="20"/>
          <w:szCs w:val="20"/>
        </w:rPr>
        <w:t xml:space="preserve">. </w:t>
      </w:r>
      <w:r w:rsidRPr="00FE444A">
        <w:rPr>
          <w:sz w:val="20"/>
          <w:szCs w:val="20"/>
        </w:rPr>
        <w:t>2011</w:t>
      </w:r>
      <w:r w:rsidR="00D42BC9">
        <w:rPr>
          <w:sz w:val="20"/>
          <w:szCs w:val="20"/>
        </w:rPr>
        <w:t xml:space="preserve">  Jan-Feb</w:t>
      </w:r>
      <w:r w:rsidRPr="00FE444A">
        <w:rPr>
          <w:sz w:val="20"/>
          <w:szCs w:val="20"/>
        </w:rPr>
        <w:t>;29(1):15-20, 37.</w:t>
      </w:r>
      <w:r w:rsidR="00D42BC9">
        <w:rPr>
          <w:sz w:val="20"/>
          <w:szCs w:val="20"/>
        </w:rPr>
        <w:t xml:space="preserve"> PMID: 21469484.</w:t>
      </w:r>
    </w:p>
    <w:p w14:paraId="00CD67CB" w14:textId="399ED7C4" w:rsidR="00866582" w:rsidRPr="00FE444A" w:rsidRDefault="00866582" w:rsidP="008E16B2">
      <w:pPr>
        <w:pStyle w:val="NormalWeb"/>
        <w:spacing w:before="120" w:beforeAutospacing="0" w:after="120" w:afterAutospacing="0"/>
        <w:ind w:left="270"/>
        <w:rPr>
          <w:sz w:val="20"/>
          <w:szCs w:val="20"/>
        </w:rPr>
      </w:pPr>
      <w:r w:rsidRPr="00570CC9">
        <w:rPr>
          <w:b/>
          <w:sz w:val="20"/>
          <w:szCs w:val="20"/>
        </w:rPr>
        <w:t xml:space="preserve">PRO: </w:t>
      </w:r>
      <w:r w:rsidRPr="00FE444A">
        <w:rPr>
          <w:sz w:val="20"/>
          <w:szCs w:val="20"/>
        </w:rPr>
        <w:t xml:space="preserve">Business </w:t>
      </w:r>
      <w:r w:rsidR="00BA23A0">
        <w:rPr>
          <w:sz w:val="20"/>
          <w:szCs w:val="20"/>
        </w:rPr>
        <w:t>c</w:t>
      </w:r>
      <w:r w:rsidRPr="00FE444A">
        <w:rPr>
          <w:sz w:val="20"/>
          <w:szCs w:val="20"/>
        </w:rPr>
        <w:t>ase – Study focused on 154 intubated adult patients (77=standard endotracheal tube [S-ETT]; 77=continuous subglottic suctioning ETT [CSS-ETT]). The S-ETT group had one case of ventilator-associated pneumonia (VAP); the CSS-ETT group had none. The mean total hospital charges were higher for the S-ETT group ($103,600; CSS-ETT=$88,500) (p=0.3). Although the average number of intubation days and intensive care unit days were greater for the CSS-ETT group, there were no cases of VAP compared to the S-ETT group. Based upon the one S-ETT VAP case and the VAP attributable costs, it is cost effective to use the CSS-ETT.</w:t>
      </w:r>
    </w:p>
    <w:p w14:paraId="401DBB4A" w14:textId="3C81BB87"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Lacherade JC, De Jonghe B, Guezennec P, et al. Intermittent subglottic secretion drainage and ventilator-associated pneumonia: A multicenter trial. </w:t>
      </w:r>
      <w:r w:rsidRPr="00D42BC9">
        <w:rPr>
          <w:iCs/>
          <w:sz w:val="20"/>
          <w:szCs w:val="20"/>
        </w:rPr>
        <w:t>Am J Respir Crit Care Med</w:t>
      </w:r>
      <w:r w:rsidRPr="00D42BC9">
        <w:rPr>
          <w:sz w:val="20"/>
          <w:szCs w:val="20"/>
        </w:rPr>
        <w:t>.</w:t>
      </w:r>
      <w:r w:rsidRPr="00FE444A">
        <w:rPr>
          <w:sz w:val="20"/>
          <w:szCs w:val="20"/>
        </w:rPr>
        <w:t xml:space="preserve"> 2010</w:t>
      </w:r>
      <w:r w:rsidR="00D42BC9">
        <w:rPr>
          <w:sz w:val="20"/>
          <w:szCs w:val="20"/>
        </w:rPr>
        <w:t xml:space="preserve"> Oct 1;182(7):910-</w:t>
      </w:r>
      <w:r w:rsidRPr="00FE444A">
        <w:rPr>
          <w:sz w:val="20"/>
          <w:szCs w:val="20"/>
        </w:rPr>
        <w:t>17.</w:t>
      </w:r>
      <w:r w:rsidR="00D42BC9">
        <w:rPr>
          <w:sz w:val="20"/>
          <w:szCs w:val="20"/>
        </w:rPr>
        <w:t xml:space="preserve"> PMID: </w:t>
      </w:r>
      <w:r w:rsidR="00D24661">
        <w:rPr>
          <w:sz w:val="20"/>
          <w:szCs w:val="20"/>
        </w:rPr>
        <w:t>20522796.</w:t>
      </w:r>
    </w:p>
    <w:p w14:paraId="7C07F234" w14:textId="1DC84535" w:rsidR="00866582" w:rsidRPr="00FE444A" w:rsidRDefault="00866582" w:rsidP="008E16B2">
      <w:pPr>
        <w:pStyle w:val="NormalWeb"/>
        <w:spacing w:before="120" w:beforeAutospacing="0" w:after="120" w:afterAutospacing="0"/>
        <w:ind w:left="270"/>
        <w:rPr>
          <w:sz w:val="20"/>
          <w:szCs w:val="20"/>
        </w:rPr>
      </w:pPr>
      <w:r w:rsidRPr="00570CC9">
        <w:rPr>
          <w:b/>
          <w:sz w:val="20"/>
          <w:szCs w:val="20"/>
        </w:rPr>
        <w:t>PRO:</w:t>
      </w:r>
      <w:r w:rsidRPr="00FE444A">
        <w:rPr>
          <w:sz w:val="20"/>
          <w:szCs w:val="20"/>
        </w:rPr>
        <w:t xml:space="preserve"> Randomized control trial at four French centers. All patients were intubated with subglottic endotracheal tubes and were expected to require mechanical ventilation for </w:t>
      </w:r>
      <w:r w:rsidR="00541181">
        <w:rPr>
          <w:sz w:val="20"/>
          <w:szCs w:val="20"/>
        </w:rPr>
        <w:t>at least</w:t>
      </w:r>
      <w:r w:rsidRPr="00FE444A">
        <w:rPr>
          <w:sz w:val="20"/>
          <w:szCs w:val="20"/>
        </w:rPr>
        <w:t xml:space="preserve"> 48 hours. The intervention arm (n=169) received intermittent subglottic suctioning, while the control arm (n=164) did not. Primary outcome was the overall incidence of VAP based on quantitative culture of distal pulmonary samplings performed after each clinical suspicion. Other outcomes included incidence of early- and late-onset VAP, duration of mechanical ventilation, and hospital mortality. Microbiologically confirmed VAP occurred in 67 patients, 25 of 169 (14.8%) </w:t>
      </w:r>
      <w:r w:rsidRPr="00FE444A">
        <w:rPr>
          <w:sz w:val="20"/>
          <w:szCs w:val="20"/>
        </w:rPr>
        <w:lastRenderedPageBreak/>
        <w:t>in the SSD group and 42 of 164 (25.6%) in the control group (</w:t>
      </w:r>
      <w:r w:rsidR="00501ABC" w:rsidRPr="00FE444A">
        <w:rPr>
          <w:sz w:val="20"/>
          <w:szCs w:val="20"/>
        </w:rPr>
        <w:t>p</w:t>
      </w:r>
      <w:r w:rsidRPr="00FE444A">
        <w:rPr>
          <w:sz w:val="20"/>
          <w:szCs w:val="20"/>
        </w:rPr>
        <w:t>=0.02), yielding a relative risk reduction of 42.2% (95% confidence interval, 10.4–63.1%). Using the Day 5 threshold, the beneficial effect of SSD in reducing VAP was observed in both early-onset VAP (2 of 169 [1.2%] patients undergoing SSD versus 10 of 164 [6.1%] control patients (</w:t>
      </w:r>
      <w:r w:rsidR="00B6314D" w:rsidRPr="00FE444A">
        <w:rPr>
          <w:sz w:val="20"/>
          <w:szCs w:val="20"/>
        </w:rPr>
        <w:t>p</w:t>
      </w:r>
      <w:r w:rsidRPr="00FE444A">
        <w:rPr>
          <w:sz w:val="20"/>
          <w:szCs w:val="20"/>
        </w:rPr>
        <w:t>=0.02) and late-onset VAP (23 of 126 [18.6%] patients undergoing SSD versus 32 of 97 [33.0%] control patients (</w:t>
      </w:r>
      <w:r w:rsidR="00501ABC" w:rsidRPr="00FE444A">
        <w:rPr>
          <w:sz w:val="20"/>
          <w:szCs w:val="20"/>
        </w:rPr>
        <w:t>p</w:t>
      </w:r>
      <w:r w:rsidRPr="00FE444A">
        <w:rPr>
          <w:sz w:val="20"/>
          <w:szCs w:val="20"/>
        </w:rPr>
        <w:t>=0.01). VAP was clinically suspected at least once in 51 of 169 (30.2%) patients undergoing SSD and 60 of 164 (36.6%) control patients (</w:t>
      </w:r>
      <w:r w:rsidR="00501ABC" w:rsidRPr="00FE444A">
        <w:rPr>
          <w:sz w:val="20"/>
          <w:szCs w:val="20"/>
        </w:rPr>
        <w:t>p</w:t>
      </w:r>
      <w:r w:rsidRPr="00FE444A">
        <w:rPr>
          <w:sz w:val="20"/>
          <w:szCs w:val="20"/>
        </w:rPr>
        <w:t>=0.25). No significant between-group differences were observed in duration of mechanical ventilation and hospital mortality.</w:t>
      </w:r>
    </w:p>
    <w:p w14:paraId="4FA6E9E9" w14:textId="364A83A9"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Dragoumanis C, Vr</w:t>
      </w:r>
      <w:r w:rsidR="00D24661">
        <w:rPr>
          <w:sz w:val="20"/>
          <w:szCs w:val="20"/>
        </w:rPr>
        <w:t>etzakis G, Papaioannou V, et al</w:t>
      </w:r>
      <w:r w:rsidRPr="00FE444A">
        <w:rPr>
          <w:sz w:val="20"/>
          <w:szCs w:val="20"/>
        </w:rPr>
        <w:t xml:space="preserve">. </w:t>
      </w:r>
      <w:r w:rsidRPr="00D24661">
        <w:rPr>
          <w:bCs/>
          <w:sz w:val="20"/>
          <w:szCs w:val="20"/>
        </w:rPr>
        <w:t>Investigating the failure to aspirate subglottic secretions with the evac endotracheal tube.</w:t>
      </w:r>
      <w:r w:rsidR="00D24661">
        <w:rPr>
          <w:sz w:val="20"/>
          <w:szCs w:val="20"/>
        </w:rPr>
        <w:t xml:space="preserve"> </w:t>
      </w:r>
      <w:r w:rsidR="00D24661">
        <w:rPr>
          <w:iCs/>
          <w:sz w:val="20"/>
          <w:szCs w:val="20"/>
        </w:rPr>
        <w:t xml:space="preserve">Anesth </w:t>
      </w:r>
      <w:r w:rsidRPr="00D24661">
        <w:rPr>
          <w:iCs/>
          <w:sz w:val="20"/>
          <w:szCs w:val="20"/>
        </w:rPr>
        <w:t>Analg.</w:t>
      </w:r>
      <w:r w:rsidRPr="00D24661">
        <w:rPr>
          <w:sz w:val="20"/>
          <w:szCs w:val="20"/>
        </w:rPr>
        <w:t xml:space="preserve"> </w:t>
      </w:r>
      <w:r w:rsidRPr="00FE444A">
        <w:rPr>
          <w:sz w:val="20"/>
          <w:szCs w:val="20"/>
        </w:rPr>
        <w:t>2007</w:t>
      </w:r>
      <w:r w:rsidR="00D24661">
        <w:rPr>
          <w:sz w:val="20"/>
          <w:szCs w:val="20"/>
        </w:rPr>
        <w:t xml:space="preserve"> Oct</w:t>
      </w:r>
      <w:r w:rsidRPr="00FE444A">
        <w:rPr>
          <w:sz w:val="20"/>
          <w:szCs w:val="20"/>
        </w:rPr>
        <w:t>;105(4):1083-5.</w:t>
      </w:r>
      <w:r w:rsidR="00D24661">
        <w:rPr>
          <w:sz w:val="20"/>
          <w:szCs w:val="20"/>
        </w:rPr>
        <w:t xml:space="preserve"> PMID: 17898392.</w:t>
      </w:r>
    </w:p>
    <w:p w14:paraId="4D543FEC" w14:textId="0216CA2F" w:rsidR="00866582" w:rsidRPr="00FE444A" w:rsidRDefault="00866582" w:rsidP="008E16B2">
      <w:pPr>
        <w:pStyle w:val="NormalWeb"/>
        <w:spacing w:before="120" w:beforeAutospacing="0" w:after="120" w:afterAutospacing="0"/>
        <w:ind w:left="270"/>
        <w:rPr>
          <w:sz w:val="20"/>
          <w:szCs w:val="20"/>
        </w:rPr>
      </w:pPr>
      <w:r w:rsidRPr="00570CC9">
        <w:rPr>
          <w:b/>
          <w:sz w:val="20"/>
          <w:szCs w:val="20"/>
        </w:rPr>
        <w:t>CON:</w:t>
      </w:r>
      <w:r w:rsidRPr="00FE444A">
        <w:rPr>
          <w:sz w:val="20"/>
          <w:szCs w:val="20"/>
        </w:rPr>
        <w:t xml:space="preserve"> Observational study – studied 40 adult patients intubated with Hi-Lo® Evac endotracheal tubes. Dysfunction of the suction lumen occurred in 19 of the 40 patients (48%). In 17 (43%) the failure was attributed to blockage of the subglottic suction port by suctioned tracheal mucosa. This finding raises significant questions concerning the safety of aspiration of subglottic secretions using the </w:t>
      </w:r>
      <w:r w:rsidR="00501ABC" w:rsidRPr="00FE444A">
        <w:rPr>
          <w:sz w:val="20"/>
          <w:szCs w:val="20"/>
        </w:rPr>
        <w:t xml:space="preserve">evac </w:t>
      </w:r>
      <w:r w:rsidRPr="00FE444A">
        <w:rPr>
          <w:sz w:val="20"/>
          <w:szCs w:val="20"/>
        </w:rPr>
        <w:t>tube.</w:t>
      </w:r>
    </w:p>
    <w:p w14:paraId="2AFA8988" w14:textId="7D5DA1ED" w:rsidR="00866582"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Smulders K, van der Hoeven H, We</w:t>
      </w:r>
      <w:r w:rsidR="00D24661">
        <w:rPr>
          <w:sz w:val="20"/>
          <w:szCs w:val="20"/>
        </w:rPr>
        <w:t>ers-Pothoff I, et al</w:t>
      </w:r>
      <w:r w:rsidRPr="00FE444A">
        <w:rPr>
          <w:sz w:val="20"/>
          <w:szCs w:val="20"/>
        </w:rPr>
        <w:t xml:space="preserve">. A randomized clinical trial of intermittent subglottic secretion drainage in patients receiving mechanical ventilation. </w:t>
      </w:r>
      <w:r w:rsidRPr="00D24661">
        <w:rPr>
          <w:iCs/>
          <w:sz w:val="20"/>
          <w:szCs w:val="20"/>
        </w:rPr>
        <w:t>Chest</w:t>
      </w:r>
      <w:r w:rsidRPr="00D24661">
        <w:rPr>
          <w:sz w:val="20"/>
          <w:szCs w:val="20"/>
        </w:rPr>
        <w:t>.</w:t>
      </w:r>
      <w:r w:rsidRPr="00FE444A">
        <w:rPr>
          <w:sz w:val="20"/>
          <w:szCs w:val="20"/>
        </w:rPr>
        <w:t xml:space="preserve"> 2002</w:t>
      </w:r>
      <w:r w:rsidR="00D24661">
        <w:rPr>
          <w:sz w:val="20"/>
          <w:szCs w:val="20"/>
        </w:rPr>
        <w:t xml:space="preserve"> Mar;121(3):858-</w:t>
      </w:r>
      <w:r w:rsidRPr="00FE444A">
        <w:rPr>
          <w:sz w:val="20"/>
          <w:szCs w:val="20"/>
        </w:rPr>
        <w:t>62.</w:t>
      </w:r>
      <w:r w:rsidR="00D24661">
        <w:rPr>
          <w:sz w:val="20"/>
          <w:szCs w:val="20"/>
        </w:rPr>
        <w:t xml:space="preserve"> PMID: 11888973.</w:t>
      </w:r>
    </w:p>
    <w:p w14:paraId="4260BC42" w14:textId="3EE9C229" w:rsidR="00866582" w:rsidRPr="00FE444A" w:rsidRDefault="00866582" w:rsidP="008E16B2">
      <w:pPr>
        <w:pStyle w:val="NormalWeb"/>
        <w:spacing w:before="120" w:beforeAutospacing="0" w:after="120" w:afterAutospacing="0"/>
        <w:ind w:left="270"/>
        <w:rPr>
          <w:sz w:val="20"/>
          <w:szCs w:val="20"/>
        </w:rPr>
      </w:pPr>
      <w:r w:rsidRPr="00570CC9">
        <w:rPr>
          <w:b/>
          <w:sz w:val="20"/>
          <w:szCs w:val="20"/>
        </w:rPr>
        <w:t>PRO:</w:t>
      </w:r>
      <w:r w:rsidRPr="00FE444A">
        <w:rPr>
          <w:sz w:val="20"/>
          <w:szCs w:val="20"/>
        </w:rPr>
        <w:t xml:space="preserve"> Intermittent </w:t>
      </w:r>
      <w:r w:rsidR="00BA23A0">
        <w:rPr>
          <w:sz w:val="20"/>
          <w:szCs w:val="20"/>
        </w:rPr>
        <w:t>d</w:t>
      </w:r>
      <w:r w:rsidRPr="00FE444A">
        <w:rPr>
          <w:sz w:val="20"/>
          <w:szCs w:val="20"/>
        </w:rPr>
        <w:t xml:space="preserve">rainage </w:t>
      </w:r>
      <w:r w:rsidR="00BA23A0">
        <w:rPr>
          <w:sz w:val="20"/>
          <w:szCs w:val="20"/>
        </w:rPr>
        <w:t>versus</w:t>
      </w:r>
      <w:r w:rsidRPr="00FE444A">
        <w:rPr>
          <w:sz w:val="20"/>
          <w:szCs w:val="20"/>
        </w:rPr>
        <w:t xml:space="preserve"> </w:t>
      </w:r>
      <w:r w:rsidR="00501ABC" w:rsidRPr="00FE444A">
        <w:rPr>
          <w:sz w:val="20"/>
          <w:szCs w:val="20"/>
        </w:rPr>
        <w:t>S-</w:t>
      </w:r>
      <w:r w:rsidRPr="00FE444A">
        <w:rPr>
          <w:sz w:val="20"/>
          <w:szCs w:val="20"/>
        </w:rPr>
        <w:t>ETT – Study focused on 150 patients expected to be mechanical ventilated more than 72 hours in the general intensive care unit. VAP was seen in three patients (4%) receiving suction secretion drainage and in 12 patients (16%) in the control group (</w:t>
      </w:r>
      <w:r w:rsidR="00501ABC" w:rsidRPr="00FE444A">
        <w:rPr>
          <w:sz w:val="20"/>
          <w:szCs w:val="20"/>
        </w:rPr>
        <w:t>RR</w:t>
      </w:r>
      <w:r w:rsidRPr="00FE444A">
        <w:rPr>
          <w:sz w:val="20"/>
          <w:szCs w:val="20"/>
        </w:rPr>
        <w:t xml:space="preserve">, 0.22; 95% </w:t>
      </w:r>
      <w:r w:rsidR="00501ABC" w:rsidRPr="00FE444A">
        <w:rPr>
          <w:sz w:val="20"/>
          <w:szCs w:val="20"/>
        </w:rPr>
        <w:t>CI</w:t>
      </w:r>
      <w:r w:rsidRPr="00FE444A">
        <w:rPr>
          <w:sz w:val="20"/>
          <w:szCs w:val="20"/>
        </w:rPr>
        <w:t>, 0.06 to 0.81; p=0.014). Intermittent subglottic secretion drainage reduces the incidence of VAP in patients receiving mechanical ventilation.</w:t>
      </w:r>
    </w:p>
    <w:p w14:paraId="30750B42" w14:textId="0AA29C3E" w:rsidR="00437A97"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Shorr AF, O'Malley PG. Continuous subglottic suctioning for the prevention of </w:t>
      </w:r>
      <w:r w:rsidR="008E16B2">
        <w:rPr>
          <w:sz w:val="20"/>
          <w:szCs w:val="20"/>
        </w:rPr>
        <w:t>ventilator-associated pneumonia</w:t>
      </w:r>
      <w:r w:rsidRPr="00FE444A">
        <w:rPr>
          <w:sz w:val="20"/>
          <w:szCs w:val="20"/>
        </w:rPr>
        <w:t xml:space="preserve">: Potential economic implications. </w:t>
      </w:r>
      <w:r w:rsidRPr="00D24661">
        <w:rPr>
          <w:iCs/>
          <w:sz w:val="20"/>
          <w:szCs w:val="20"/>
        </w:rPr>
        <w:t>Chest</w:t>
      </w:r>
      <w:r w:rsidRPr="00D24661">
        <w:rPr>
          <w:sz w:val="20"/>
          <w:szCs w:val="20"/>
        </w:rPr>
        <w:t xml:space="preserve">. </w:t>
      </w:r>
      <w:r w:rsidRPr="00FE444A">
        <w:rPr>
          <w:sz w:val="20"/>
          <w:szCs w:val="20"/>
        </w:rPr>
        <w:t>2001</w:t>
      </w:r>
      <w:r w:rsidR="00D24661">
        <w:rPr>
          <w:sz w:val="20"/>
          <w:szCs w:val="20"/>
        </w:rPr>
        <w:t xml:space="preserve"> Jan;119(1):228-</w:t>
      </w:r>
      <w:r w:rsidRPr="00FE444A">
        <w:rPr>
          <w:sz w:val="20"/>
          <w:szCs w:val="20"/>
        </w:rPr>
        <w:t>35.</w:t>
      </w:r>
      <w:r w:rsidR="00D24661">
        <w:rPr>
          <w:sz w:val="20"/>
          <w:szCs w:val="20"/>
        </w:rPr>
        <w:t xml:space="preserve"> PMID: 11157609.</w:t>
      </w:r>
    </w:p>
    <w:p w14:paraId="1B50BED5" w14:textId="5FBA5693" w:rsidR="00D24661" w:rsidRPr="00FE444A" w:rsidRDefault="00D24661" w:rsidP="00D24661">
      <w:pPr>
        <w:pStyle w:val="NormalWeb"/>
        <w:spacing w:before="120" w:beforeAutospacing="0" w:after="120" w:afterAutospacing="0"/>
        <w:ind w:left="270"/>
        <w:rPr>
          <w:sz w:val="20"/>
          <w:szCs w:val="20"/>
        </w:rPr>
      </w:pPr>
      <w:r w:rsidRPr="00D24661">
        <w:rPr>
          <w:b/>
          <w:sz w:val="20"/>
          <w:szCs w:val="20"/>
        </w:rPr>
        <w:t>PRO</w:t>
      </w:r>
      <w:r>
        <w:rPr>
          <w:sz w:val="20"/>
          <w:szCs w:val="20"/>
        </w:rPr>
        <w:t xml:space="preserve">: The marginal cost-effectiveness of subglottic </w:t>
      </w:r>
      <w:r w:rsidR="00791D72">
        <w:rPr>
          <w:sz w:val="20"/>
          <w:szCs w:val="20"/>
        </w:rPr>
        <w:t xml:space="preserve">suctioning </w:t>
      </w:r>
      <w:r>
        <w:rPr>
          <w:sz w:val="20"/>
          <w:szCs w:val="20"/>
        </w:rPr>
        <w:t xml:space="preserve">endotracheal tubes </w:t>
      </w:r>
      <w:r w:rsidR="00791D72">
        <w:rPr>
          <w:sz w:val="20"/>
          <w:szCs w:val="20"/>
        </w:rPr>
        <w:t xml:space="preserve">(SSD-ETT) </w:t>
      </w:r>
      <w:r>
        <w:rPr>
          <w:sz w:val="20"/>
          <w:szCs w:val="20"/>
        </w:rPr>
        <w:t>was calculated as the savings resulting from cases of VAP averted minus the additional costs of the sub-glottic endotracheal tubes, and expressed as cost (or savings)</w:t>
      </w:r>
      <w:r w:rsidR="000206DC">
        <w:rPr>
          <w:sz w:val="20"/>
          <w:szCs w:val="20"/>
        </w:rPr>
        <w:t xml:space="preserve"> per episode of VAP prevented. Sensitivity analysis of the impact of the major clinical inputs on the cost-effectiveness was performed. The base case assumed that the incidence of VAP in patients requiring </w:t>
      </w:r>
      <w:r w:rsidR="00541181">
        <w:rPr>
          <w:sz w:val="20"/>
          <w:szCs w:val="20"/>
        </w:rPr>
        <w:t>more than</w:t>
      </w:r>
      <w:r w:rsidR="000206DC">
        <w:rPr>
          <w:sz w:val="20"/>
          <w:szCs w:val="20"/>
        </w:rPr>
        <w:t xml:space="preserve"> 72 hours of mechanical ventilation was 25</w:t>
      </w:r>
      <w:r w:rsidR="00541181">
        <w:rPr>
          <w:sz w:val="20"/>
          <w:szCs w:val="20"/>
        </w:rPr>
        <w:t xml:space="preserve"> percent</w:t>
      </w:r>
      <w:r w:rsidR="000206DC">
        <w:rPr>
          <w:sz w:val="20"/>
          <w:szCs w:val="20"/>
        </w:rPr>
        <w:t xml:space="preserve">, that </w:t>
      </w:r>
      <w:r w:rsidR="00791D72">
        <w:rPr>
          <w:sz w:val="20"/>
          <w:szCs w:val="20"/>
        </w:rPr>
        <w:t>SSD-ETT</w:t>
      </w:r>
      <w:r w:rsidR="000206DC">
        <w:rPr>
          <w:sz w:val="20"/>
          <w:szCs w:val="20"/>
        </w:rPr>
        <w:t xml:space="preserve"> had no impact on patients requiring mechanical ventilation for </w:t>
      </w:r>
      <w:r w:rsidR="00541181">
        <w:rPr>
          <w:sz w:val="20"/>
          <w:szCs w:val="20"/>
        </w:rPr>
        <w:t>less than</w:t>
      </w:r>
      <w:r w:rsidR="000206DC">
        <w:rPr>
          <w:sz w:val="20"/>
          <w:szCs w:val="20"/>
        </w:rPr>
        <w:t xml:space="preserve"> 72 hours, and that </w:t>
      </w:r>
      <w:r w:rsidR="00791D72">
        <w:rPr>
          <w:sz w:val="20"/>
          <w:szCs w:val="20"/>
        </w:rPr>
        <w:t>SSD-ETT</w:t>
      </w:r>
      <w:r w:rsidR="000206DC">
        <w:rPr>
          <w:sz w:val="20"/>
          <w:szCs w:val="20"/>
        </w:rPr>
        <w:t xml:space="preserve"> resulted in a relative risk reduction of VAP of 30</w:t>
      </w:r>
      <w:r w:rsidR="00541181">
        <w:rPr>
          <w:sz w:val="20"/>
          <w:szCs w:val="20"/>
        </w:rPr>
        <w:t>percent</w:t>
      </w:r>
      <w:r w:rsidR="000206DC">
        <w:rPr>
          <w:sz w:val="20"/>
          <w:szCs w:val="20"/>
        </w:rPr>
        <w:t xml:space="preserve">. Despite the higher costs of </w:t>
      </w:r>
      <w:r w:rsidR="00791D72">
        <w:rPr>
          <w:sz w:val="20"/>
          <w:szCs w:val="20"/>
        </w:rPr>
        <w:t>SSD-ETT</w:t>
      </w:r>
      <w:r w:rsidR="000206DC">
        <w:rPr>
          <w:sz w:val="20"/>
          <w:szCs w:val="20"/>
        </w:rPr>
        <w:t>, this tactic yielded a net savings of $4,992 per case of VAP prevented. For sensitivity analysis, model inputs were adjusted by 50</w:t>
      </w:r>
      <w:r w:rsidR="00541181">
        <w:rPr>
          <w:sz w:val="20"/>
          <w:szCs w:val="20"/>
        </w:rPr>
        <w:t xml:space="preserve"> percent</w:t>
      </w:r>
      <w:r w:rsidR="000206DC">
        <w:rPr>
          <w:sz w:val="20"/>
          <w:szCs w:val="20"/>
        </w:rPr>
        <w:t xml:space="preserve"> individually and then simultaneously. This demonstrated the model to be only moderately sensitive to the calculated cost of VAP. With the relative risk reduction at 50</w:t>
      </w:r>
      <w:r w:rsidR="00B12500">
        <w:rPr>
          <w:sz w:val="20"/>
          <w:szCs w:val="20"/>
        </w:rPr>
        <w:t xml:space="preserve"> </w:t>
      </w:r>
      <w:r w:rsidR="00541181">
        <w:rPr>
          <w:sz w:val="20"/>
          <w:szCs w:val="20"/>
        </w:rPr>
        <w:t>percent</w:t>
      </w:r>
      <w:r w:rsidR="000206DC">
        <w:rPr>
          <w:sz w:val="20"/>
          <w:szCs w:val="20"/>
        </w:rPr>
        <w:t xml:space="preserve"> of the base-case estimate, </w:t>
      </w:r>
      <w:r w:rsidR="00791D72">
        <w:rPr>
          <w:sz w:val="20"/>
          <w:szCs w:val="20"/>
        </w:rPr>
        <w:t>SSD-ETT</w:t>
      </w:r>
      <w:r w:rsidR="000206DC">
        <w:rPr>
          <w:sz w:val="20"/>
          <w:szCs w:val="20"/>
        </w:rPr>
        <w:t xml:space="preserve"> resulted in $1,924 saved per case of VAP prevented. When all variables were skewed against subglottic endotracheal tubes, total outlays were trivial (approximately $14 per patient in the cohort).</w:t>
      </w:r>
    </w:p>
    <w:p w14:paraId="153DBDCB" w14:textId="5E91E339"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Bo H. </w:t>
      </w:r>
      <w:r w:rsidR="00D24661" w:rsidRPr="00D24661">
        <w:rPr>
          <w:bCs/>
          <w:sz w:val="20"/>
          <w:szCs w:val="20"/>
        </w:rPr>
        <w:t>I</w:t>
      </w:r>
      <w:r w:rsidRPr="00D24661">
        <w:rPr>
          <w:bCs/>
          <w:sz w:val="20"/>
          <w:szCs w:val="20"/>
        </w:rPr>
        <w:t>nfluence of the subglottic secretion drainage on the morbidity of ventilator associated pneumonia in mechanically ventilated patients.</w:t>
      </w:r>
      <w:r w:rsidRPr="00FE444A">
        <w:rPr>
          <w:b/>
          <w:bCs/>
          <w:sz w:val="20"/>
          <w:szCs w:val="20"/>
        </w:rPr>
        <w:t xml:space="preserve"> </w:t>
      </w:r>
      <w:r w:rsidRPr="00D24661">
        <w:rPr>
          <w:iCs/>
          <w:sz w:val="20"/>
          <w:szCs w:val="20"/>
        </w:rPr>
        <w:t>Chinese J Tuberc Respir Dis</w:t>
      </w:r>
      <w:r w:rsidRPr="00D24661">
        <w:rPr>
          <w:sz w:val="20"/>
          <w:szCs w:val="20"/>
        </w:rPr>
        <w:t>.</w:t>
      </w:r>
      <w:r w:rsidRPr="00FE444A">
        <w:rPr>
          <w:sz w:val="20"/>
          <w:szCs w:val="20"/>
        </w:rPr>
        <w:t xml:space="preserve"> 2000</w:t>
      </w:r>
      <w:r w:rsidR="00D24661">
        <w:rPr>
          <w:sz w:val="20"/>
          <w:szCs w:val="20"/>
        </w:rPr>
        <w:t xml:space="preserve"> Aug;23(8</w:t>
      </w:r>
      <w:r w:rsidRPr="00FE444A">
        <w:rPr>
          <w:sz w:val="20"/>
          <w:szCs w:val="20"/>
        </w:rPr>
        <w:t>):472-4.</w:t>
      </w:r>
      <w:r w:rsidR="00D24661">
        <w:rPr>
          <w:sz w:val="20"/>
          <w:szCs w:val="20"/>
        </w:rPr>
        <w:t xml:space="preserve"> PMID: 11778260.</w:t>
      </w:r>
    </w:p>
    <w:p w14:paraId="2483DAC9" w14:textId="7B76AC86" w:rsidR="00CC45FF" w:rsidRPr="00FE444A" w:rsidRDefault="00CC45FF" w:rsidP="008E16B2">
      <w:pPr>
        <w:pStyle w:val="NormalWeb"/>
        <w:spacing w:before="120" w:beforeAutospacing="0" w:after="120" w:afterAutospacing="0"/>
        <w:ind w:left="270"/>
        <w:rPr>
          <w:sz w:val="20"/>
          <w:szCs w:val="20"/>
        </w:rPr>
      </w:pPr>
      <w:r w:rsidRPr="00570CC9">
        <w:rPr>
          <w:b/>
          <w:sz w:val="20"/>
          <w:szCs w:val="20"/>
        </w:rPr>
        <w:t>PRO:</w:t>
      </w:r>
      <w:r w:rsidRPr="00FE444A">
        <w:rPr>
          <w:sz w:val="20"/>
          <w:szCs w:val="20"/>
        </w:rPr>
        <w:t xml:space="preserve"> Drainage </w:t>
      </w:r>
      <w:r w:rsidR="00BA23A0">
        <w:rPr>
          <w:sz w:val="20"/>
          <w:szCs w:val="20"/>
        </w:rPr>
        <w:t>v</w:t>
      </w:r>
      <w:r w:rsidR="00541181">
        <w:rPr>
          <w:sz w:val="20"/>
          <w:szCs w:val="20"/>
        </w:rPr>
        <w:t>ersus</w:t>
      </w:r>
      <w:r w:rsidRPr="00FE444A">
        <w:rPr>
          <w:sz w:val="20"/>
          <w:szCs w:val="20"/>
        </w:rPr>
        <w:t xml:space="preserve"> </w:t>
      </w:r>
      <w:r w:rsidR="00BA23A0">
        <w:rPr>
          <w:sz w:val="20"/>
          <w:szCs w:val="20"/>
        </w:rPr>
        <w:t>c</w:t>
      </w:r>
      <w:r w:rsidRPr="00FE444A">
        <w:rPr>
          <w:sz w:val="20"/>
          <w:szCs w:val="20"/>
        </w:rPr>
        <w:t>ontrol – Study focused on 68 patients who required intubation in the surgical intensive care unit. The morbidity of VAP in the drainage group (n=35) (23%) was lower than that in the control group (n=33) (45%) (</w:t>
      </w:r>
      <w:r w:rsidR="00B6314D" w:rsidRPr="00FE444A">
        <w:rPr>
          <w:sz w:val="20"/>
          <w:szCs w:val="20"/>
        </w:rPr>
        <w:t>p</w:t>
      </w:r>
      <w:r w:rsidRPr="00FE444A">
        <w:rPr>
          <w:sz w:val="20"/>
          <w:szCs w:val="20"/>
        </w:rPr>
        <w:t>&lt;0.05). The difference was due to the significant reduction of VAP caused by gram-positive cocci and Haemophilus influenzae organisms. However, no difference was observed in the incidence of VAP caused by nonfermenting bacteria. After intubation, the onset of VAP was delayed in drainage group (14±8 day) as compared with the control group (6±4 day) (</w:t>
      </w:r>
      <w:r w:rsidR="00B6314D" w:rsidRPr="00FE444A">
        <w:rPr>
          <w:sz w:val="20"/>
          <w:szCs w:val="20"/>
        </w:rPr>
        <w:t>p</w:t>
      </w:r>
      <w:r w:rsidRPr="00FE444A">
        <w:rPr>
          <w:sz w:val="20"/>
          <w:szCs w:val="20"/>
        </w:rPr>
        <w:t>&lt;0.05). The same organisms were isolated among 61 percent (14/23) of patients with VAP as what were previously isolated from the subglottic secretions. The presence of subglottic secretion may be an origin of the pathogenetic organisms of VAP. The morbidity of VAP in mechanically ventilated patients can be reduced by drainage, especially for VAP caused by gram-positive cocci and Haemophilus influenzae organisms. Subglottic secretion drainage may be a simple and effective method for prevention of VAP.</w:t>
      </w:r>
    </w:p>
    <w:p w14:paraId="7CA6CDEA" w14:textId="37E04182"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lastRenderedPageBreak/>
        <w:t xml:space="preserve">Kollef MH, Skubas NJ, Sundt TM. A randomized clinical trial of continuous aspiration of subglottic secretions in cardiac surgery patients. </w:t>
      </w:r>
      <w:r w:rsidRPr="00080BB7">
        <w:rPr>
          <w:iCs/>
          <w:sz w:val="20"/>
          <w:szCs w:val="20"/>
        </w:rPr>
        <w:t>Chest</w:t>
      </w:r>
      <w:r w:rsidRPr="00080BB7">
        <w:rPr>
          <w:sz w:val="20"/>
          <w:szCs w:val="20"/>
        </w:rPr>
        <w:t>.</w:t>
      </w:r>
      <w:r w:rsidRPr="00FE444A">
        <w:rPr>
          <w:sz w:val="20"/>
          <w:szCs w:val="20"/>
        </w:rPr>
        <w:t xml:space="preserve"> 1999</w:t>
      </w:r>
      <w:r w:rsidR="00080BB7">
        <w:rPr>
          <w:sz w:val="20"/>
          <w:szCs w:val="20"/>
        </w:rPr>
        <w:t xml:space="preserve"> Nov;116(5):1339-</w:t>
      </w:r>
      <w:r w:rsidRPr="00FE444A">
        <w:rPr>
          <w:sz w:val="20"/>
          <w:szCs w:val="20"/>
        </w:rPr>
        <w:t>46.</w:t>
      </w:r>
      <w:r w:rsidR="00080BB7">
        <w:rPr>
          <w:sz w:val="20"/>
          <w:szCs w:val="20"/>
        </w:rPr>
        <w:t xml:space="preserve"> PMID: 1559097.</w:t>
      </w:r>
    </w:p>
    <w:p w14:paraId="2DA5FAC2" w14:textId="3ADCC048" w:rsidR="00CC45FF" w:rsidRPr="00FE444A" w:rsidRDefault="00CC45FF" w:rsidP="008E16B2">
      <w:pPr>
        <w:pStyle w:val="NormalWeb"/>
        <w:spacing w:before="120" w:beforeAutospacing="0" w:after="120" w:afterAutospacing="0"/>
        <w:ind w:left="270"/>
        <w:rPr>
          <w:sz w:val="20"/>
          <w:szCs w:val="20"/>
        </w:rPr>
      </w:pPr>
      <w:r w:rsidRPr="00570CC9">
        <w:rPr>
          <w:b/>
          <w:sz w:val="20"/>
          <w:szCs w:val="20"/>
        </w:rPr>
        <w:t>PRO:</w:t>
      </w:r>
      <w:r w:rsidRPr="00FE444A">
        <w:rPr>
          <w:sz w:val="20"/>
          <w:szCs w:val="20"/>
        </w:rPr>
        <w:t xml:space="preserve"> Continuous </w:t>
      </w:r>
      <w:r w:rsidR="00BA23A0">
        <w:rPr>
          <w:sz w:val="20"/>
          <w:szCs w:val="20"/>
        </w:rPr>
        <w:t>v</w:t>
      </w:r>
      <w:r w:rsidR="00541181">
        <w:rPr>
          <w:sz w:val="20"/>
          <w:szCs w:val="20"/>
        </w:rPr>
        <w:t>ersus</w:t>
      </w:r>
      <w:r w:rsidRPr="00FE444A">
        <w:rPr>
          <w:sz w:val="20"/>
          <w:szCs w:val="20"/>
        </w:rPr>
        <w:t xml:space="preserve"> </w:t>
      </w:r>
      <w:r w:rsidR="00BA23A0">
        <w:rPr>
          <w:sz w:val="20"/>
          <w:szCs w:val="20"/>
        </w:rPr>
        <w:t>w</w:t>
      </w:r>
      <w:r w:rsidRPr="00FE444A">
        <w:rPr>
          <w:sz w:val="20"/>
          <w:szCs w:val="20"/>
        </w:rPr>
        <w:t xml:space="preserve">ithout </w:t>
      </w:r>
      <w:r w:rsidR="00BA23A0">
        <w:rPr>
          <w:sz w:val="20"/>
          <w:szCs w:val="20"/>
        </w:rPr>
        <w:t>s</w:t>
      </w:r>
      <w:r w:rsidRPr="00FE444A">
        <w:rPr>
          <w:sz w:val="20"/>
          <w:szCs w:val="20"/>
        </w:rPr>
        <w:t>uctioning – Study focused on 371 cardiac surgery patient</w:t>
      </w:r>
      <w:r w:rsidR="00791D72">
        <w:rPr>
          <w:sz w:val="20"/>
          <w:szCs w:val="20"/>
        </w:rPr>
        <w:t>s</w:t>
      </w:r>
      <w:r w:rsidRPr="00FE444A">
        <w:rPr>
          <w:sz w:val="20"/>
          <w:szCs w:val="20"/>
        </w:rPr>
        <w:t xml:space="preserve"> requiring mechanical ventilation in the cardiothoracic intensive care unit. VAP was seen in eight patients (5.0%) receiving continues suctioning and in 15 patients (8.2%) receiving routine postoperative medical care without suctioning (relative risk, 0.61%; 95% confidence interval, 0.27 to 1.40; p=0.238). Episodes of VAP occurred statistically later among patients receiving continuous suctioning ([mean ± standard deviation] 5.6±2.3 days) than among patients who did not receive suctioning (2.9±1.2 days); (p=0.006). No statistically significant differences for hospital mortality, overall duration of mechanical ventilation, lengths of stay in the hospital or cardiothoracic ICU, or acquired organ system derangements were found between the two treatment groups. The occurrence of VAP can be significantly delayed among patients undergoing cardiac surgery using this simple-to-apply technique of continuous suctioning.</w:t>
      </w:r>
    </w:p>
    <w:p w14:paraId="26367A8D" w14:textId="4B15CA94"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Bouza E, Pérez M, Muñoz P, </w:t>
      </w:r>
      <w:r w:rsidR="003D318C">
        <w:rPr>
          <w:sz w:val="20"/>
          <w:szCs w:val="20"/>
        </w:rPr>
        <w:t>et al.</w:t>
      </w:r>
      <w:r w:rsidRPr="00FE444A">
        <w:rPr>
          <w:sz w:val="20"/>
          <w:szCs w:val="20"/>
        </w:rPr>
        <w:t xml:space="preserve"> </w:t>
      </w:r>
      <w:r w:rsidRPr="003D318C">
        <w:rPr>
          <w:bCs/>
          <w:sz w:val="20"/>
          <w:szCs w:val="20"/>
        </w:rPr>
        <w:t>Continuous aspiration of subglottic secretions in the prevention of ventilator-associated pneumonia in the postoperative period of major heart surgery.</w:t>
      </w:r>
      <w:r w:rsidRPr="00FE444A">
        <w:rPr>
          <w:sz w:val="20"/>
          <w:szCs w:val="20"/>
        </w:rPr>
        <w:t xml:space="preserve"> </w:t>
      </w:r>
      <w:r w:rsidRPr="003D318C">
        <w:rPr>
          <w:iCs/>
          <w:sz w:val="20"/>
          <w:szCs w:val="20"/>
        </w:rPr>
        <w:t>Chest</w:t>
      </w:r>
      <w:r w:rsidRPr="003D318C">
        <w:rPr>
          <w:sz w:val="20"/>
          <w:szCs w:val="20"/>
        </w:rPr>
        <w:t xml:space="preserve">. </w:t>
      </w:r>
      <w:r w:rsidRPr="00FE444A">
        <w:rPr>
          <w:sz w:val="20"/>
          <w:szCs w:val="20"/>
        </w:rPr>
        <w:t>2008</w:t>
      </w:r>
      <w:r w:rsidR="003D318C">
        <w:rPr>
          <w:sz w:val="20"/>
          <w:szCs w:val="20"/>
        </w:rPr>
        <w:t xml:space="preserve"> Nov</w:t>
      </w:r>
      <w:r w:rsidRPr="00FE444A">
        <w:rPr>
          <w:sz w:val="20"/>
          <w:szCs w:val="20"/>
        </w:rPr>
        <w:t>;134(5):938-46.</w:t>
      </w:r>
      <w:r w:rsidR="003D318C">
        <w:rPr>
          <w:sz w:val="20"/>
          <w:szCs w:val="20"/>
        </w:rPr>
        <w:t xml:space="preserve"> PMID: 18641114.</w:t>
      </w:r>
    </w:p>
    <w:p w14:paraId="4156AA09" w14:textId="409E865D" w:rsidR="00CC45FF" w:rsidRPr="00FE444A" w:rsidRDefault="00CC45FF" w:rsidP="008E16B2">
      <w:pPr>
        <w:pStyle w:val="NormalWeb"/>
        <w:spacing w:before="120" w:after="120"/>
        <w:ind w:left="270"/>
        <w:rPr>
          <w:sz w:val="20"/>
          <w:szCs w:val="20"/>
        </w:rPr>
      </w:pPr>
      <w:r w:rsidRPr="00570CC9">
        <w:rPr>
          <w:b/>
          <w:sz w:val="20"/>
          <w:szCs w:val="20"/>
        </w:rPr>
        <w:t>PRO:</w:t>
      </w:r>
      <w:r w:rsidRPr="00FE444A">
        <w:rPr>
          <w:sz w:val="20"/>
          <w:szCs w:val="20"/>
        </w:rPr>
        <w:t xml:space="preserve"> Randomized controlled trial where the intervention arm received continuous aspiration of subglottic secretions (CASS) (n=359) and the control arm received conventional therapy (n=331). Study participants were undergoing major heart surgery and were recruited from a general reference hospital. The results for CASS patients and control subjects (per protocol and intention-to-treat analysis) were as follows: VAP incidence, 3.6</w:t>
      </w:r>
      <w:r w:rsidR="00541181">
        <w:rPr>
          <w:sz w:val="20"/>
          <w:szCs w:val="20"/>
        </w:rPr>
        <w:t xml:space="preserve"> percent</w:t>
      </w:r>
      <w:r w:rsidRPr="00FE444A">
        <w:rPr>
          <w:sz w:val="20"/>
          <w:szCs w:val="20"/>
        </w:rPr>
        <w:t xml:space="preserve"> versus 5.3</w:t>
      </w:r>
      <w:r w:rsidR="00541181">
        <w:rPr>
          <w:sz w:val="20"/>
          <w:szCs w:val="20"/>
        </w:rPr>
        <w:t xml:space="preserve"> percent</w:t>
      </w:r>
      <w:r w:rsidRPr="00FE444A">
        <w:rPr>
          <w:sz w:val="20"/>
          <w:szCs w:val="20"/>
        </w:rPr>
        <w:t xml:space="preserve"> (p=0.2) and 3.8</w:t>
      </w:r>
      <w:r w:rsidR="00541181">
        <w:rPr>
          <w:sz w:val="20"/>
          <w:szCs w:val="20"/>
        </w:rPr>
        <w:t xml:space="preserve"> percent</w:t>
      </w:r>
      <w:r w:rsidRPr="00FE444A">
        <w:rPr>
          <w:sz w:val="20"/>
          <w:szCs w:val="20"/>
        </w:rPr>
        <w:t xml:space="preserve"> versus 5.1</w:t>
      </w:r>
      <w:r w:rsidR="00541181">
        <w:rPr>
          <w:sz w:val="20"/>
          <w:szCs w:val="20"/>
        </w:rPr>
        <w:t xml:space="preserve"> percent</w:t>
      </w:r>
      <w:r w:rsidRPr="00FE444A">
        <w:rPr>
          <w:sz w:val="20"/>
          <w:szCs w:val="20"/>
        </w:rPr>
        <w:t xml:space="preserve">, respectively; incidence density, 17.9 versus 27.6 episodes per 1,000 days of mechanical ventilation (MV) [p=0.18] and 18.9 versus 28.7 episodes per 1,000 days of MV, respectively; hospital antibiotic use in daily defined doses (DDDs), 1,213 versus 1,932 (p&lt;0.001) and 1,392 versus 1,932, respectively (p&lt;0.001). </w:t>
      </w:r>
    </w:p>
    <w:p w14:paraId="0CE99174" w14:textId="30498E77" w:rsidR="00CC45FF" w:rsidRPr="00FE444A" w:rsidRDefault="00CC45FF" w:rsidP="008E16B2">
      <w:pPr>
        <w:pStyle w:val="NormalWeb"/>
        <w:spacing w:before="120" w:beforeAutospacing="0" w:after="120" w:afterAutospacing="0"/>
        <w:ind w:left="270"/>
        <w:rPr>
          <w:sz w:val="20"/>
          <w:szCs w:val="20"/>
        </w:rPr>
      </w:pPr>
      <w:r w:rsidRPr="00FE444A">
        <w:rPr>
          <w:sz w:val="20"/>
          <w:szCs w:val="20"/>
        </w:rPr>
        <w:t>In patients who had received mechanical ventilation for &gt;48 hours, the comparisons of CASS patients and control subjects were as follows: VAP incidence, 26.7% versus 47.5% (p=0.04), respectively; incidence density, 31.5 versus 51.6 episodes per 1,000 days of MV, respectively (p=0.03); median length of intensive care unit stay, 7 versus 16.5 days (p=0.01), respectively; hospital antibiotic use, 1,206 versus 1,877 DDD</w:t>
      </w:r>
      <w:r w:rsidR="00501ABC" w:rsidRPr="00FE444A">
        <w:rPr>
          <w:sz w:val="20"/>
          <w:szCs w:val="20"/>
        </w:rPr>
        <w:t>s</w:t>
      </w:r>
      <w:r w:rsidRPr="00FE444A">
        <w:rPr>
          <w:sz w:val="20"/>
          <w:szCs w:val="20"/>
        </w:rPr>
        <w:t xml:space="preserve"> (p&lt;0.001), respectively. CASS was the only significant protective factor (relative risk, 0.40; 95% confidence interval, 0.16 to 0.99; p=0.04). CASS is a safe procedure that reduces the use of antimicrobial agents in the overall population and the incidence of VAP in patients who are at risk. CASS use should be encouraged, at least in patients undergoing major heart surgery.</w:t>
      </w:r>
    </w:p>
    <w:p w14:paraId="13084679" w14:textId="48F7BE78"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Valles J, Artigas A, Rello J, et al. Continuous aspiration of subglottic secretions in preventing ventilator-associated pneumonia. </w:t>
      </w:r>
      <w:r w:rsidRPr="003D318C">
        <w:rPr>
          <w:iCs/>
          <w:sz w:val="20"/>
          <w:szCs w:val="20"/>
        </w:rPr>
        <w:t>Annals of Internal Medicine</w:t>
      </w:r>
      <w:r w:rsidR="003D318C" w:rsidRPr="003D318C">
        <w:rPr>
          <w:sz w:val="20"/>
          <w:szCs w:val="20"/>
        </w:rPr>
        <w:t>.</w:t>
      </w:r>
      <w:r w:rsidR="003D318C">
        <w:rPr>
          <w:sz w:val="20"/>
          <w:szCs w:val="20"/>
        </w:rPr>
        <w:t xml:space="preserve"> 1995 Feb(122):179–</w:t>
      </w:r>
      <w:r w:rsidRPr="00FE444A">
        <w:rPr>
          <w:sz w:val="20"/>
          <w:szCs w:val="20"/>
        </w:rPr>
        <w:t>86.</w:t>
      </w:r>
      <w:r w:rsidR="003D318C">
        <w:rPr>
          <w:sz w:val="20"/>
          <w:szCs w:val="20"/>
        </w:rPr>
        <w:t xml:space="preserve"> PMID: 7810935.</w:t>
      </w:r>
    </w:p>
    <w:p w14:paraId="26AA03C1" w14:textId="0A983920" w:rsidR="00CC45FF" w:rsidRPr="00FE444A" w:rsidRDefault="00CC45FF" w:rsidP="008E16B2">
      <w:pPr>
        <w:pStyle w:val="NormalWeb"/>
        <w:spacing w:before="120" w:beforeAutospacing="0" w:after="120" w:afterAutospacing="0"/>
        <w:ind w:left="270"/>
        <w:rPr>
          <w:sz w:val="20"/>
          <w:szCs w:val="20"/>
        </w:rPr>
      </w:pPr>
      <w:r w:rsidRPr="00570CC9">
        <w:rPr>
          <w:b/>
          <w:sz w:val="20"/>
          <w:szCs w:val="20"/>
        </w:rPr>
        <w:t>PRO:</w:t>
      </w:r>
      <w:r w:rsidRPr="00FE444A">
        <w:rPr>
          <w:sz w:val="20"/>
          <w:szCs w:val="20"/>
        </w:rPr>
        <w:t xml:space="preserve"> Continuous </w:t>
      </w:r>
      <w:r w:rsidR="00BA23A0">
        <w:rPr>
          <w:sz w:val="20"/>
          <w:szCs w:val="20"/>
        </w:rPr>
        <w:t>v</w:t>
      </w:r>
      <w:r w:rsidR="00541181">
        <w:rPr>
          <w:sz w:val="20"/>
          <w:szCs w:val="20"/>
        </w:rPr>
        <w:t>ersus</w:t>
      </w:r>
      <w:r w:rsidRPr="00FE444A">
        <w:rPr>
          <w:sz w:val="20"/>
          <w:szCs w:val="20"/>
        </w:rPr>
        <w:t xml:space="preserve"> </w:t>
      </w:r>
      <w:r w:rsidR="00BA23A0">
        <w:rPr>
          <w:sz w:val="20"/>
          <w:szCs w:val="20"/>
        </w:rPr>
        <w:t>c</w:t>
      </w:r>
      <w:r w:rsidRPr="00FE444A">
        <w:rPr>
          <w:sz w:val="20"/>
          <w:szCs w:val="20"/>
        </w:rPr>
        <w:t xml:space="preserve">losed </w:t>
      </w:r>
      <w:r w:rsidR="00BA23A0">
        <w:rPr>
          <w:sz w:val="20"/>
          <w:szCs w:val="20"/>
        </w:rPr>
        <w:t>l</w:t>
      </w:r>
      <w:r w:rsidRPr="00FE444A">
        <w:rPr>
          <w:sz w:val="20"/>
          <w:szCs w:val="20"/>
        </w:rPr>
        <w:t xml:space="preserve">umen ETT – Study focused on 190 intensive care unit patients expected to be intubated for </w:t>
      </w:r>
      <w:r w:rsidR="00704ED3">
        <w:rPr>
          <w:sz w:val="20"/>
          <w:szCs w:val="20"/>
        </w:rPr>
        <w:t xml:space="preserve">more than </w:t>
      </w:r>
      <w:r w:rsidRPr="00FE444A">
        <w:rPr>
          <w:sz w:val="20"/>
          <w:szCs w:val="20"/>
        </w:rPr>
        <w:t xml:space="preserve">3 days. The incidence rate of ventilator-associated pneumonia was 19.9 episodes/1,000 ventilator days in the patients receiving continuous aspiration of subglottic secretions and 39.6 episodes/1,000 ventilator days in the control patients (closed lumen ETT) (relative risk, 1.98; 95% </w:t>
      </w:r>
      <w:r w:rsidR="00501ABC" w:rsidRPr="00FE444A">
        <w:rPr>
          <w:sz w:val="20"/>
          <w:szCs w:val="20"/>
        </w:rPr>
        <w:t>CI</w:t>
      </w:r>
      <w:r w:rsidRPr="00FE444A">
        <w:rPr>
          <w:sz w:val="20"/>
          <w:szCs w:val="20"/>
        </w:rPr>
        <w:t>, 1.03 to 3.82). Episodes of ventilator-associated pneumonia developed later in patients receiving continuous aspiration (12.0±7.1 days) than in the control patients (5.9±2.1 days) (</w:t>
      </w:r>
      <w:r w:rsidR="00501ABC" w:rsidRPr="00FE444A">
        <w:rPr>
          <w:sz w:val="20"/>
          <w:szCs w:val="20"/>
        </w:rPr>
        <w:t>p</w:t>
      </w:r>
      <w:r w:rsidRPr="00FE444A">
        <w:rPr>
          <w:sz w:val="20"/>
          <w:szCs w:val="20"/>
        </w:rPr>
        <w:t>&lt;0.001). This difference was due to a significant (p&lt;0.03) reduction in the number of gram-positive cocci and Haemophilus influenzae organisms in the patients receiving continuous aspiration.</w:t>
      </w:r>
    </w:p>
    <w:p w14:paraId="3F843BDE" w14:textId="5970D062"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Mahul P, Auboyer C, Jospe R, et al. Prevention of nosocomial pneumonia in intubated patients: Respective role of mechanical subglottic secretions drainage and stress ulcer prophylaxis. </w:t>
      </w:r>
      <w:r w:rsidR="003D318C">
        <w:rPr>
          <w:iCs/>
          <w:sz w:val="20"/>
          <w:szCs w:val="20"/>
        </w:rPr>
        <w:t>Intensive Care Medi</w:t>
      </w:r>
      <w:r w:rsidRPr="003D318C">
        <w:rPr>
          <w:iCs/>
          <w:sz w:val="20"/>
          <w:szCs w:val="20"/>
        </w:rPr>
        <w:t>cine</w:t>
      </w:r>
      <w:r w:rsidRPr="003D318C">
        <w:rPr>
          <w:sz w:val="20"/>
          <w:szCs w:val="20"/>
        </w:rPr>
        <w:t>.</w:t>
      </w:r>
      <w:r w:rsidR="003D318C">
        <w:rPr>
          <w:sz w:val="20"/>
          <w:szCs w:val="20"/>
        </w:rPr>
        <w:t xml:space="preserve"> 1992;18(1):20-</w:t>
      </w:r>
      <w:r w:rsidRPr="00FE444A">
        <w:rPr>
          <w:sz w:val="20"/>
          <w:szCs w:val="20"/>
        </w:rPr>
        <w:t>5.</w:t>
      </w:r>
      <w:r w:rsidR="003D318C">
        <w:rPr>
          <w:sz w:val="20"/>
          <w:szCs w:val="20"/>
        </w:rPr>
        <w:t xml:space="preserve"> PMID: 1578042.</w:t>
      </w:r>
    </w:p>
    <w:p w14:paraId="25F6CF7E" w14:textId="46BDE699" w:rsidR="00717F07" w:rsidRPr="00FE444A" w:rsidRDefault="00717F07" w:rsidP="008E16B2">
      <w:pPr>
        <w:pStyle w:val="NoSpacing"/>
        <w:ind w:left="270"/>
        <w:rPr>
          <w:sz w:val="20"/>
          <w:szCs w:val="20"/>
        </w:rPr>
      </w:pPr>
      <w:r w:rsidRPr="00570CC9">
        <w:rPr>
          <w:b/>
          <w:sz w:val="20"/>
          <w:szCs w:val="20"/>
        </w:rPr>
        <w:t>PRO:</w:t>
      </w:r>
      <w:r w:rsidRPr="00570CC9" w:rsidDel="00D37373">
        <w:rPr>
          <w:b/>
          <w:sz w:val="20"/>
          <w:szCs w:val="20"/>
        </w:rPr>
        <w:t xml:space="preserve"> </w:t>
      </w:r>
      <w:r w:rsidRPr="00FE444A">
        <w:rPr>
          <w:sz w:val="20"/>
          <w:szCs w:val="20"/>
        </w:rPr>
        <w:t xml:space="preserve">Drainage </w:t>
      </w:r>
      <w:r w:rsidR="00BA23A0">
        <w:rPr>
          <w:sz w:val="20"/>
          <w:szCs w:val="20"/>
        </w:rPr>
        <w:t>Versus</w:t>
      </w:r>
      <w:r w:rsidRPr="00FE444A">
        <w:rPr>
          <w:sz w:val="20"/>
          <w:szCs w:val="20"/>
        </w:rPr>
        <w:t xml:space="preserve"> </w:t>
      </w:r>
      <w:r w:rsidR="00BA23A0">
        <w:rPr>
          <w:sz w:val="20"/>
          <w:szCs w:val="20"/>
        </w:rPr>
        <w:t>s</w:t>
      </w:r>
      <w:r w:rsidRPr="00FE444A">
        <w:rPr>
          <w:sz w:val="20"/>
          <w:szCs w:val="20"/>
        </w:rPr>
        <w:t xml:space="preserve">ucralfate – Study focused on 145 patients who were mechanically ventilated for </w:t>
      </w:r>
      <w:r w:rsidR="00541181">
        <w:rPr>
          <w:sz w:val="20"/>
          <w:szCs w:val="20"/>
        </w:rPr>
        <w:t xml:space="preserve">more than </w:t>
      </w:r>
      <w:r w:rsidRPr="00FE444A">
        <w:rPr>
          <w:sz w:val="20"/>
          <w:szCs w:val="20"/>
        </w:rPr>
        <w:t>3 days.</w:t>
      </w:r>
      <w:r w:rsidR="00501ABC" w:rsidRPr="00FE444A" w:rsidDel="00501ABC">
        <w:rPr>
          <w:sz w:val="20"/>
          <w:szCs w:val="20"/>
        </w:rPr>
        <w:t xml:space="preserve"> </w:t>
      </w:r>
      <w:r w:rsidRPr="00FE444A">
        <w:rPr>
          <w:sz w:val="20"/>
          <w:szCs w:val="20"/>
        </w:rPr>
        <w:t xml:space="preserve">SSD treatment was associated with: (a) a lower incidence of nosocomial pneumonia (NP) (no-SSD: 29.1%, SSD: 13%); </w:t>
      </w:r>
    </w:p>
    <w:p w14:paraId="0882D823" w14:textId="77777777" w:rsidR="00717F07" w:rsidRPr="00FE444A" w:rsidRDefault="00717F07" w:rsidP="008E16B2">
      <w:pPr>
        <w:pStyle w:val="NoSpacing"/>
        <w:ind w:left="270"/>
        <w:rPr>
          <w:sz w:val="20"/>
          <w:szCs w:val="20"/>
        </w:rPr>
      </w:pPr>
      <w:r w:rsidRPr="00FE444A">
        <w:rPr>
          <w:sz w:val="20"/>
          <w:szCs w:val="20"/>
        </w:rPr>
        <w:lastRenderedPageBreak/>
        <w:t xml:space="preserve">(b) a prolonged time of onset of NP (no-SSD: 8.3±5 days, SSD: 16.2±11 days); and </w:t>
      </w:r>
    </w:p>
    <w:p w14:paraId="1EAA7582" w14:textId="77777777" w:rsidR="00717F07" w:rsidRPr="00FE444A" w:rsidRDefault="00717F07" w:rsidP="008E16B2">
      <w:pPr>
        <w:pStyle w:val="NoSpacing"/>
        <w:ind w:left="270"/>
        <w:rPr>
          <w:sz w:val="20"/>
          <w:szCs w:val="20"/>
        </w:rPr>
      </w:pPr>
      <w:r w:rsidRPr="00FE444A">
        <w:rPr>
          <w:sz w:val="20"/>
          <w:szCs w:val="20"/>
        </w:rPr>
        <w:t xml:space="preserve">(c) a decrease in the colonization rate from admission to endpoint day in tracheal aspirates (no-SSD:+21.3%, SSD:+6.6%) and in subglottic secretions (no-SSD:+33.4%, SSD:+2.1%). </w:t>
      </w:r>
    </w:p>
    <w:p w14:paraId="0CCC37EA" w14:textId="7B96B39D" w:rsidR="00CC45FF" w:rsidRPr="00FE444A" w:rsidRDefault="00717F07" w:rsidP="008E16B2">
      <w:pPr>
        <w:pStyle w:val="NoSpacing"/>
        <w:ind w:left="270"/>
        <w:rPr>
          <w:sz w:val="20"/>
          <w:szCs w:val="20"/>
        </w:rPr>
      </w:pPr>
      <w:r w:rsidRPr="00FE444A">
        <w:rPr>
          <w:sz w:val="20"/>
          <w:szCs w:val="20"/>
        </w:rPr>
        <w:t xml:space="preserve">Study concluded that the prevention of micro aspiration with the use of subglottic drainage was effective at reducing </w:t>
      </w:r>
      <w:r w:rsidR="00501ABC" w:rsidRPr="00FE444A">
        <w:rPr>
          <w:sz w:val="20"/>
          <w:szCs w:val="20"/>
        </w:rPr>
        <w:t>NP</w:t>
      </w:r>
      <w:r w:rsidRPr="00FE444A">
        <w:rPr>
          <w:sz w:val="20"/>
          <w:szCs w:val="20"/>
        </w:rPr>
        <w:t>, but sucralfate prevention was not.</w:t>
      </w:r>
    </w:p>
    <w:p w14:paraId="4EF9780F" w14:textId="0457556E"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Caroff DA, Li L, Muscedere J, Klompas M. Subglottic secretion drainage and objective outcomes: A systematic review and meta-analysis. </w:t>
      </w:r>
      <w:r w:rsidRPr="003D318C">
        <w:rPr>
          <w:iCs/>
          <w:sz w:val="20"/>
          <w:szCs w:val="20"/>
        </w:rPr>
        <w:t>Crit Care Med</w:t>
      </w:r>
      <w:r w:rsidRPr="003D318C">
        <w:rPr>
          <w:sz w:val="20"/>
          <w:szCs w:val="20"/>
        </w:rPr>
        <w:t xml:space="preserve">. </w:t>
      </w:r>
      <w:r w:rsidRPr="00FE444A">
        <w:rPr>
          <w:sz w:val="20"/>
          <w:szCs w:val="20"/>
        </w:rPr>
        <w:t>2016</w:t>
      </w:r>
      <w:r w:rsidR="003D318C">
        <w:rPr>
          <w:sz w:val="20"/>
          <w:szCs w:val="20"/>
        </w:rPr>
        <w:t xml:space="preserve"> Apr;44(4):830-</w:t>
      </w:r>
      <w:r w:rsidRPr="00FE444A">
        <w:rPr>
          <w:sz w:val="20"/>
          <w:szCs w:val="20"/>
        </w:rPr>
        <w:t>40.</w:t>
      </w:r>
      <w:r w:rsidR="003D318C">
        <w:rPr>
          <w:sz w:val="20"/>
          <w:szCs w:val="20"/>
        </w:rPr>
        <w:t xml:space="preserve"> PMID: 26646454.</w:t>
      </w:r>
    </w:p>
    <w:p w14:paraId="34F9E049" w14:textId="7E445FFC" w:rsidR="007D6B6D" w:rsidRPr="00FE444A" w:rsidRDefault="007D6B6D" w:rsidP="008E16B2">
      <w:pPr>
        <w:pStyle w:val="NormalWeb"/>
        <w:spacing w:before="120" w:beforeAutospacing="0" w:after="120" w:afterAutospacing="0"/>
        <w:ind w:left="270"/>
        <w:rPr>
          <w:sz w:val="20"/>
          <w:szCs w:val="20"/>
        </w:rPr>
      </w:pPr>
      <w:r w:rsidRPr="00FE444A">
        <w:rPr>
          <w:b/>
          <w:sz w:val="20"/>
          <w:szCs w:val="20"/>
        </w:rPr>
        <w:t xml:space="preserve">Systematic review and meta-analysis: </w:t>
      </w:r>
      <w:r w:rsidRPr="00FE444A">
        <w:rPr>
          <w:sz w:val="20"/>
          <w:szCs w:val="20"/>
        </w:rPr>
        <w:t xml:space="preserve">Looked at the impact of SSD on duration of mechanical ventilation, ICU and hospital length of stay, ventilator-associated events, mortality, antibiotic utilization, stridor and reintubations to better understand the net benefits and limitations of this intervention. </w:t>
      </w:r>
      <w:r w:rsidR="00541181">
        <w:rPr>
          <w:sz w:val="20"/>
          <w:szCs w:val="20"/>
        </w:rPr>
        <w:t>Seventeen</w:t>
      </w:r>
      <w:r w:rsidRPr="00FE444A">
        <w:rPr>
          <w:sz w:val="20"/>
          <w:szCs w:val="20"/>
        </w:rPr>
        <w:t xml:space="preserve"> trials were included with a total of 3,369 patients. </w:t>
      </w:r>
      <w:r w:rsidR="00EC3E20" w:rsidRPr="00FE444A">
        <w:rPr>
          <w:sz w:val="20"/>
          <w:szCs w:val="20"/>
        </w:rPr>
        <w:t xml:space="preserve">SSD was associated with lower VAP rates (RR, 0.58; 95% CI, 0.51-0.67; </w:t>
      </w:r>
      <w:r w:rsidR="00817004" w:rsidRPr="00FE444A">
        <w:rPr>
          <w:i/>
          <w:sz w:val="20"/>
          <w:szCs w:val="20"/>
        </w:rPr>
        <w:t>I</w:t>
      </w:r>
      <w:r w:rsidR="00817004" w:rsidRPr="00FE444A">
        <w:rPr>
          <w:sz w:val="20"/>
          <w:szCs w:val="20"/>
          <w:vertAlign w:val="superscript"/>
        </w:rPr>
        <w:t>2</w:t>
      </w:r>
      <w:r w:rsidR="00817004" w:rsidRPr="00FE444A">
        <w:rPr>
          <w:sz w:val="20"/>
          <w:szCs w:val="20"/>
        </w:rPr>
        <w:t>=0%), but there were no significant</w:t>
      </w:r>
      <w:r w:rsidR="00817004" w:rsidRPr="00FE444A">
        <w:rPr>
          <w:sz w:val="20"/>
          <w:szCs w:val="20"/>
          <w:vertAlign w:val="superscript"/>
        </w:rPr>
        <w:t xml:space="preserve"> </w:t>
      </w:r>
      <w:r w:rsidR="00817004" w:rsidRPr="00FE444A">
        <w:rPr>
          <w:sz w:val="20"/>
          <w:szCs w:val="20"/>
        </w:rPr>
        <w:t xml:space="preserve">differences between groups in duration of mechanical ventilation (weighted mean difference, -0.16 d; 95% CI, -0.64 to 0.33; </w:t>
      </w:r>
      <w:r w:rsidR="00817004" w:rsidRPr="00FE444A">
        <w:rPr>
          <w:i/>
          <w:sz w:val="20"/>
          <w:szCs w:val="20"/>
        </w:rPr>
        <w:t>I</w:t>
      </w:r>
      <w:r w:rsidR="00817004" w:rsidRPr="00FE444A">
        <w:rPr>
          <w:sz w:val="20"/>
          <w:szCs w:val="20"/>
          <w:vertAlign w:val="superscript"/>
        </w:rPr>
        <w:t>2</w:t>
      </w:r>
      <w:r w:rsidR="00817004" w:rsidRPr="00FE444A">
        <w:rPr>
          <w:sz w:val="20"/>
          <w:szCs w:val="20"/>
        </w:rPr>
        <w:t xml:space="preserve">=0%), ICU length of stay (weighted mean difference, +0.17 da; 95% CI, -0.62 to 0.95; </w:t>
      </w:r>
      <w:r w:rsidR="00817004" w:rsidRPr="00FE444A">
        <w:rPr>
          <w:i/>
          <w:sz w:val="20"/>
          <w:szCs w:val="20"/>
        </w:rPr>
        <w:t>I</w:t>
      </w:r>
      <w:r w:rsidR="00817004" w:rsidRPr="00FE444A">
        <w:rPr>
          <w:sz w:val="20"/>
          <w:szCs w:val="20"/>
          <w:vertAlign w:val="superscript"/>
        </w:rPr>
        <w:t>2</w:t>
      </w:r>
      <w:r w:rsidR="00817004" w:rsidRPr="00FE444A">
        <w:rPr>
          <w:sz w:val="20"/>
          <w:szCs w:val="20"/>
        </w:rPr>
        <w:t xml:space="preserve">=0%), hospital length of stay (weighted mean difference, -0.57 d; 95% CI, -2.44 to 1.30; </w:t>
      </w:r>
      <w:r w:rsidR="00817004" w:rsidRPr="00FE444A">
        <w:rPr>
          <w:i/>
          <w:sz w:val="20"/>
          <w:szCs w:val="20"/>
        </w:rPr>
        <w:t>I</w:t>
      </w:r>
      <w:r w:rsidR="00817004" w:rsidRPr="00FE444A">
        <w:rPr>
          <w:sz w:val="20"/>
          <w:szCs w:val="20"/>
          <w:vertAlign w:val="superscript"/>
        </w:rPr>
        <w:t>2</w:t>
      </w:r>
      <w:r w:rsidR="00817004" w:rsidRPr="00FE444A">
        <w:rPr>
          <w:sz w:val="20"/>
          <w:szCs w:val="20"/>
        </w:rPr>
        <w:t>=0%), ventilator -associated events (RR, 0.97; 95% CI, 0.65</w:t>
      </w:r>
      <w:r w:rsidR="00572883" w:rsidRPr="00FE444A">
        <w:rPr>
          <w:sz w:val="20"/>
          <w:szCs w:val="20"/>
        </w:rPr>
        <w:t xml:space="preserve">-1.43), or mortality (RR, 0.93; 95% CI, 0.84-1.03; </w:t>
      </w:r>
      <w:r w:rsidR="00572883" w:rsidRPr="00FE444A">
        <w:rPr>
          <w:i/>
          <w:sz w:val="20"/>
          <w:szCs w:val="20"/>
        </w:rPr>
        <w:t>I</w:t>
      </w:r>
      <w:r w:rsidR="00572883" w:rsidRPr="00FE444A">
        <w:rPr>
          <w:sz w:val="20"/>
          <w:szCs w:val="20"/>
          <w:vertAlign w:val="superscript"/>
        </w:rPr>
        <w:t>2</w:t>
      </w:r>
      <w:r w:rsidR="00572883" w:rsidRPr="00FE444A">
        <w:rPr>
          <w:sz w:val="20"/>
          <w:szCs w:val="20"/>
        </w:rPr>
        <w:t xml:space="preserve">=0%). </w:t>
      </w:r>
      <w:r w:rsidR="00E138F6" w:rsidRPr="00FE444A">
        <w:rPr>
          <w:sz w:val="20"/>
          <w:szCs w:val="20"/>
        </w:rPr>
        <w:t>Two studies observed significantly less antibiotic use with SSD and a third did not. There were no significant differences between groups in stridor or reintubations. SSD is associated with lower VAP rates but does not clearly decrease duration of mechanical ventilation, length of stay, ventilator-associated events, mortality, or antibiotic usage.</w:t>
      </w:r>
    </w:p>
    <w:p w14:paraId="537FAB11" w14:textId="0025A6AE"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Wang F, Bo L, Tang L, et al. Subglottic secretion drainage for preventing ventilator-associated pneumonia: An updated meta-analysis of randomized controlled trials. </w:t>
      </w:r>
      <w:r w:rsidRPr="00FB4983">
        <w:rPr>
          <w:iCs/>
          <w:sz w:val="20"/>
          <w:szCs w:val="20"/>
        </w:rPr>
        <w:t>J Trauma Acute Care Surg</w:t>
      </w:r>
      <w:r w:rsidRPr="00FE444A">
        <w:rPr>
          <w:sz w:val="20"/>
          <w:szCs w:val="20"/>
        </w:rPr>
        <w:t>. 2012</w:t>
      </w:r>
      <w:r w:rsidR="00FB4983">
        <w:rPr>
          <w:sz w:val="20"/>
          <w:szCs w:val="20"/>
        </w:rPr>
        <w:t xml:space="preserve"> May;72(5):1276-</w:t>
      </w:r>
      <w:r w:rsidRPr="00FE444A">
        <w:rPr>
          <w:sz w:val="20"/>
          <w:szCs w:val="20"/>
        </w:rPr>
        <w:t>85.</w:t>
      </w:r>
      <w:r w:rsidR="00FB4983">
        <w:rPr>
          <w:sz w:val="20"/>
          <w:szCs w:val="20"/>
        </w:rPr>
        <w:t xml:space="preserve"> PMID: 22673255.</w:t>
      </w:r>
    </w:p>
    <w:p w14:paraId="56DDE52D" w14:textId="00E8AD55" w:rsidR="00717F07" w:rsidRPr="00FE444A" w:rsidRDefault="00717F07" w:rsidP="008E16B2">
      <w:pPr>
        <w:pStyle w:val="NormalWeb"/>
        <w:spacing w:before="120" w:beforeAutospacing="0" w:after="120" w:afterAutospacing="0"/>
        <w:ind w:left="270"/>
        <w:rPr>
          <w:sz w:val="20"/>
          <w:szCs w:val="20"/>
        </w:rPr>
      </w:pPr>
      <w:r w:rsidRPr="00FE444A">
        <w:rPr>
          <w:sz w:val="20"/>
          <w:szCs w:val="20"/>
        </w:rPr>
        <w:t xml:space="preserve">Literature review and </w:t>
      </w:r>
      <w:r w:rsidR="00BA23A0">
        <w:rPr>
          <w:sz w:val="20"/>
          <w:szCs w:val="20"/>
        </w:rPr>
        <w:t>m</w:t>
      </w:r>
      <w:r w:rsidRPr="00FE444A">
        <w:rPr>
          <w:sz w:val="20"/>
          <w:szCs w:val="20"/>
        </w:rPr>
        <w:t>eta</w:t>
      </w:r>
      <w:r w:rsidR="00541181">
        <w:rPr>
          <w:sz w:val="20"/>
          <w:szCs w:val="20"/>
        </w:rPr>
        <w:t>-a</w:t>
      </w:r>
      <w:r w:rsidRPr="00FE444A">
        <w:rPr>
          <w:sz w:val="20"/>
          <w:szCs w:val="20"/>
        </w:rPr>
        <w:t>nalysis – Ten randomized controlled trials with 2,213 patients were identified. SSD significantly reduced incidence of VAP (relative risk [RR] 0.56, 95% CI: 0.45 to 0.69, p=(0.00001) and early-onset VAP (RR 0.23, 95% CI: 0.13 to 0.43, p=(0.00001), shortened ventilation duration by 1.55 days (95% CI: 2.40 to 0.71 days, p=(0.0003), and prolonged time to VAP by 3.90 days (95% CI: 2.56 to 5.24 days). Subgroup analyses suggested a significant reduction in incidence of VAP when stratified by intermittent ([RR] 0.49, 95% CI: 0.34 to 0.71; p=0.0001) and continuous SSD ([RR] 0.61, 95% CI: 0.46 to 0.79; p=0.0003). No significant differences were observed regarding incidence of late-onset VAP, overall mortality, or length of intensive care unit or hospital stay. SDD was beneficial in preventing VAP.</w:t>
      </w:r>
    </w:p>
    <w:p w14:paraId="63D2A049" w14:textId="794E532B"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Leasure A, Stirlen J, Lu S. Pre</w:t>
      </w:r>
      <w:r w:rsidR="00717F07" w:rsidRPr="00FE444A">
        <w:rPr>
          <w:sz w:val="20"/>
          <w:szCs w:val="20"/>
        </w:rPr>
        <w:t>ve</w:t>
      </w:r>
      <w:r w:rsidRPr="00FE444A">
        <w:rPr>
          <w:sz w:val="20"/>
          <w:szCs w:val="20"/>
        </w:rPr>
        <w:t>ntion of ventilator-associated p</w:t>
      </w:r>
      <w:r w:rsidR="00717F07" w:rsidRPr="00FE444A">
        <w:rPr>
          <w:sz w:val="20"/>
          <w:szCs w:val="20"/>
        </w:rPr>
        <w:t>ne</w:t>
      </w:r>
      <w:r w:rsidRPr="00FE444A">
        <w:rPr>
          <w:sz w:val="20"/>
          <w:szCs w:val="20"/>
        </w:rPr>
        <w:t xml:space="preserve">umonia through aspiration of subglottic secretions: A systematic review and meta-analysis. </w:t>
      </w:r>
      <w:r w:rsidRPr="00FB4983">
        <w:rPr>
          <w:iCs/>
          <w:sz w:val="20"/>
          <w:szCs w:val="20"/>
        </w:rPr>
        <w:t>Dimensions of Crit</w:t>
      </w:r>
      <w:r w:rsidR="00DE7725">
        <w:rPr>
          <w:iCs/>
          <w:sz w:val="20"/>
          <w:szCs w:val="20"/>
        </w:rPr>
        <w:t>ic</w:t>
      </w:r>
      <w:r w:rsidRPr="00FB4983">
        <w:rPr>
          <w:iCs/>
          <w:sz w:val="20"/>
          <w:szCs w:val="20"/>
        </w:rPr>
        <w:t>al Care Nursing</w:t>
      </w:r>
      <w:r w:rsidRPr="00FB4983">
        <w:rPr>
          <w:sz w:val="20"/>
          <w:szCs w:val="20"/>
        </w:rPr>
        <w:t xml:space="preserve">. </w:t>
      </w:r>
      <w:r w:rsidRPr="00FE444A">
        <w:rPr>
          <w:sz w:val="20"/>
          <w:szCs w:val="20"/>
        </w:rPr>
        <w:t>2012</w:t>
      </w:r>
      <w:r w:rsidR="00FB4983">
        <w:rPr>
          <w:sz w:val="20"/>
          <w:szCs w:val="20"/>
        </w:rPr>
        <w:t xml:space="preserve"> Mar-Apr;31(2):102-</w:t>
      </w:r>
      <w:r w:rsidRPr="00FE444A">
        <w:rPr>
          <w:sz w:val="20"/>
          <w:szCs w:val="20"/>
        </w:rPr>
        <w:t>17.</w:t>
      </w:r>
      <w:r w:rsidR="00FB4983">
        <w:rPr>
          <w:sz w:val="20"/>
          <w:szCs w:val="20"/>
        </w:rPr>
        <w:t xml:space="preserve"> PMID: 22333720.</w:t>
      </w:r>
    </w:p>
    <w:p w14:paraId="3A35D7BB" w14:textId="49CF58E5" w:rsidR="00717F07" w:rsidRPr="00FE444A" w:rsidRDefault="00717F07" w:rsidP="008E16B2">
      <w:pPr>
        <w:pStyle w:val="NormalWeb"/>
        <w:spacing w:before="120" w:beforeAutospacing="0" w:after="120" w:afterAutospacing="0"/>
        <w:ind w:left="270"/>
        <w:rPr>
          <w:sz w:val="20"/>
          <w:szCs w:val="20"/>
        </w:rPr>
      </w:pPr>
      <w:r w:rsidRPr="00FE444A">
        <w:rPr>
          <w:sz w:val="20"/>
          <w:szCs w:val="20"/>
        </w:rPr>
        <w:t xml:space="preserve">Systematic </w:t>
      </w:r>
      <w:r w:rsidR="00BA23A0">
        <w:rPr>
          <w:sz w:val="20"/>
          <w:szCs w:val="20"/>
        </w:rPr>
        <w:t>r</w:t>
      </w:r>
      <w:r w:rsidRPr="00FE444A">
        <w:rPr>
          <w:sz w:val="20"/>
          <w:szCs w:val="20"/>
        </w:rPr>
        <w:t xml:space="preserve">eview and </w:t>
      </w:r>
      <w:r w:rsidR="00BA23A0">
        <w:rPr>
          <w:sz w:val="20"/>
          <w:szCs w:val="20"/>
        </w:rPr>
        <w:t>m</w:t>
      </w:r>
      <w:r w:rsidRPr="00FE444A">
        <w:rPr>
          <w:sz w:val="20"/>
          <w:szCs w:val="20"/>
        </w:rPr>
        <w:t>eta-</w:t>
      </w:r>
      <w:r w:rsidR="00541181">
        <w:rPr>
          <w:sz w:val="20"/>
          <w:szCs w:val="20"/>
        </w:rPr>
        <w:t>a</w:t>
      </w:r>
      <w:r w:rsidRPr="00FE444A">
        <w:rPr>
          <w:sz w:val="20"/>
          <w:szCs w:val="20"/>
        </w:rPr>
        <w:t>nalysis – Study reviewed 12 original articles and 4 reviews that evaluated the effectiveness of subglottic secretion aspiration in reducing the occurrence of VAP. Study findings showed that the effectiveness of subglottic secretion aspiration in reducing VAP rates was 52 percent across a pooled total of 1,701 cases (</w:t>
      </w:r>
      <w:r w:rsidR="00501ABC" w:rsidRPr="00FE444A">
        <w:rPr>
          <w:sz w:val="20"/>
          <w:szCs w:val="20"/>
        </w:rPr>
        <w:t>RR</w:t>
      </w:r>
      <w:r w:rsidRPr="00FE444A">
        <w:rPr>
          <w:sz w:val="20"/>
          <w:szCs w:val="20"/>
        </w:rPr>
        <w:t xml:space="preserve">, 0.52; 95% </w:t>
      </w:r>
      <w:r w:rsidR="00501ABC" w:rsidRPr="00FE444A">
        <w:rPr>
          <w:sz w:val="20"/>
          <w:szCs w:val="20"/>
        </w:rPr>
        <w:t>CI</w:t>
      </w:r>
      <w:r w:rsidRPr="00FE444A">
        <w:rPr>
          <w:sz w:val="20"/>
          <w:szCs w:val="20"/>
        </w:rPr>
        <w:t>, 0.43 to 0.64 in rates).</w:t>
      </w:r>
    </w:p>
    <w:p w14:paraId="225C0D0D" w14:textId="006A54DF"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Barbas CS, Couto LP. Do endotracheal tubes with suction above the cuff decrease the rate of ventilator-associated pneumonia, and are they cost-effective? </w:t>
      </w:r>
      <w:r w:rsidRPr="00FB4983">
        <w:rPr>
          <w:iCs/>
          <w:sz w:val="20"/>
          <w:szCs w:val="20"/>
        </w:rPr>
        <w:t>Rev Bras Ter Intensiva</w:t>
      </w:r>
      <w:r w:rsidRPr="00FB4983">
        <w:rPr>
          <w:sz w:val="20"/>
          <w:szCs w:val="20"/>
        </w:rPr>
        <w:t>.</w:t>
      </w:r>
      <w:r w:rsidRPr="00FE444A">
        <w:rPr>
          <w:sz w:val="20"/>
          <w:szCs w:val="20"/>
        </w:rPr>
        <w:t xml:space="preserve"> 2012</w:t>
      </w:r>
      <w:r w:rsidR="00FB4983">
        <w:rPr>
          <w:sz w:val="20"/>
          <w:szCs w:val="20"/>
        </w:rPr>
        <w:t xml:space="preserve"> Dec;24(4):320-</w:t>
      </w:r>
      <w:r w:rsidRPr="00FE444A">
        <w:rPr>
          <w:sz w:val="20"/>
          <w:szCs w:val="20"/>
        </w:rPr>
        <w:t>21.</w:t>
      </w:r>
      <w:r w:rsidR="00FB4983">
        <w:rPr>
          <w:sz w:val="20"/>
          <w:szCs w:val="20"/>
        </w:rPr>
        <w:t xml:space="preserve"> PMID: 23917926.</w:t>
      </w:r>
    </w:p>
    <w:p w14:paraId="64EC6D44" w14:textId="0CD4268B" w:rsidR="00717F07" w:rsidRPr="00FE444A" w:rsidRDefault="00717F07" w:rsidP="008E16B2">
      <w:pPr>
        <w:pStyle w:val="NormalWeb"/>
        <w:spacing w:before="120" w:beforeAutospacing="0" w:after="120" w:afterAutospacing="0"/>
        <w:ind w:left="270"/>
        <w:rPr>
          <w:sz w:val="20"/>
          <w:szCs w:val="20"/>
        </w:rPr>
      </w:pPr>
      <w:r w:rsidRPr="00FE444A">
        <w:rPr>
          <w:sz w:val="20"/>
          <w:szCs w:val="20"/>
        </w:rPr>
        <w:t>Review – The introduction of tubes that allow the aspiration of secretions from the subglottic space in Brazilian intensive care units may reduce VAP incidence and may be cost</w:t>
      </w:r>
      <w:r w:rsidR="00704ED3">
        <w:rPr>
          <w:sz w:val="20"/>
          <w:szCs w:val="20"/>
        </w:rPr>
        <w:t xml:space="preserve"> </w:t>
      </w:r>
      <w:r w:rsidRPr="00FE444A">
        <w:rPr>
          <w:sz w:val="20"/>
          <w:szCs w:val="20"/>
        </w:rPr>
        <w:t>effective. Kelley et al. calculated that it is necessary to use tubes with suction above the cuff in 33 patients to prevent one episode of VAP, which indicates that this protocol would be cost-effective.</w:t>
      </w:r>
    </w:p>
    <w:p w14:paraId="406D8137" w14:textId="32D8578C"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Blot S, Rello J, Vogelaers D. What is new in the prevention of ventilator-associated pneumonia? </w:t>
      </w:r>
      <w:r w:rsidRPr="00FB4983">
        <w:rPr>
          <w:iCs/>
          <w:sz w:val="20"/>
          <w:szCs w:val="20"/>
        </w:rPr>
        <w:t>Curr Opin Pulm Med</w:t>
      </w:r>
      <w:r w:rsidRPr="00FE444A">
        <w:rPr>
          <w:sz w:val="20"/>
          <w:szCs w:val="20"/>
        </w:rPr>
        <w:t>. 2011</w:t>
      </w:r>
      <w:r w:rsidR="00FB4983">
        <w:rPr>
          <w:sz w:val="20"/>
          <w:szCs w:val="20"/>
        </w:rPr>
        <w:t xml:space="preserve"> May;17(3):155-</w:t>
      </w:r>
      <w:r w:rsidRPr="00FE444A">
        <w:rPr>
          <w:sz w:val="20"/>
          <w:szCs w:val="20"/>
        </w:rPr>
        <w:t>9.</w:t>
      </w:r>
      <w:r w:rsidR="00FB4983">
        <w:rPr>
          <w:sz w:val="20"/>
          <w:szCs w:val="20"/>
        </w:rPr>
        <w:t xml:space="preserve"> PMID: 21326100.</w:t>
      </w:r>
    </w:p>
    <w:p w14:paraId="1A9D7D82" w14:textId="7584004B" w:rsidR="00717F07" w:rsidRPr="00FE444A" w:rsidRDefault="00717F07" w:rsidP="008E16B2">
      <w:pPr>
        <w:pStyle w:val="NormalWeb"/>
        <w:spacing w:before="120" w:beforeAutospacing="0" w:after="120" w:afterAutospacing="0"/>
        <w:ind w:left="270"/>
        <w:rPr>
          <w:sz w:val="20"/>
          <w:szCs w:val="20"/>
        </w:rPr>
      </w:pPr>
      <w:r w:rsidRPr="00FE444A">
        <w:rPr>
          <w:sz w:val="20"/>
          <w:szCs w:val="20"/>
        </w:rPr>
        <w:t xml:space="preserve">Review – Indicated that the use of </w:t>
      </w:r>
      <w:r w:rsidR="00492EC3" w:rsidRPr="00FE444A">
        <w:rPr>
          <w:sz w:val="20"/>
          <w:szCs w:val="20"/>
        </w:rPr>
        <w:t>SSD-ETT</w:t>
      </w:r>
      <w:r w:rsidRPr="00FE444A">
        <w:rPr>
          <w:sz w:val="20"/>
          <w:szCs w:val="20"/>
        </w:rPr>
        <w:t xml:space="preserve"> for the prevention of </w:t>
      </w:r>
      <w:r w:rsidR="00492EC3" w:rsidRPr="00FE444A">
        <w:rPr>
          <w:sz w:val="20"/>
          <w:szCs w:val="20"/>
        </w:rPr>
        <w:t>VAP</w:t>
      </w:r>
      <w:r w:rsidRPr="00FE444A">
        <w:rPr>
          <w:sz w:val="20"/>
          <w:szCs w:val="20"/>
        </w:rPr>
        <w:t xml:space="preserve"> probably needs more research.</w:t>
      </w:r>
    </w:p>
    <w:p w14:paraId="4402FE7C" w14:textId="57D6C0E8"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lastRenderedPageBreak/>
        <w:t>Muscedere J, Rewa O, McKechnie K</w:t>
      </w:r>
      <w:r w:rsidR="00FB4983">
        <w:rPr>
          <w:sz w:val="20"/>
          <w:szCs w:val="20"/>
        </w:rPr>
        <w:t>, et al</w:t>
      </w:r>
      <w:r w:rsidRPr="00FE444A">
        <w:rPr>
          <w:sz w:val="20"/>
          <w:szCs w:val="20"/>
        </w:rPr>
        <w:t xml:space="preserve">. Subglottic secretion drainage for the prevention of ventilator-associated pneumonia: A systematic review and meta-analysis. </w:t>
      </w:r>
      <w:r w:rsidRPr="00FB4983">
        <w:rPr>
          <w:iCs/>
          <w:sz w:val="20"/>
          <w:szCs w:val="20"/>
        </w:rPr>
        <w:t>Crit Care Med</w:t>
      </w:r>
      <w:r w:rsidRPr="00FB4983">
        <w:rPr>
          <w:sz w:val="20"/>
          <w:szCs w:val="20"/>
        </w:rPr>
        <w:t xml:space="preserve">. </w:t>
      </w:r>
      <w:r w:rsidRPr="00FE444A">
        <w:rPr>
          <w:sz w:val="20"/>
          <w:szCs w:val="20"/>
        </w:rPr>
        <w:t>2011</w:t>
      </w:r>
      <w:r w:rsidR="00FB4983">
        <w:rPr>
          <w:sz w:val="20"/>
          <w:szCs w:val="20"/>
        </w:rPr>
        <w:t xml:space="preserve"> Aug;39(8):1985-</w:t>
      </w:r>
      <w:r w:rsidRPr="00FE444A">
        <w:rPr>
          <w:sz w:val="20"/>
          <w:szCs w:val="20"/>
        </w:rPr>
        <w:t>91.</w:t>
      </w:r>
      <w:r w:rsidR="00FB4983">
        <w:rPr>
          <w:sz w:val="20"/>
          <w:szCs w:val="20"/>
        </w:rPr>
        <w:t xml:space="preserve"> PMID: 21478738.</w:t>
      </w:r>
    </w:p>
    <w:p w14:paraId="73CA733F" w14:textId="55209D32" w:rsidR="00717F07" w:rsidRPr="00FE444A" w:rsidRDefault="00717F07" w:rsidP="008E16B2">
      <w:pPr>
        <w:pStyle w:val="NormalWeb"/>
        <w:spacing w:before="120" w:beforeAutospacing="0" w:after="120" w:afterAutospacing="0"/>
        <w:ind w:left="270"/>
        <w:rPr>
          <w:sz w:val="20"/>
          <w:szCs w:val="20"/>
        </w:rPr>
      </w:pPr>
      <w:r w:rsidRPr="00FE444A">
        <w:rPr>
          <w:sz w:val="20"/>
          <w:szCs w:val="20"/>
        </w:rPr>
        <w:t xml:space="preserve">Systematic </w:t>
      </w:r>
      <w:r w:rsidR="00BA23A0">
        <w:rPr>
          <w:sz w:val="20"/>
          <w:szCs w:val="20"/>
        </w:rPr>
        <w:t>r</w:t>
      </w:r>
      <w:r w:rsidRPr="00FE444A">
        <w:rPr>
          <w:sz w:val="20"/>
          <w:szCs w:val="20"/>
        </w:rPr>
        <w:t xml:space="preserve">eview – Study focused on 13 randomized controlled trials that reported a reduction in VAP rates in the subglottic secretion drainage arm. The overall </w:t>
      </w:r>
      <w:r w:rsidR="00492EC3" w:rsidRPr="00FE444A">
        <w:rPr>
          <w:sz w:val="20"/>
          <w:szCs w:val="20"/>
        </w:rPr>
        <w:t>RR</w:t>
      </w:r>
      <w:r w:rsidRPr="00FE444A">
        <w:rPr>
          <w:sz w:val="20"/>
          <w:szCs w:val="20"/>
        </w:rPr>
        <w:t xml:space="preserve"> for VAP was 0.55 (95% </w:t>
      </w:r>
      <w:r w:rsidR="00492EC3" w:rsidRPr="00FE444A">
        <w:rPr>
          <w:sz w:val="20"/>
          <w:szCs w:val="20"/>
        </w:rPr>
        <w:t>CI</w:t>
      </w:r>
      <w:r w:rsidRPr="00FE444A">
        <w:rPr>
          <w:sz w:val="20"/>
          <w:szCs w:val="20"/>
        </w:rPr>
        <w:t xml:space="preserve">, 0.46 to 0.66; p&lt;0.00001) with no heterogeneity (I=0%). The use of subglottic secretion drainage was associated with reduced intensive care unit length of stay (-1.52 days; 95% </w:t>
      </w:r>
      <w:r w:rsidR="00492EC3" w:rsidRPr="00FE444A">
        <w:rPr>
          <w:sz w:val="20"/>
          <w:szCs w:val="20"/>
        </w:rPr>
        <w:t>CI</w:t>
      </w:r>
      <w:r w:rsidRPr="00FE444A">
        <w:rPr>
          <w:sz w:val="20"/>
          <w:szCs w:val="20"/>
        </w:rPr>
        <w:t xml:space="preserve">, -2.94 to -0.11; p=0.03); decreased duration of mechanically ventilated </w:t>
      </w:r>
      <w:r w:rsidR="00704ED3">
        <w:rPr>
          <w:sz w:val="20"/>
          <w:szCs w:val="20"/>
        </w:rPr>
        <w:t xml:space="preserve">   </w:t>
      </w:r>
      <w:r w:rsidRPr="00FE444A">
        <w:rPr>
          <w:sz w:val="20"/>
          <w:szCs w:val="20"/>
        </w:rPr>
        <w:t xml:space="preserve">(-1.08 days; 95% </w:t>
      </w:r>
      <w:r w:rsidR="00492EC3" w:rsidRPr="00FE444A">
        <w:rPr>
          <w:sz w:val="20"/>
          <w:szCs w:val="20"/>
        </w:rPr>
        <w:t>CI</w:t>
      </w:r>
      <w:r w:rsidRPr="00FE444A">
        <w:rPr>
          <w:sz w:val="20"/>
          <w:szCs w:val="20"/>
        </w:rPr>
        <w:t>, -2.04 to -0.12; p=0.03), and increased time to first episode of VAP (2.66 days; 95%</w:t>
      </w:r>
      <w:r w:rsidR="00492EC3" w:rsidRPr="00FE444A">
        <w:rPr>
          <w:sz w:val="20"/>
          <w:szCs w:val="20"/>
        </w:rPr>
        <w:t xml:space="preserve"> CI</w:t>
      </w:r>
      <w:r w:rsidRPr="00FE444A">
        <w:rPr>
          <w:sz w:val="20"/>
          <w:szCs w:val="20"/>
        </w:rPr>
        <w:t>, 1.06 to 4.26; p=0.001).</w:t>
      </w:r>
    </w:p>
    <w:p w14:paraId="41E9BD47" w14:textId="6C5C92FC"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Taylor NJ, Auzinger G. Intermittent subglottic secretion drainage and ventilator-associated pneumonia. </w:t>
      </w:r>
      <w:r w:rsidRPr="00510F8A">
        <w:rPr>
          <w:iCs/>
          <w:sz w:val="20"/>
          <w:szCs w:val="20"/>
        </w:rPr>
        <w:t>Am J Respir Crit Care Med</w:t>
      </w:r>
      <w:r w:rsidRPr="00510F8A">
        <w:rPr>
          <w:sz w:val="20"/>
          <w:szCs w:val="20"/>
        </w:rPr>
        <w:t>.</w:t>
      </w:r>
      <w:r w:rsidRPr="00FE444A">
        <w:rPr>
          <w:sz w:val="20"/>
          <w:szCs w:val="20"/>
        </w:rPr>
        <w:t xml:space="preserve"> 2011</w:t>
      </w:r>
      <w:r w:rsidR="00510F8A">
        <w:rPr>
          <w:sz w:val="20"/>
          <w:szCs w:val="20"/>
        </w:rPr>
        <w:t xml:space="preserve"> May 15</w:t>
      </w:r>
      <w:r w:rsidRPr="00FE444A">
        <w:rPr>
          <w:sz w:val="20"/>
          <w:szCs w:val="20"/>
        </w:rPr>
        <w:t>;183(10):1435-6; author reply 1436-7.</w:t>
      </w:r>
      <w:r w:rsidR="00510F8A">
        <w:rPr>
          <w:sz w:val="20"/>
          <w:szCs w:val="20"/>
        </w:rPr>
        <w:t xml:space="preserve"> PMID: 21596837.</w:t>
      </w:r>
    </w:p>
    <w:p w14:paraId="2B720E92" w14:textId="404D1B62" w:rsidR="00717F07" w:rsidRPr="00FE444A" w:rsidRDefault="00717F07" w:rsidP="008E16B2">
      <w:pPr>
        <w:pStyle w:val="NormalWeb"/>
        <w:spacing w:before="120" w:beforeAutospacing="0" w:after="120" w:afterAutospacing="0"/>
        <w:ind w:left="270"/>
        <w:rPr>
          <w:sz w:val="20"/>
          <w:szCs w:val="20"/>
        </w:rPr>
      </w:pPr>
      <w:r w:rsidRPr="00FE444A">
        <w:rPr>
          <w:sz w:val="20"/>
          <w:szCs w:val="20"/>
        </w:rPr>
        <w:t>Correspondence on study by Lacherade</w:t>
      </w:r>
      <w:r w:rsidRPr="00561085">
        <w:rPr>
          <w:sz w:val="20"/>
          <w:szCs w:val="20"/>
          <w:vertAlign w:val="superscript"/>
        </w:rPr>
        <w:t>23</w:t>
      </w:r>
      <w:r w:rsidRPr="00FE444A">
        <w:rPr>
          <w:sz w:val="20"/>
          <w:szCs w:val="20"/>
        </w:rPr>
        <w:t xml:space="preserve"> – Comment stated that while the study found a difference in</w:t>
      </w:r>
      <w:r w:rsidR="00492EC3" w:rsidRPr="00FE444A">
        <w:rPr>
          <w:sz w:val="20"/>
          <w:szCs w:val="20"/>
        </w:rPr>
        <w:t xml:space="preserve"> </w:t>
      </w:r>
      <w:r w:rsidRPr="00FE444A">
        <w:rPr>
          <w:sz w:val="20"/>
          <w:szCs w:val="20"/>
        </w:rPr>
        <w:t>VAP rates, it did not find a difference in clinically relevant outcomes, such as duration of mechanical ventilation, or intensive care unit or hospital length of stay. Also states that there is still insufficient evidence of clinical efficacy to recommend the universal use of subglottic secretion drainage in patients ventilated for longer than 48 hours who are at risk for VAP.</w:t>
      </w:r>
    </w:p>
    <w:p w14:paraId="3F0F2BA7" w14:textId="77CD227B"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Silvestri L, Piacente N, van Saene HK, Grogori D, Zandstra DF. Intermittent subglottic secretion drainage and ventilator-associated pneumonia. </w:t>
      </w:r>
      <w:r w:rsidRPr="00510F8A">
        <w:rPr>
          <w:iCs/>
          <w:sz w:val="20"/>
          <w:szCs w:val="20"/>
        </w:rPr>
        <w:t>Am J Respir Crit Care Med</w:t>
      </w:r>
      <w:r w:rsidRPr="00510F8A">
        <w:rPr>
          <w:sz w:val="20"/>
          <w:szCs w:val="20"/>
        </w:rPr>
        <w:t>.</w:t>
      </w:r>
      <w:r w:rsidRPr="00FE444A">
        <w:rPr>
          <w:sz w:val="20"/>
          <w:szCs w:val="20"/>
        </w:rPr>
        <w:t xml:space="preserve"> 2011;183(10):1435; author reply 1436-7.</w:t>
      </w:r>
      <w:r w:rsidR="00510F8A">
        <w:rPr>
          <w:sz w:val="20"/>
          <w:szCs w:val="20"/>
        </w:rPr>
        <w:t xml:space="preserve"> PMID: 21596836.</w:t>
      </w:r>
    </w:p>
    <w:p w14:paraId="63A5F78F" w14:textId="192A1602" w:rsidR="00717F07" w:rsidRPr="00FE444A" w:rsidRDefault="00717F07" w:rsidP="008E16B2">
      <w:pPr>
        <w:pStyle w:val="NormalWeb"/>
        <w:spacing w:before="120" w:beforeAutospacing="0" w:after="120" w:afterAutospacing="0"/>
        <w:ind w:left="270"/>
        <w:rPr>
          <w:sz w:val="20"/>
          <w:szCs w:val="20"/>
        </w:rPr>
      </w:pPr>
      <w:r w:rsidRPr="00FE444A">
        <w:rPr>
          <w:sz w:val="20"/>
          <w:szCs w:val="20"/>
        </w:rPr>
        <w:t>Correspondence on study by Lacherade</w:t>
      </w:r>
      <w:r w:rsidRPr="00FE444A">
        <w:rPr>
          <w:sz w:val="20"/>
          <w:szCs w:val="20"/>
          <w:vertAlign w:val="superscript"/>
        </w:rPr>
        <w:t>23</w:t>
      </w:r>
      <w:r w:rsidRPr="00FE444A">
        <w:rPr>
          <w:sz w:val="20"/>
          <w:szCs w:val="20"/>
        </w:rPr>
        <w:t xml:space="preserve"> – Comment stated that while the study found a difference in VAP rates, this may have been due to sample size, or diagnostic error due to the fact that approximately 40 percent of VAP episodes are not microbiologically proven. Stated that study is not strong enough for inclusion of the technique in VAP prevention strategies.</w:t>
      </w:r>
    </w:p>
    <w:p w14:paraId="440A7DDC" w14:textId="67C5FFFD"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Scherzer P. </w:t>
      </w:r>
      <w:r w:rsidRPr="00510F8A">
        <w:rPr>
          <w:bCs/>
          <w:sz w:val="20"/>
          <w:szCs w:val="20"/>
        </w:rPr>
        <w:t>Subglottic secretion aspiration in the prevention of ventilator-associated pneumo</w:t>
      </w:r>
      <w:r w:rsidR="00510F8A">
        <w:rPr>
          <w:bCs/>
          <w:sz w:val="20"/>
          <w:szCs w:val="20"/>
        </w:rPr>
        <w:t>nia: A review of the literature</w:t>
      </w:r>
      <w:r w:rsidRPr="00FE444A">
        <w:rPr>
          <w:sz w:val="20"/>
          <w:szCs w:val="20"/>
        </w:rPr>
        <w:t xml:space="preserve">. </w:t>
      </w:r>
      <w:r w:rsidR="00B22C41">
        <w:rPr>
          <w:sz w:val="20"/>
          <w:szCs w:val="20"/>
        </w:rPr>
        <w:t xml:space="preserve">Dimens Crit Care Nurs. </w:t>
      </w:r>
      <w:r w:rsidRPr="00FE444A">
        <w:rPr>
          <w:sz w:val="20"/>
          <w:szCs w:val="20"/>
        </w:rPr>
        <w:t>2010</w:t>
      </w:r>
      <w:r w:rsidR="00510F8A">
        <w:rPr>
          <w:sz w:val="20"/>
          <w:szCs w:val="20"/>
        </w:rPr>
        <w:t xml:space="preserve"> Nov-Dec</w:t>
      </w:r>
      <w:r w:rsidRPr="00FE444A">
        <w:rPr>
          <w:sz w:val="20"/>
          <w:szCs w:val="20"/>
        </w:rPr>
        <w:t>;</w:t>
      </w:r>
      <w:r w:rsidR="00510F8A">
        <w:rPr>
          <w:sz w:val="20"/>
          <w:szCs w:val="20"/>
        </w:rPr>
        <w:t>29(</w:t>
      </w:r>
      <w:r w:rsidRPr="00FE444A">
        <w:rPr>
          <w:sz w:val="20"/>
          <w:szCs w:val="20"/>
        </w:rPr>
        <w:t>6</w:t>
      </w:r>
      <w:r w:rsidR="00510F8A">
        <w:rPr>
          <w:sz w:val="20"/>
          <w:szCs w:val="20"/>
        </w:rPr>
        <w:t>)</w:t>
      </w:r>
      <w:r w:rsidRPr="00FE444A">
        <w:rPr>
          <w:sz w:val="20"/>
          <w:szCs w:val="20"/>
        </w:rPr>
        <w:t>:276-80.</w:t>
      </w:r>
      <w:r w:rsidR="00510F8A">
        <w:rPr>
          <w:sz w:val="20"/>
          <w:szCs w:val="20"/>
        </w:rPr>
        <w:t xml:space="preserve"> PMID: 2094057</w:t>
      </w:r>
      <w:r w:rsidR="00B22C41">
        <w:rPr>
          <w:sz w:val="20"/>
          <w:szCs w:val="20"/>
        </w:rPr>
        <w:t>9</w:t>
      </w:r>
      <w:r w:rsidR="00510F8A">
        <w:rPr>
          <w:sz w:val="20"/>
          <w:szCs w:val="20"/>
        </w:rPr>
        <w:t>.</w:t>
      </w:r>
    </w:p>
    <w:p w14:paraId="3F884EBB" w14:textId="746CB9CD" w:rsidR="00717F07" w:rsidRPr="00FE444A" w:rsidRDefault="00717F07" w:rsidP="008E16B2">
      <w:pPr>
        <w:pStyle w:val="NormalWeb"/>
        <w:spacing w:before="120" w:beforeAutospacing="0" w:after="120" w:afterAutospacing="0"/>
        <w:ind w:left="270"/>
        <w:rPr>
          <w:sz w:val="20"/>
          <w:szCs w:val="20"/>
        </w:rPr>
      </w:pPr>
      <w:r w:rsidRPr="00FE444A">
        <w:rPr>
          <w:sz w:val="20"/>
          <w:szCs w:val="20"/>
        </w:rPr>
        <w:t xml:space="preserve">Systematic literature review – 1,848 patients were studied in 6 clinical trials. Treatment groups received some form of subglottic secretion aspiration. Control groups received standard care without subglottic suctioning. While the findings differed in the studies, the percentage of patients who developed </w:t>
      </w:r>
      <w:r w:rsidR="00492EC3" w:rsidRPr="00FE444A">
        <w:rPr>
          <w:sz w:val="20"/>
          <w:szCs w:val="20"/>
        </w:rPr>
        <w:t>VAP</w:t>
      </w:r>
      <w:r w:rsidRPr="00FE444A">
        <w:rPr>
          <w:sz w:val="20"/>
          <w:szCs w:val="20"/>
        </w:rPr>
        <w:t xml:space="preserve"> in the intervention groups was lower than the percentage in the control groups. Despite research confirming the benefits of subglottic suctioning, nurses only perform subglottic suctioning 17.6 percent of the time. Reasons include lack of availability of equipment and the perception that subglottic suctioning may cause patient discomfort or adverse events. Subglottic secretion aspiration is a safe and effective therapy and should be implemented in patients requiring mechanical ventilation.</w:t>
      </w:r>
    </w:p>
    <w:p w14:paraId="618B32BE" w14:textId="6BE09520"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Deem S, Treggiari MM. New endotracheal tubes designed to prevent ventilator-associated pneumonia: Do they make a difference? </w:t>
      </w:r>
      <w:r w:rsidRPr="00FE444A">
        <w:rPr>
          <w:i/>
          <w:iCs/>
          <w:sz w:val="20"/>
          <w:szCs w:val="20"/>
        </w:rPr>
        <w:t>Respir Care</w:t>
      </w:r>
      <w:r w:rsidR="00510F8A">
        <w:rPr>
          <w:sz w:val="20"/>
          <w:szCs w:val="20"/>
        </w:rPr>
        <w:t>. 2010;55(8):1046-</w:t>
      </w:r>
      <w:r w:rsidRPr="00FE444A">
        <w:rPr>
          <w:sz w:val="20"/>
          <w:szCs w:val="20"/>
        </w:rPr>
        <w:t>55.</w:t>
      </w:r>
      <w:r w:rsidR="00510F8A">
        <w:rPr>
          <w:sz w:val="20"/>
          <w:szCs w:val="20"/>
        </w:rPr>
        <w:t xml:space="preserve"> PMID: </w:t>
      </w:r>
      <w:r w:rsidR="00561085">
        <w:rPr>
          <w:sz w:val="20"/>
          <w:szCs w:val="20"/>
        </w:rPr>
        <w:t>20667152.</w:t>
      </w:r>
    </w:p>
    <w:p w14:paraId="160098B9" w14:textId="41D75286" w:rsidR="00717F07" w:rsidRPr="00FE444A" w:rsidRDefault="00717F07" w:rsidP="008E16B2">
      <w:pPr>
        <w:pStyle w:val="NormalWeb"/>
        <w:spacing w:before="120" w:beforeAutospacing="0" w:after="120" w:afterAutospacing="0"/>
        <w:ind w:left="270"/>
        <w:rPr>
          <w:sz w:val="20"/>
          <w:szCs w:val="20"/>
        </w:rPr>
      </w:pPr>
      <w:r w:rsidRPr="00FE444A">
        <w:rPr>
          <w:sz w:val="20"/>
          <w:szCs w:val="20"/>
        </w:rPr>
        <w:t xml:space="preserve">Review – After a review of the literature regarding the use of </w:t>
      </w:r>
      <w:r w:rsidR="00492EC3" w:rsidRPr="00FE444A">
        <w:rPr>
          <w:sz w:val="20"/>
          <w:szCs w:val="20"/>
        </w:rPr>
        <w:t>SSD-</w:t>
      </w:r>
      <w:r w:rsidRPr="00FE444A">
        <w:rPr>
          <w:sz w:val="20"/>
          <w:szCs w:val="20"/>
        </w:rPr>
        <w:t xml:space="preserve">ETTs, they found no difference in clinical outcomes including duration of mechanical ventilation, length of intensive care unit and hospital stay and mortality. Stated there is no clear evidence regarding the efficacy and effectiveness of subglottic suctioning in reducting the development of </w:t>
      </w:r>
      <w:r w:rsidR="00492EC3" w:rsidRPr="00FE444A">
        <w:rPr>
          <w:sz w:val="20"/>
          <w:szCs w:val="20"/>
        </w:rPr>
        <w:t>VAP</w:t>
      </w:r>
      <w:r w:rsidRPr="00FE444A">
        <w:rPr>
          <w:sz w:val="20"/>
          <w:szCs w:val="20"/>
        </w:rPr>
        <w:t xml:space="preserve">. It is difficult to predict duration of ventilation at the time of intubation, particularly in the emergency setting. Large-scale use of </w:t>
      </w:r>
      <w:r w:rsidR="00492EC3" w:rsidRPr="00FE444A">
        <w:rPr>
          <w:sz w:val="20"/>
          <w:szCs w:val="20"/>
        </w:rPr>
        <w:t>SSD-</w:t>
      </w:r>
      <w:r w:rsidRPr="00FE444A">
        <w:rPr>
          <w:sz w:val="20"/>
          <w:szCs w:val="20"/>
        </w:rPr>
        <w:t>ETTs has not been proven effective.</w:t>
      </w:r>
    </w:p>
    <w:p w14:paraId="5D364C2E" w14:textId="3DE817B2" w:rsidR="00717F0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Gentile MA, Siobal MS. Are specialized endotracheal tubes and heat-and-moisture exchangers cost-effective in preventing ventilator associated pneumonia? </w:t>
      </w:r>
      <w:r w:rsidRPr="00561085">
        <w:rPr>
          <w:iCs/>
          <w:sz w:val="20"/>
          <w:szCs w:val="20"/>
        </w:rPr>
        <w:t>Respir Care</w:t>
      </w:r>
      <w:r w:rsidRPr="00FE444A">
        <w:rPr>
          <w:sz w:val="20"/>
          <w:szCs w:val="20"/>
        </w:rPr>
        <w:t>. 2010</w:t>
      </w:r>
      <w:r w:rsidR="00561085">
        <w:rPr>
          <w:sz w:val="20"/>
          <w:szCs w:val="20"/>
        </w:rPr>
        <w:t xml:space="preserve"> Feb</w:t>
      </w:r>
      <w:r w:rsidRPr="00FE444A">
        <w:rPr>
          <w:sz w:val="20"/>
          <w:szCs w:val="20"/>
        </w:rPr>
        <w:t>;55(2):184-96; discussion 196-7.</w:t>
      </w:r>
      <w:r w:rsidR="00561085">
        <w:rPr>
          <w:sz w:val="20"/>
          <w:szCs w:val="20"/>
        </w:rPr>
        <w:t xml:space="preserve"> PMID: 20105344.</w:t>
      </w:r>
    </w:p>
    <w:p w14:paraId="0FE7470D" w14:textId="3D86A86A" w:rsidR="00717F07" w:rsidRPr="00FE444A" w:rsidRDefault="00717F07" w:rsidP="008E16B2">
      <w:pPr>
        <w:pStyle w:val="NormalWeb"/>
        <w:spacing w:before="120" w:beforeAutospacing="0" w:after="120" w:afterAutospacing="0"/>
        <w:ind w:left="270"/>
        <w:rPr>
          <w:sz w:val="20"/>
          <w:szCs w:val="20"/>
        </w:rPr>
      </w:pPr>
      <w:r w:rsidRPr="00FE444A">
        <w:rPr>
          <w:rFonts w:cs="Arial"/>
          <w:sz w:val="20"/>
          <w:szCs w:val="20"/>
        </w:rPr>
        <w:t xml:space="preserve">Review </w:t>
      </w:r>
      <w:r w:rsidRPr="00FE444A">
        <w:rPr>
          <w:rFonts w:eastAsiaTheme="minorHAnsi" w:cs="Arial"/>
          <w:sz w:val="20"/>
          <w:szCs w:val="20"/>
        </w:rPr>
        <w:t>–</w:t>
      </w:r>
      <w:r w:rsidRPr="00FE444A">
        <w:rPr>
          <w:rFonts w:cs="Arial"/>
          <w:sz w:val="20"/>
          <w:szCs w:val="20"/>
        </w:rPr>
        <w:t xml:space="preserve"> In five </w:t>
      </w:r>
      <w:r w:rsidRPr="00B12500">
        <w:rPr>
          <w:rFonts w:cs="Arial"/>
          <w:sz w:val="20"/>
          <w:szCs w:val="20"/>
        </w:rPr>
        <w:t>studies</w:t>
      </w:r>
      <w:r w:rsidRPr="00FC7637">
        <w:rPr>
          <w:rFonts w:cs="Arial"/>
          <w:sz w:val="20"/>
          <w:szCs w:val="20"/>
        </w:rPr>
        <w:t>,</w:t>
      </w:r>
      <w:r w:rsidRPr="00FE444A">
        <w:rPr>
          <w:rFonts w:cs="Arial"/>
          <w:sz w:val="20"/>
          <w:szCs w:val="20"/>
        </w:rPr>
        <w:t xml:space="preserve"> subglottic suctioning was found to reduce the risk of VAP by nearly half in patients expected to be mechanically ventilated for more than 72 hours, primarily by reducing early-onset VAP. </w:t>
      </w:r>
      <w:r w:rsidR="00492EC3" w:rsidRPr="00FE444A">
        <w:rPr>
          <w:rFonts w:cs="Arial"/>
          <w:sz w:val="20"/>
          <w:szCs w:val="20"/>
        </w:rPr>
        <w:t xml:space="preserve">SSD-ETTs </w:t>
      </w:r>
      <w:r w:rsidRPr="00FE444A">
        <w:rPr>
          <w:rFonts w:cs="Arial"/>
          <w:sz w:val="20"/>
          <w:szCs w:val="20"/>
        </w:rPr>
        <w:t>are more expensive than conventional ETTs and will more likely benefit patients who are expected to require prolonged intubation.</w:t>
      </w:r>
    </w:p>
    <w:p w14:paraId="459664AE" w14:textId="736405BB"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lastRenderedPageBreak/>
        <w:t>Depew C, McCarthy M.</w:t>
      </w:r>
      <w:r w:rsidRPr="00FC251A">
        <w:rPr>
          <w:sz w:val="20"/>
          <w:szCs w:val="20"/>
        </w:rPr>
        <w:t xml:space="preserve"> </w:t>
      </w:r>
      <w:r w:rsidRPr="00FC251A">
        <w:rPr>
          <w:bCs/>
          <w:sz w:val="20"/>
          <w:szCs w:val="20"/>
        </w:rPr>
        <w:t>Subglottic secretion drainage: A literature review.</w:t>
      </w:r>
      <w:r w:rsidRPr="00FE444A">
        <w:rPr>
          <w:sz w:val="20"/>
          <w:szCs w:val="20"/>
        </w:rPr>
        <w:t xml:space="preserve"> </w:t>
      </w:r>
      <w:r w:rsidRPr="00561085">
        <w:rPr>
          <w:iCs/>
          <w:sz w:val="20"/>
          <w:szCs w:val="20"/>
        </w:rPr>
        <w:t>AACN Adv Crit Care</w:t>
      </w:r>
      <w:r w:rsidRPr="00FE444A">
        <w:rPr>
          <w:sz w:val="20"/>
          <w:szCs w:val="20"/>
        </w:rPr>
        <w:t>. 2007</w:t>
      </w:r>
      <w:r w:rsidR="00561085">
        <w:rPr>
          <w:sz w:val="20"/>
          <w:szCs w:val="20"/>
        </w:rPr>
        <w:t xml:space="preserve"> Oct-Dec</w:t>
      </w:r>
      <w:r w:rsidRPr="00FE444A">
        <w:rPr>
          <w:sz w:val="20"/>
          <w:szCs w:val="20"/>
        </w:rPr>
        <w:t>;18(4):366-79.</w:t>
      </w:r>
      <w:r w:rsidR="00561085">
        <w:rPr>
          <w:sz w:val="20"/>
          <w:szCs w:val="20"/>
        </w:rPr>
        <w:t xml:space="preserve"> PMID: 17978611.</w:t>
      </w:r>
    </w:p>
    <w:p w14:paraId="53637F0B" w14:textId="7C85C913" w:rsidR="00717F07" w:rsidRPr="00FE444A" w:rsidRDefault="00717F07" w:rsidP="008E16B2">
      <w:pPr>
        <w:pStyle w:val="NormalWeb"/>
        <w:spacing w:before="120" w:beforeAutospacing="0" w:after="120" w:afterAutospacing="0"/>
        <w:ind w:left="270"/>
        <w:rPr>
          <w:sz w:val="20"/>
          <w:szCs w:val="20"/>
        </w:rPr>
      </w:pPr>
      <w:r w:rsidRPr="00FE444A">
        <w:rPr>
          <w:sz w:val="20"/>
          <w:szCs w:val="20"/>
        </w:rPr>
        <w:t>Review of meta-analysis (Dezfulian, 2005) that looked at</w:t>
      </w:r>
      <w:r w:rsidR="00492EC3" w:rsidRPr="00FE444A">
        <w:rPr>
          <w:sz w:val="20"/>
          <w:szCs w:val="20"/>
        </w:rPr>
        <w:t xml:space="preserve"> </w:t>
      </w:r>
      <w:r w:rsidR="00704ED3">
        <w:rPr>
          <w:sz w:val="20"/>
          <w:szCs w:val="20"/>
        </w:rPr>
        <w:t>five</w:t>
      </w:r>
      <w:r w:rsidRPr="00FE444A">
        <w:rPr>
          <w:sz w:val="20"/>
          <w:szCs w:val="20"/>
        </w:rPr>
        <w:t xml:space="preserve"> randomized controlled trials that compared aspiration of subglottic secretion versus standard endotracheal tube care. Findings concluded that there is insufficient outcome evidence to support the use of subglottic technology, aside from the </w:t>
      </w:r>
      <w:r w:rsidR="00492EC3" w:rsidRPr="00FE444A">
        <w:rPr>
          <w:sz w:val="20"/>
          <w:szCs w:val="20"/>
        </w:rPr>
        <w:t>VAP</w:t>
      </w:r>
      <w:r w:rsidRPr="00FE444A">
        <w:rPr>
          <w:sz w:val="20"/>
          <w:szCs w:val="20"/>
        </w:rPr>
        <w:t xml:space="preserve"> rate reduction.</w:t>
      </w:r>
    </w:p>
    <w:p w14:paraId="35A133B7" w14:textId="3B0517AC" w:rsidR="00437A97" w:rsidRPr="00FE444A" w:rsidRDefault="00437A97" w:rsidP="008E16B2">
      <w:pPr>
        <w:pStyle w:val="NormalWeb"/>
        <w:numPr>
          <w:ilvl w:val="0"/>
          <w:numId w:val="9"/>
        </w:numPr>
        <w:spacing w:before="120" w:beforeAutospacing="0" w:after="120" w:afterAutospacing="0"/>
        <w:ind w:left="270"/>
        <w:rPr>
          <w:sz w:val="20"/>
          <w:szCs w:val="20"/>
        </w:rPr>
      </w:pPr>
      <w:r w:rsidRPr="00FE444A">
        <w:rPr>
          <w:sz w:val="20"/>
          <w:szCs w:val="20"/>
        </w:rPr>
        <w:t xml:space="preserve">Dezfulian C, Shojania K, Collard HR, Kim HM, Matthay MA, Saint S. Subglottic secretion drainage for preventing ventilator-associated pneumonia:A meta-analysis. </w:t>
      </w:r>
      <w:r w:rsidRPr="00561085">
        <w:rPr>
          <w:iCs/>
          <w:sz w:val="20"/>
          <w:szCs w:val="20"/>
        </w:rPr>
        <w:t>American Journal of Medicine</w:t>
      </w:r>
      <w:r w:rsidRPr="00FE444A">
        <w:rPr>
          <w:sz w:val="20"/>
          <w:szCs w:val="20"/>
        </w:rPr>
        <w:t>. 2005</w:t>
      </w:r>
      <w:r w:rsidR="00561085">
        <w:rPr>
          <w:sz w:val="20"/>
          <w:szCs w:val="20"/>
        </w:rPr>
        <w:t xml:space="preserve"> Jan</w:t>
      </w:r>
      <w:r w:rsidRPr="00FE444A">
        <w:rPr>
          <w:sz w:val="20"/>
          <w:szCs w:val="20"/>
        </w:rPr>
        <w:t>;11-18(118).</w:t>
      </w:r>
      <w:r w:rsidR="00561085">
        <w:rPr>
          <w:sz w:val="20"/>
          <w:szCs w:val="20"/>
        </w:rPr>
        <w:t xml:space="preserve"> PMID: 15639202.</w:t>
      </w:r>
    </w:p>
    <w:p w14:paraId="07ABECB2" w14:textId="337FDB69" w:rsidR="00717F07" w:rsidRPr="00FE444A" w:rsidRDefault="00717F07" w:rsidP="008E16B2">
      <w:pPr>
        <w:pStyle w:val="NormalWeb"/>
        <w:spacing w:before="120" w:beforeAutospacing="0" w:after="120" w:afterAutospacing="0"/>
        <w:ind w:left="270"/>
        <w:rPr>
          <w:sz w:val="20"/>
          <w:szCs w:val="20"/>
        </w:rPr>
      </w:pPr>
      <w:r w:rsidRPr="00FE444A">
        <w:rPr>
          <w:sz w:val="20"/>
          <w:szCs w:val="20"/>
        </w:rPr>
        <w:t>Meta</w:t>
      </w:r>
      <w:r w:rsidR="00BA23A0">
        <w:rPr>
          <w:sz w:val="20"/>
          <w:szCs w:val="20"/>
        </w:rPr>
        <w:t>-a</w:t>
      </w:r>
      <w:r w:rsidRPr="00FE444A">
        <w:rPr>
          <w:sz w:val="20"/>
          <w:szCs w:val="20"/>
        </w:rPr>
        <w:t xml:space="preserve">nalysis – Drainage </w:t>
      </w:r>
      <w:r w:rsidR="00BA23A0">
        <w:rPr>
          <w:sz w:val="20"/>
          <w:szCs w:val="20"/>
        </w:rPr>
        <w:t>Versus</w:t>
      </w:r>
      <w:r w:rsidRPr="00FE444A">
        <w:rPr>
          <w:sz w:val="20"/>
          <w:szCs w:val="20"/>
        </w:rPr>
        <w:t xml:space="preserve"> Standard End</w:t>
      </w:r>
      <w:r w:rsidR="00B12500">
        <w:rPr>
          <w:sz w:val="20"/>
          <w:szCs w:val="20"/>
        </w:rPr>
        <w:t>o</w:t>
      </w:r>
      <w:r w:rsidRPr="00FE444A">
        <w:rPr>
          <w:sz w:val="20"/>
          <w:szCs w:val="20"/>
        </w:rPr>
        <w:t xml:space="preserve">tracheal Treatment. Study evaluated 896 patients from 5 randomized controlled trials who required mechanical ventilation. </w:t>
      </w:r>
      <w:r w:rsidR="00492EC3" w:rsidRPr="00FE444A">
        <w:rPr>
          <w:sz w:val="20"/>
          <w:szCs w:val="20"/>
        </w:rPr>
        <w:t>SSD</w:t>
      </w:r>
      <w:r w:rsidRPr="00FE444A">
        <w:rPr>
          <w:sz w:val="20"/>
          <w:szCs w:val="20"/>
        </w:rPr>
        <w:t xml:space="preserve"> reduced the incidence of </w:t>
      </w:r>
      <w:r w:rsidR="00492EC3" w:rsidRPr="00FE444A">
        <w:rPr>
          <w:sz w:val="20"/>
          <w:szCs w:val="20"/>
        </w:rPr>
        <w:t xml:space="preserve">VAP </w:t>
      </w:r>
      <w:r w:rsidRPr="00FE444A">
        <w:rPr>
          <w:sz w:val="20"/>
          <w:szCs w:val="20"/>
        </w:rPr>
        <w:t>by nearly half (</w:t>
      </w:r>
      <w:r w:rsidR="00492EC3" w:rsidRPr="00FE444A">
        <w:rPr>
          <w:sz w:val="20"/>
          <w:szCs w:val="20"/>
        </w:rPr>
        <w:t>RR</w:t>
      </w:r>
      <w:r w:rsidRPr="00FE444A">
        <w:rPr>
          <w:sz w:val="20"/>
          <w:szCs w:val="20"/>
        </w:rPr>
        <w:t xml:space="preserve">=0.51; 95% </w:t>
      </w:r>
      <w:r w:rsidR="00492EC3" w:rsidRPr="00FE444A">
        <w:rPr>
          <w:sz w:val="20"/>
          <w:szCs w:val="20"/>
        </w:rPr>
        <w:t>CI</w:t>
      </w:r>
      <w:r w:rsidRPr="00FE444A">
        <w:rPr>
          <w:sz w:val="20"/>
          <w:szCs w:val="20"/>
        </w:rPr>
        <w:t xml:space="preserve">: 0.37 to 0.71), primarily by reducing early-onset pneumonia (pneumonia occurring within 5 to 7 days after intubation). </w:t>
      </w:r>
      <w:r w:rsidR="00492EC3" w:rsidRPr="00FE444A">
        <w:rPr>
          <w:sz w:val="20"/>
          <w:szCs w:val="20"/>
        </w:rPr>
        <w:t>SSD</w:t>
      </w:r>
      <w:r w:rsidRPr="00FE444A">
        <w:rPr>
          <w:sz w:val="20"/>
          <w:szCs w:val="20"/>
        </w:rPr>
        <w:t xml:space="preserve"> appears effective in preventing early-onset </w:t>
      </w:r>
      <w:r w:rsidR="00492EC3" w:rsidRPr="00FE444A">
        <w:rPr>
          <w:sz w:val="20"/>
          <w:szCs w:val="20"/>
        </w:rPr>
        <w:t>VAP</w:t>
      </w:r>
      <w:r w:rsidRPr="00FE444A">
        <w:rPr>
          <w:sz w:val="20"/>
          <w:szCs w:val="20"/>
        </w:rPr>
        <w:t xml:space="preserve"> among patients expected to require </w:t>
      </w:r>
      <w:r w:rsidR="00704ED3">
        <w:rPr>
          <w:sz w:val="20"/>
          <w:szCs w:val="20"/>
        </w:rPr>
        <w:t xml:space="preserve">more than </w:t>
      </w:r>
      <w:r w:rsidRPr="00FE444A">
        <w:rPr>
          <w:sz w:val="20"/>
          <w:szCs w:val="20"/>
        </w:rPr>
        <w:t>72 hours of mechanical ventilation.</w:t>
      </w:r>
    </w:p>
    <w:p w14:paraId="1BAA7536" w14:textId="39F1E9F9" w:rsidR="00437A97" w:rsidRPr="0006679C" w:rsidRDefault="006E3786" w:rsidP="008E16B2">
      <w:pPr>
        <w:pStyle w:val="NormalWeb"/>
        <w:spacing w:before="120" w:beforeAutospacing="0" w:after="120" w:afterAutospacing="0"/>
        <w:ind w:left="270"/>
        <w:rPr>
          <w:rFonts w:asciiTheme="majorHAnsi" w:hAnsiTheme="majorHAnsi" w:cs="Arial"/>
          <w:sz w:val="20"/>
          <w:szCs w:val="20"/>
        </w:rPr>
      </w:pPr>
      <w:r w:rsidRPr="006E3786">
        <w:rPr>
          <w:rFonts w:cs="Arial"/>
          <w:noProof/>
          <w:sz w:val="20"/>
          <w:szCs w:val="20"/>
        </w:rPr>
        <mc:AlternateContent>
          <mc:Choice Requires="wps">
            <w:drawing>
              <wp:anchor distT="0" distB="0" distL="114300" distR="114300" simplePos="0" relativeHeight="251659264" behindDoc="0" locked="0" layoutInCell="1" allowOverlap="1" wp14:anchorId="10A9B5F9" wp14:editId="5FEC9BEE">
                <wp:simplePos x="0" y="0"/>
                <wp:positionH relativeFrom="column">
                  <wp:posOffset>4103516</wp:posOffset>
                </wp:positionH>
                <wp:positionV relativeFrom="paragraph">
                  <wp:posOffset>5398038</wp:posOffset>
                </wp:positionV>
                <wp:extent cx="2374265"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813ED4B" w14:textId="1326DB78" w:rsidR="006E3786" w:rsidRPr="00D11B1B" w:rsidRDefault="006E3786" w:rsidP="006E3786">
                            <w:pPr>
                              <w:spacing w:after="0" w:line="240" w:lineRule="auto"/>
                              <w:jc w:val="right"/>
                              <w:rPr>
                                <w:sz w:val="20"/>
                                <w:szCs w:val="20"/>
                              </w:rPr>
                            </w:pPr>
                            <w:r w:rsidRPr="00D11B1B">
                              <w:rPr>
                                <w:sz w:val="20"/>
                                <w:szCs w:val="20"/>
                              </w:rPr>
                              <w:t>AHRQ Pub. No. 16</w:t>
                            </w:r>
                            <w:r w:rsidR="00D11B1B" w:rsidRPr="00D11B1B">
                              <w:rPr>
                                <w:sz w:val="20"/>
                                <w:szCs w:val="20"/>
                              </w:rPr>
                              <w:t>(17)</w:t>
                            </w:r>
                            <w:r w:rsidRPr="00D11B1B">
                              <w:rPr>
                                <w:sz w:val="20"/>
                                <w:szCs w:val="20"/>
                              </w:rPr>
                              <w:t>-0018-21-EF</w:t>
                            </w:r>
                          </w:p>
                          <w:p w14:paraId="2D592FAB" w14:textId="6DD0C890" w:rsidR="006E3786" w:rsidRPr="00D11B1B" w:rsidRDefault="00D11B1B" w:rsidP="006E3786">
                            <w:pPr>
                              <w:spacing w:after="0" w:line="240" w:lineRule="auto"/>
                              <w:jc w:val="right"/>
                              <w:rPr>
                                <w:sz w:val="20"/>
                                <w:szCs w:val="20"/>
                              </w:rPr>
                            </w:pPr>
                            <w:r w:rsidRPr="00D11B1B">
                              <w:rPr>
                                <w:sz w:val="20"/>
                                <w:szCs w:val="20"/>
                              </w:rPr>
                              <w:t>January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1pt;margin-top:425.0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" stroked="f">
                <v:textbox style="mso-fit-shape-to-text:t">
                  <w:txbxContent>
                    <w:p w14:paraId="5813ED4B" w14:textId="1326DB78" w:rsidR="006E3786" w:rsidRPr="00D11B1B" w:rsidRDefault="006E3786" w:rsidP="006E3786">
                      <w:pPr>
                        <w:spacing w:after="0" w:line="240" w:lineRule="auto"/>
                        <w:jc w:val="right"/>
                        <w:rPr>
                          <w:sz w:val="20"/>
                          <w:szCs w:val="20"/>
                        </w:rPr>
                      </w:pPr>
                      <w:r w:rsidRPr="00D11B1B">
                        <w:rPr>
                          <w:sz w:val="20"/>
                          <w:szCs w:val="20"/>
                        </w:rPr>
                        <w:t>AHRQ Pub. No. 16</w:t>
                      </w:r>
                      <w:r w:rsidR="00D11B1B" w:rsidRPr="00D11B1B">
                        <w:rPr>
                          <w:sz w:val="20"/>
                          <w:szCs w:val="20"/>
                        </w:rPr>
                        <w:t>(17)</w:t>
                      </w:r>
                      <w:r w:rsidRPr="00D11B1B">
                        <w:rPr>
                          <w:sz w:val="20"/>
                          <w:szCs w:val="20"/>
                        </w:rPr>
                        <w:t>-0018-21-EF</w:t>
                      </w:r>
                    </w:p>
                    <w:p w14:paraId="2D592FAB" w14:textId="6DD0C890" w:rsidR="006E3786" w:rsidRPr="00D11B1B" w:rsidRDefault="00D11B1B" w:rsidP="006E3786">
                      <w:pPr>
                        <w:spacing w:after="0" w:line="240" w:lineRule="auto"/>
                        <w:jc w:val="right"/>
                        <w:rPr>
                          <w:sz w:val="20"/>
                          <w:szCs w:val="20"/>
                        </w:rPr>
                      </w:pPr>
                      <w:r w:rsidRPr="00D11B1B">
                        <w:rPr>
                          <w:sz w:val="20"/>
                          <w:szCs w:val="20"/>
                        </w:rPr>
                        <w:t>January 2017</w:t>
                      </w:r>
                    </w:p>
                  </w:txbxContent>
                </v:textbox>
              </v:shape>
            </w:pict>
          </mc:Fallback>
        </mc:AlternateContent>
      </w:r>
      <w:r w:rsidR="00437A97" w:rsidRPr="00FE444A">
        <w:rPr>
          <w:rFonts w:cs="Arial"/>
          <w:sz w:val="20"/>
          <w:szCs w:val="20"/>
        </w:rPr>
        <w:fldChar w:fldCharType="end"/>
      </w:r>
      <w:bookmarkStart w:id="0" w:name="_GoBack"/>
      <w:bookmarkEnd w:id="0"/>
    </w:p>
    <w:sectPr w:rsidR="00437A97" w:rsidRPr="0006679C" w:rsidSect="008E16B2">
      <w:headerReference w:type="default" r:id="rId18"/>
      <w:headerReference w:type="first" r:id="rId19"/>
      <w:pgSz w:w="12240" w:h="15840" w:code="1"/>
      <w:pgMar w:top="1710" w:right="1440" w:bottom="1296" w:left="1440" w:header="0" w:footer="720" w:gutter="0"/>
      <w:cols w:space="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8F0E94" w15:done="0"/>
  <w15:commentEx w15:paraId="3A48CD50" w15:paraIdParent="168F0E94" w15:done="0"/>
  <w15:commentEx w15:paraId="6852B690" w15:done="0"/>
  <w15:commentEx w15:paraId="757B01D8" w15:paraIdParent="6852B690"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B36B7" w14:textId="77777777" w:rsidR="009E7C5E" w:rsidRDefault="009E7C5E" w:rsidP="00F359C3">
      <w:pPr>
        <w:spacing w:after="0" w:line="240" w:lineRule="auto"/>
      </w:pPr>
      <w:r>
        <w:separator/>
      </w:r>
    </w:p>
  </w:endnote>
  <w:endnote w:type="continuationSeparator" w:id="0">
    <w:p w14:paraId="09AEC700" w14:textId="77777777" w:rsidR="009E7C5E" w:rsidRDefault="009E7C5E" w:rsidP="00F359C3">
      <w:pPr>
        <w:spacing w:after="0" w:line="240" w:lineRule="auto"/>
      </w:pPr>
      <w:r>
        <w:continuationSeparator/>
      </w:r>
    </w:p>
  </w:endnote>
  <w:endnote w:type="continuationNotice" w:id="1">
    <w:p w14:paraId="708CBC4C" w14:textId="77777777" w:rsidR="009E7C5E" w:rsidRDefault="009E7C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dvPA05F">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Garamond-Regular">
    <w:altName w:val="MS Mincho"/>
    <w:panose1 w:val="00000000000000000000"/>
    <w:charset w:val="80"/>
    <w:family w:val="auto"/>
    <w:notTrueType/>
    <w:pitch w:val="default"/>
    <w:sig w:usb0="00000000" w:usb1="08070000" w:usb2="00000010" w:usb3="00000000" w:csb0="00020001" w:csb1="00000000"/>
  </w:font>
  <w:font w:name="TimesTen-Roman">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00BBD" w14:textId="509E12BF" w:rsidR="00510F8A" w:rsidRPr="009E3467" w:rsidRDefault="00510F8A" w:rsidP="009E3467">
    <w:pPr>
      <w:tabs>
        <w:tab w:val="center" w:pos="4680"/>
        <w:tab w:val="left" w:pos="8360"/>
      </w:tabs>
      <w:spacing w:after="0" w:line="240" w:lineRule="auto"/>
      <w:rPr>
        <w:rFonts w:ascii="Gill Sans MT" w:hAnsi="Gill Sans MT"/>
        <w:noProof/>
        <w:color w:val="A6A6A6" w:themeColor="background1" w:themeShade="A6"/>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3F6B6" w14:textId="6AE9CF85" w:rsidR="00510F8A" w:rsidRPr="00332260" w:rsidRDefault="00510F8A" w:rsidP="00B12500">
    <w:pPr>
      <w:framePr w:w="576" w:h="259" w:hRule="exact" w:wrap="around" w:vAnchor="text" w:hAnchor="page" w:x="11626" w:y="443"/>
      <w:rPr>
        <w:color w:val="FFFFFF" w:themeColor="background1"/>
        <w:sz w:val="20"/>
      </w:rPr>
    </w:pPr>
    <w:r w:rsidRPr="00332260">
      <w:rPr>
        <w:color w:val="FFFFFF" w:themeColor="background1"/>
        <w:sz w:val="20"/>
      </w:rPr>
      <w:fldChar w:fldCharType="begin"/>
    </w:r>
    <w:r w:rsidRPr="00332260">
      <w:rPr>
        <w:color w:val="FFFFFF" w:themeColor="background1"/>
        <w:sz w:val="20"/>
      </w:rPr>
      <w:instrText xml:space="preserve"> PAGE  \* Arabic  \* MERGEFORMAT </w:instrText>
    </w:r>
    <w:r w:rsidRPr="00332260">
      <w:rPr>
        <w:color w:val="FFFFFF" w:themeColor="background1"/>
        <w:sz w:val="20"/>
      </w:rPr>
      <w:fldChar w:fldCharType="separate"/>
    </w:r>
    <w:r w:rsidR="00B4335A">
      <w:rPr>
        <w:noProof/>
        <w:color w:val="FFFFFF" w:themeColor="background1"/>
        <w:sz w:val="20"/>
      </w:rPr>
      <w:t>13</w:t>
    </w:r>
    <w:r w:rsidRPr="00332260">
      <w:rPr>
        <w:color w:val="FFFFFF" w:themeColor="background1"/>
        <w:sz w:val="20"/>
      </w:rPr>
      <w:fldChar w:fldCharType="end"/>
    </w:r>
  </w:p>
  <w:p w14:paraId="2204D860" w14:textId="36B1F15D" w:rsidR="00510F8A" w:rsidRPr="009E3467" w:rsidRDefault="003E436A" w:rsidP="009E3467">
    <w:pPr>
      <w:tabs>
        <w:tab w:val="center" w:pos="4680"/>
        <w:tab w:val="left" w:pos="8360"/>
      </w:tabs>
      <w:spacing w:after="0" w:line="240" w:lineRule="auto"/>
      <w:rPr>
        <w:rFonts w:ascii="Gill Sans MT" w:hAnsi="Gill Sans MT"/>
        <w:noProof/>
        <w:color w:val="A6A6A6" w:themeColor="background1" w:themeShade="A6"/>
        <w:sz w:val="20"/>
      </w:rPr>
    </w:pPr>
    <w:r w:rsidRPr="00426D03">
      <w:rPr>
        <w:rFonts w:ascii="Times New Roman" w:hAnsi="Times New Roman"/>
        <w:bCs/>
        <w:noProof/>
        <w:sz w:val="24"/>
        <w:szCs w:val="24"/>
      </w:rPr>
      <mc:AlternateContent>
        <mc:Choice Requires="wps">
          <w:drawing>
            <wp:anchor distT="0" distB="0" distL="114300" distR="114300" simplePos="0" relativeHeight="251659776" behindDoc="0" locked="0" layoutInCell="1" allowOverlap="1" wp14:anchorId="0E531E47" wp14:editId="4C7A93FE">
              <wp:simplePos x="0" y="0"/>
              <wp:positionH relativeFrom="column">
                <wp:posOffset>4822678</wp:posOffset>
              </wp:positionH>
              <wp:positionV relativeFrom="paragraph">
                <wp:posOffset>232606</wp:posOffset>
              </wp:positionV>
              <wp:extent cx="1583055"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583055"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028E9B66" w14:textId="7E1A0042" w:rsidR="00510F8A" w:rsidRPr="002B21D3" w:rsidRDefault="00510F8A" w:rsidP="00426D03">
                          <w:pPr>
                            <w:rPr>
                              <w:color w:val="FFFFFF" w:themeColor="background1"/>
                              <w:sz w:val="20"/>
                              <w:szCs w:val="20"/>
                            </w:rPr>
                          </w:pPr>
                          <w:r w:rsidRPr="002B21D3">
                            <w:rPr>
                              <w:color w:val="FFFFFF" w:themeColor="background1"/>
                              <w:sz w:val="20"/>
                              <w:szCs w:val="20"/>
                            </w:rPr>
                            <w:t>SSD-ETT Literature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379.75pt;margin-top:18.3pt;width:124.6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" filled="f" stroked="f">
              <v:textbox>
                <w:txbxContent>
                  <w:p w14:paraId="028E9B66" w14:textId="7E1A0042" w:rsidR="00510F8A" w:rsidRPr="002B21D3" w:rsidRDefault="00510F8A" w:rsidP="00426D03">
                    <w:pPr>
                      <w:rPr>
                        <w:color w:val="FFFFFF" w:themeColor="background1"/>
                        <w:sz w:val="20"/>
                        <w:szCs w:val="20"/>
                      </w:rPr>
                    </w:pPr>
                    <w:r w:rsidRPr="002B21D3">
                      <w:rPr>
                        <w:color w:val="FFFFFF" w:themeColor="background1"/>
                        <w:sz w:val="20"/>
                        <w:szCs w:val="20"/>
                      </w:rPr>
                      <w:t>SSD-ETT Literature Review</w:t>
                    </w:r>
                  </w:p>
                </w:txbxContent>
              </v:textbox>
            </v:shape>
          </w:pict>
        </mc:Fallback>
      </mc:AlternateContent>
    </w:r>
    <w:r w:rsidRPr="00C36C8F">
      <w:rPr>
        <w:rFonts w:ascii="Times New Roman" w:hAnsi="Times New Roman"/>
        <w:bCs/>
        <w:noProof/>
        <w:sz w:val="24"/>
        <w:szCs w:val="24"/>
      </w:rPr>
      <mc:AlternateContent>
        <mc:Choice Requires="wps">
          <w:drawing>
            <wp:anchor distT="0" distB="0" distL="114300" distR="114300" simplePos="0" relativeHeight="251658752" behindDoc="0" locked="0" layoutInCell="1" allowOverlap="1" wp14:anchorId="29058A16" wp14:editId="7F769E32">
              <wp:simplePos x="0" y="0"/>
              <wp:positionH relativeFrom="column">
                <wp:posOffset>-191770</wp:posOffset>
              </wp:positionH>
              <wp:positionV relativeFrom="paragraph">
                <wp:posOffset>230505</wp:posOffset>
              </wp:positionV>
              <wp:extent cx="3922395" cy="356235"/>
              <wp:effectExtent l="0" t="0" r="1905"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2395" cy="356235"/>
                      </a:xfrm>
                      <a:prstGeom prst="rect">
                        <a:avLst/>
                      </a:prstGeom>
                      <a:solidFill>
                        <a:srgbClr val="FFFFFF"/>
                      </a:solidFill>
                      <a:ln w="9525">
                        <a:noFill/>
                        <a:miter lim="800000"/>
                        <a:headEnd/>
                        <a:tailEnd/>
                      </a:ln>
                    </wps:spPr>
                    <wps:txbx>
                      <w:txbxContent>
                        <w:p w14:paraId="7BD1173E" w14:textId="77777777" w:rsidR="00510F8A" w:rsidRDefault="00510F8A" w:rsidP="00C36C8F">
                          <w:r>
                            <w:t>AHRQ Safety Program for Mechanically Ventilated Patients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058A16" id="Text Box 2" o:spid="_x0000_s1027" type="#_x0000_t202" style="position:absolute;margin-left:-15.1pt;margin-top:18.15pt;width:308.85pt;height:28.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" stroked="f">
              <v:textbox>
                <w:txbxContent>
                  <w:p w14:paraId="7BD1173E" w14:textId="77777777" w:rsidR="00510F8A" w:rsidRDefault="00510F8A" w:rsidP="00C36C8F">
                    <w:r>
                      <w:t>AHRQ Safety Program for Mechanically Ventilated Patients</w:t>
                    </w:r>
                  </w:p>
                </w:txbxContent>
              </v:textbox>
            </v:shape>
          </w:pict>
        </mc:Fallback>
      </mc:AlternateContent>
    </w:r>
    <w:r>
      <w:rPr>
        <w:noProof/>
      </w:rPr>
      <w:drawing>
        <wp:anchor distT="0" distB="0" distL="114300" distR="114300" simplePos="0" relativeHeight="251655680" behindDoc="1" locked="0" layoutInCell="1" allowOverlap="1" wp14:anchorId="1FDBA968" wp14:editId="7F5EBB73">
          <wp:simplePos x="0" y="0"/>
          <wp:positionH relativeFrom="column">
            <wp:posOffset>-914400</wp:posOffset>
          </wp:positionH>
          <wp:positionV relativeFrom="page">
            <wp:posOffset>9486900</wp:posOffset>
          </wp:positionV>
          <wp:extent cx="7772400" cy="4572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57200"/>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F8D68" w14:textId="0376C503" w:rsidR="00510F8A" w:rsidRDefault="00510F8A">
    <w:pPr>
      <w:pStyle w:val="Footer"/>
    </w:pPr>
    <w:r>
      <w:rPr>
        <w:noProof/>
      </w:rPr>
      <w:drawing>
        <wp:anchor distT="0" distB="0" distL="114300" distR="114300" simplePos="0" relativeHeight="251661312" behindDoc="1" locked="0" layoutInCell="1" allowOverlap="1" wp14:anchorId="7E70A4D4" wp14:editId="575DCE6D">
          <wp:simplePos x="0" y="0"/>
          <wp:positionH relativeFrom="column">
            <wp:posOffset>-923290</wp:posOffset>
          </wp:positionH>
          <wp:positionV relativeFrom="paragraph">
            <wp:posOffset>-40005</wp:posOffset>
          </wp:positionV>
          <wp:extent cx="7801573" cy="71323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801573" cy="71323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AC4D6" w14:textId="77777777" w:rsidR="009E7C5E" w:rsidRDefault="009E7C5E" w:rsidP="00F359C3">
      <w:pPr>
        <w:spacing w:after="0" w:line="240" w:lineRule="auto"/>
      </w:pPr>
      <w:r>
        <w:separator/>
      </w:r>
    </w:p>
  </w:footnote>
  <w:footnote w:type="continuationSeparator" w:id="0">
    <w:p w14:paraId="476931BE" w14:textId="77777777" w:rsidR="009E7C5E" w:rsidRDefault="009E7C5E" w:rsidP="00F359C3">
      <w:pPr>
        <w:spacing w:after="0" w:line="240" w:lineRule="auto"/>
      </w:pPr>
      <w:r>
        <w:continuationSeparator/>
      </w:r>
    </w:p>
  </w:footnote>
  <w:footnote w:type="continuationNotice" w:id="1">
    <w:p w14:paraId="62AE8F26" w14:textId="77777777" w:rsidR="009E7C5E" w:rsidRDefault="009E7C5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4DAE9" w14:textId="007990D1" w:rsidR="00510F8A" w:rsidRPr="00334A89" w:rsidRDefault="00510F8A" w:rsidP="00334A89">
    <w:pPr>
      <w:spacing w:line="240" w:lineRule="auto"/>
      <w:contextualSpacing/>
      <w:jc w:val="center"/>
      <w:rPr>
        <w:b/>
        <w:color w:val="FFFFFF" w:themeColor="background1"/>
        <w:sz w:val="48"/>
        <w:szCs w:val="48"/>
      </w:rPr>
    </w:pPr>
    <w:r w:rsidRPr="00334A89">
      <w:rPr>
        <w:b/>
        <w:color w:val="FFFFFF" w:themeColor="background1"/>
        <w:sz w:val="48"/>
        <w:szCs w:val="48"/>
      </w:rPr>
      <w:t>AHRQ Safety Program for</w:t>
    </w:r>
  </w:p>
  <w:p w14:paraId="37A999AF" w14:textId="52B544EB" w:rsidR="00510F8A" w:rsidRPr="00334A89" w:rsidRDefault="00510F8A" w:rsidP="00334A89">
    <w:pPr>
      <w:spacing w:line="240" w:lineRule="auto"/>
      <w:contextualSpacing/>
      <w:jc w:val="center"/>
      <w:rPr>
        <w:b/>
        <w:color w:val="FFFFFF" w:themeColor="background1"/>
        <w:sz w:val="48"/>
        <w:szCs w:val="48"/>
      </w:rPr>
    </w:pPr>
    <w:r w:rsidRPr="00334A89">
      <w:rPr>
        <w:b/>
        <w:color w:val="FFFFFF" w:themeColor="background1"/>
        <w:sz w:val="48"/>
        <w:szCs w:val="48"/>
      </w:rPr>
      <w:t>Mechanically Ventilated Patients</w:t>
    </w:r>
  </w:p>
  <w:p w14:paraId="762F028B" w14:textId="77777777" w:rsidR="00510F8A" w:rsidRDefault="00510F8A" w:rsidP="00334A89">
    <w:pPr>
      <w:pStyle w:val="Title"/>
      <w:rPr>
        <w:sz w:val="32"/>
      </w:rPr>
    </w:pPr>
  </w:p>
  <w:p w14:paraId="04818FE7" w14:textId="77777777" w:rsidR="00510F8A" w:rsidRDefault="00510F8A" w:rsidP="00334A89">
    <w:pPr>
      <w:pStyle w:val="Title"/>
      <w:rPr>
        <w:sz w:val="32"/>
      </w:rPr>
    </w:pPr>
  </w:p>
  <w:p w14:paraId="716B5CC0" w14:textId="12C1B44E" w:rsidR="00510F8A" w:rsidRDefault="00510F8A" w:rsidP="00D11B1B">
    <w:pPr>
      <w:pStyle w:val="Title"/>
      <w:jc w:val="center"/>
      <w:rPr>
        <w:sz w:val="32"/>
      </w:rPr>
    </w:pPr>
    <w:r w:rsidRPr="00334A89">
      <w:rPr>
        <w:noProof/>
        <w:sz w:val="32"/>
      </w:rPr>
      <w:drawing>
        <wp:anchor distT="0" distB="0" distL="114300" distR="114300" simplePos="0" relativeHeight="251659264" behindDoc="1" locked="0" layoutInCell="1" allowOverlap="0" wp14:anchorId="0EEB4A37" wp14:editId="52F1CC33">
          <wp:simplePos x="0" y="0"/>
          <wp:positionH relativeFrom="column">
            <wp:posOffset>-923290</wp:posOffset>
          </wp:positionH>
          <wp:positionV relativeFrom="page">
            <wp:posOffset>-631190</wp:posOffset>
          </wp:positionV>
          <wp:extent cx="7781544" cy="2058549"/>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81544" cy="20585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A89">
      <w:rPr>
        <w:sz w:val="32"/>
      </w:rPr>
      <w:t>Subglottic Secretion Drainage Endotracheal Tubes</w:t>
    </w:r>
  </w:p>
  <w:p w14:paraId="34AA8512" w14:textId="2ADAECFC" w:rsidR="00510F8A" w:rsidRPr="00334A89" w:rsidRDefault="008B1F5A" w:rsidP="00D11B1B">
    <w:pPr>
      <w:pStyle w:val="Title"/>
      <w:jc w:val="center"/>
      <w:rPr>
        <w:sz w:val="32"/>
      </w:rPr>
    </w:pPr>
    <w:r>
      <w:rPr>
        <w:sz w:val="32"/>
      </w:rPr>
      <w:t>Literature Review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C3A0F" w14:textId="77777777" w:rsidR="00510F8A" w:rsidRDefault="00510F8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2BD30" w14:textId="307C73FE" w:rsidR="00510F8A" w:rsidRPr="00334A89" w:rsidRDefault="00510F8A" w:rsidP="008E16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1A54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0E16CD"/>
    <w:multiLevelType w:val="hybridMultilevel"/>
    <w:tmpl w:val="F65249C2"/>
    <w:lvl w:ilvl="0" w:tplc="DBE8150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2A6AFB"/>
    <w:multiLevelType w:val="hybridMultilevel"/>
    <w:tmpl w:val="B972CA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832C05"/>
    <w:multiLevelType w:val="hybridMultilevel"/>
    <w:tmpl w:val="F2184E08"/>
    <w:lvl w:ilvl="0" w:tplc="EE18C8B2">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6355FD"/>
    <w:multiLevelType w:val="hybridMultilevel"/>
    <w:tmpl w:val="474CC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CC5B42"/>
    <w:multiLevelType w:val="hybridMultilevel"/>
    <w:tmpl w:val="951CB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225884"/>
    <w:multiLevelType w:val="hybridMultilevel"/>
    <w:tmpl w:val="88164652"/>
    <w:lvl w:ilvl="0" w:tplc="0AC8E11C">
      <w:start w:val="1"/>
      <w:numFmt w:val="bullet"/>
      <w:pStyle w:val="MainPointGuideline"/>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5461AD"/>
    <w:multiLevelType w:val="hybridMultilevel"/>
    <w:tmpl w:val="F190C04C"/>
    <w:lvl w:ilvl="0" w:tplc="FDB009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1"/>
  </w:num>
  <w:num w:numId="5">
    <w:abstractNumId w:val="2"/>
  </w:num>
  <w:num w:numId="6">
    <w:abstractNumId w:val="3"/>
  </w:num>
  <w:num w:numId="7">
    <w:abstractNumId w:val="7"/>
  </w:num>
  <w:num w:numId="8">
    <w:abstractNumId w:val="6"/>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Kirkley">
    <w15:presenceInfo w15:providerId="AD" w15:userId="S-1-5-21-1214440339-484763869-725345543-4649890"/>
  </w15:person>
  <w15:person w15:author="Anna Adler-Kirkley [2]">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ttachedTemplate r:id="rId1"/>
  <w:defaultTabStop w:val="720"/>
  <w:drawingGridHorizontalSpacing w:val="12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327F"/>
    <w:rsid w:val="00003F69"/>
    <w:rsid w:val="000078BA"/>
    <w:rsid w:val="00007F7D"/>
    <w:rsid w:val="0001377C"/>
    <w:rsid w:val="000206DC"/>
    <w:rsid w:val="00020CCA"/>
    <w:rsid w:val="00026020"/>
    <w:rsid w:val="00026A8E"/>
    <w:rsid w:val="000278A3"/>
    <w:rsid w:val="00027DAB"/>
    <w:rsid w:val="0003495C"/>
    <w:rsid w:val="00034E56"/>
    <w:rsid w:val="00044818"/>
    <w:rsid w:val="00056F35"/>
    <w:rsid w:val="000615AD"/>
    <w:rsid w:val="000638F7"/>
    <w:rsid w:val="00066722"/>
    <w:rsid w:val="0006679C"/>
    <w:rsid w:val="00070062"/>
    <w:rsid w:val="00080BB7"/>
    <w:rsid w:val="00085598"/>
    <w:rsid w:val="00085657"/>
    <w:rsid w:val="0008711E"/>
    <w:rsid w:val="000A157A"/>
    <w:rsid w:val="000A494E"/>
    <w:rsid w:val="000B2E18"/>
    <w:rsid w:val="000B3315"/>
    <w:rsid w:val="000B3BAA"/>
    <w:rsid w:val="000B6C49"/>
    <w:rsid w:val="000C1A8A"/>
    <w:rsid w:val="000D15D2"/>
    <w:rsid w:val="000D397A"/>
    <w:rsid w:val="000D3B14"/>
    <w:rsid w:val="000D4982"/>
    <w:rsid w:val="000E0468"/>
    <w:rsid w:val="000E23B7"/>
    <w:rsid w:val="000F26AA"/>
    <w:rsid w:val="000F6590"/>
    <w:rsid w:val="001218E2"/>
    <w:rsid w:val="001264A9"/>
    <w:rsid w:val="0012750D"/>
    <w:rsid w:val="00131D50"/>
    <w:rsid w:val="00164DDE"/>
    <w:rsid w:val="00171F28"/>
    <w:rsid w:val="00176947"/>
    <w:rsid w:val="00193ABA"/>
    <w:rsid w:val="001A15BE"/>
    <w:rsid w:val="001A267B"/>
    <w:rsid w:val="001A4E30"/>
    <w:rsid w:val="001A71B0"/>
    <w:rsid w:val="001B1DE0"/>
    <w:rsid w:val="001B5AF7"/>
    <w:rsid w:val="001C5728"/>
    <w:rsid w:val="001E17E7"/>
    <w:rsid w:val="001F199A"/>
    <w:rsid w:val="001F1EC3"/>
    <w:rsid w:val="002038EA"/>
    <w:rsid w:val="0022397C"/>
    <w:rsid w:val="002317EB"/>
    <w:rsid w:val="00236A2B"/>
    <w:rsid w:val="002408B6"/>
    <w:rsid w:val="002457B3"/>
    <w:rsid w:val="002458F2"/>
    <w:rsid w:val="002476C4"/>
    <w:rsid w:val="00252EDC"/>
    <w:rsid w:val="00260908"/>
    <w:rsid w:val="00260BB2"/>
    <w:rsid w:val="002679BE"/>
    <w:rsid w:val="0027123F"/>
    <w:rsid w:val="00273E43"/>
    <w:rsid w:val="00275160"/>
    <w:rsid w:val="002751DC"/>
    <w:rsid w:val="00277353"/>
    <w:rsid w:val="00277EBF"/>
    <w:rsid w:val="00285EE8"/>
    <w:rsid w:val="0029197B"/>
    <w:rsid w:val="00292C05"/>
    <w:rsid w:val="00293C0A"/>
    <w:rsid w:val="00297FB4"/>
    <w:rsid w:val="002A5302"/>
    <w:rsid w:val="002A69F0"/>
    <w:rsid w:val="002B1D5C"/>
    <w:rsid w:val="002B21D3"/>
    <w:rsid w:val="002B60B2"/>
    <w:rsid w:val="002C14C8"/>
    <w:rsid w:val="002C771E"/>
    <w:rsid w:val="002D21BB"/>
    <w:rsid w:val="002D4B04"/>
    <w:rsid w:val="002D57BF"/>
    <w:rsid w:val="002E2C20"/>
    <w:rsid w:val="002F3F30"/>
    <w:rsid w:val="002F7984"/>
    <w:rsid w:val="00306931"/>
    <w:rsid w:val="003150F3"/>
    <w:rsid w:val="00316B37"/>
    <w:rsid w:val="0032024A"/>
    <w:rsid w:val="00326EBB"/>
    <w:rsid w:val="00332260"/>
    <w:rsid w:val="00334A89"/>
    <w:rsid w:val="0034738A"/>
    <w:rsid w:val="003539AA"/>
    <w:rsid w:val="0036516C"/>
    <w:rsid w:val="003672C9"/>
    <w:rsid w:val="003810A7"/>
    <w:rsid w:val="00381F98"/>
    <w:rsid w:val="00386C57"/>
    <w:rsid w:val="00387C9C"/>
    <w:rsid w:val="003959B7"/>
    <w:rsid w:val="003A1AE9"/>
    <w:rsid w:val="003B145D"/>
    <w:rsid w:val="003B6D71"/>
    <w:rsid w:val="003C28FE"/>
    <w:rsid w:val="003C5E7F"/>
    <w:rsid w:val="003D318C"/>
    <w:rsid w:val="003D736B"/>
    <w:rsid w:val="003E0D33"/>
    <w:rsid w:val="003E436A"/>
    <w:rsid w:val="00403FD5"/>
    <w:rsid w:val="00425D9D"/>
    <w:rsid w:val="00426D03"/>
    <w:rsid w:val="00433EBF"/>
    <w:rsid w:val="004356CE"/>
    <w:rsid w:val="00436E2D"/>
    <w:rsid w:val="00437A97"/>
    <w:rsid w:val="00442AFB"/>
    <w:rsid w:val="00444599"/>
    <w:rsid w:val="00480507"/>
    <w:rsid w:val="004860E3"/>
    <w:rsid w:val="00492EC3"/>
    <w:rsid w:val="004A7B75"/>
    <w:rsid w:val="004C21E9"/>
    <w:rsid w:val="004C5963"/>
    <w:rsid w:val="004C6F52"/>
    <w:rsid w:val="004D10F3"/>
    <w:rsid w:val="004D15AB"/>
    <w:rsid w:val="004E0859"/>
    <w:rsid w:val="004F0480"/>
    <w:rsid w:val="00501ABC"/>
    <w:rsid w:val="0050743C"/>
    <w:rsid w:val="00510F8A"/>
    <w:rsid w:val="005379B7"/>
    <w:rsid w:val="00540A70"/>
    <w:rsid w:val="00540E45"/>
    <w:rsid w:val="00541181"/>
    <w:rsid w:val="00541AF8"/>
    <w:rsid w:val="0054510E"/>
    <w:rsid w:val="005455CC"/>
    <w:rsid w:val="00554388"/>
    <w:rsid w:val="00561085"/>
    <w:rsid w:val="00563014"/>
    <w:rsid w:val="00563464"/>
    <w:rsid w:val="00570CC9"/>
    <w:rsid w:val="00572883"/>
    <w:rsid w:val="00581137"/>
    <w:rsid w:val="0058283D"/>
    <w:rsid w:val="0059255E"/>
    <w:rsid w:val="00593D5E"/>
    <w:rsid w:val="0059523A"/>
    <w:rsid w:val="00597217"/>
    <w:rsid w:val="005A2744"/>
    <w:rsid w:val="005A60FD"/>
    <w:rsid w:val="005B0CD5"/>
    <w:rsid w:val="005C6732"/>
    <w:rsid w:val="005D0889"/>
    <w:rsid w:val="005D555B"/>
    <w:rsid w:val="005D7075"/>
    <w:rsid w:val="005E457F"/>
    <w:rsid w:val="005E7817"/>
    <w:rsid w:val="005F4812"/>
    <w:rsid w:val="005F6C9C"/>
    <w:rsid w:val="00606506"/>
    <w:rsid w:val="00606904"/>
    <w:rsid w:val="00610B0F"/>
    <w:rsid w:val="00614D93"/>
    <w:rsid w:val="006226B2"/>
    <w:rsid w:val="0062332B"/>
    <w:rsid w:val="00625904"/>
    <w:rsid w:val="00633A0F"/>
    <w:rsid w:val="00651B15"/>
    <w:rsid w:val="0065240C"/>
    <w:rsid w:val="00653187"/>
    <w:rsid w:val="00653533"/>
    <w:rsid w:val="00667F7B"/>
    <w:rsid w:val="00671212"/>
    <w:rsid w:val="00671609"/>
    <w:rsid w:val="00687408"/>
    <w:rsid w:val="006A250D"/>
    <w:rsid w:val="006A4BD3"/>
    <w:rsid w:val="006B726A"/>
    <w:rsid w:val="006C1094"/>
    <w:rsid w:val="006C20C0"/>
    <w:rsid w:val="006C2EE3"/>
    <w:rsid w:val="006C798E"/>
    <w:rsid w:val="006D32B2"/>
    <w:rsid w:val="006D37D7"/>
    <w:rsid w:val="006D3BF9"/>
    <w:rsid w:val="006D78E9"/>
    <w:rsid w:val="006E0A9C"/>
    <w:rsid w:val="006E3786"/>
    <w:rsid w:val="006E622C"/>
    <w:rsid w:val="006E76B9"/>
    <w:rsid w:val="006F06AC"/>
    <w:rsid w:val="006F2865"/>
    <w:rsid w:val="007041FB"/>
    <w:rsid w:val="00704ED3"/>
    <w:rsid w:val="0070678E"/>
    <w:rsid w:val="0071722D"/>
    <w:rsid w:val="00717F07"/>
    <w:rsid w:val="00720980"/>
    <w:rsid w:val="00723EC8"/>
    <w:rsid w:val="0072576A"/>
    <w:rsid w:val="0073230A"/>
    <w:rsid w:val="00754B71"/>
    <w:rsid w:val="00764836"/>
    <w:rsid w:val="0078029D"/>
    <w:rsid w:val="00782F75"/>
    <w:rsid w:val="00783419"/>
    <w:rsid w:val="00791D72"/>
    <w:rsid w:val="00795968"/>
    <w:rsid w:val="007A1717"/>
    <w:rsid w:val="007A20BD"/>
    <w:rsid w:val="007A2512"/>
    <w:rsid w:val="007A4E86"/>
    <w:rsid w:val="007A641C"/>
    <w:rsid w:val="007A71DA"/>
    <w:rsid w:val="007A746F"/>
    <w:rsid w:val="007B40BA"/>
    <w:rsid w:val="007C1DE1"/>
    <w:rsid w:val="007C1F7F"/>
    <w:rsid w:val="007D3FD6"/>
    <w:rsid w:val="007D6B6D"/>
    <w:rsid w:val="007F2A23"/>
    <w:rsid w:val="007F5956"/>
    <w:rsid w:val="007F6249"/>
    <w:rsid w:val="00807F69"/>
    <w:rsid w:val="00817004"/>
    <w:rsid w:val="008269B9"/>
    <w:rsid w:val="00837CDB"/>
    <w:rsid w:val="00843060"/>
    <w:rsid w:val="008500C8"/>
    <w:rsid w:val="00866582"/>
    <w:rsid w:val="008709AF"/>
    <w:rsid w:val="00875A41"/>
    <w:rsid w:val="008906FA"/>
    <w:rsid w:val="008A097A"/>
    <w:rsid w:val="008B1F5A"/>
    <w:rsid w:val="008B402F"/>
    <w:rsid w:val="008B586B"/>
    <w:rsid w:val="008B629F"/>
    <w:rsid w:val="008C4773"/>
    <w:rsid w:val="008C4A21"/>
    <w:rsid w:val="008D117B"/>
    <w:rsid w:val="008D450E"/>
    <w:rsid w:val="008D575E"/>
    <w:rsid w:val="008E16B2"/>
    <w:rsid w:val="008E37AC"/>
    <w:rsid w:val="008E45D9"/>
    <w:rsid w:val="008F011B"/>
    <w:rsid w:val="00903B96"/>
    <w:rsid w:val="0091306D"/>
    <w:rsid w:val="00922842"/>
    <w:rsid w:val="00924AA7"/>
    <w:rsid w:val="00946A29"/>
    <w:rsid w:val="00955DDE"/>
    <w:rsid w:val="00956E94"/>
    <w:rsid w:val="009742AF"/>
    <w:rsid w:val="009858D1"/>
    <w:rsid w:val="00986DCE"/>
    <w:rsid w:val="00987C5C"/>
    <w:rsid w:val="00991698"/>
    <w:rsid w:val="009A15E5"/>
    <w:rsid w:val="009A705A"/>
    <w:rsid w:val="009B0728"/>
    <w:rsid w:val="009B59BB"/>
    <w:rsid w:val="009B5B4C"/>
    <w:rsid w:val="009B7EA1"/>
    <w:rsid w:val="009C2464"/>
    <w:rsid w:val="009C3E61"/>
    <w:rsid w:val="009C4215"/>
    <w:rsid w:val="009C51D6"/>
    <w:rsid w:val="009C65AA"/>
    <w:rsid w:val="009D05F9"/>
    <w:rsid w:val="009E3467"/>
    <w:rsid w:val="009E5F03"/>
    <w:rsid w:val="009E7C5E"/>
    <w:rsid w:val="009F04D1"/>
    <w:rsid w:val="009F0D10"/>
    <w:rsid w:val="009F1B0C"/>
    <w:rsid w:val="009F30D6"/>
    <w:rsid w:val="00A01DD4"/>
    <w:rsid w:val="00A05D14"/>
    <w:rsid w:val="00A05D36"/>
    <w:rsid w:val="00A07A67"/>
    <w:rsid w:val="00A23D79"/>
    <w:rsid w:val="00A31B6C"/>
    <w:rsid w:val="00A33AFA"/>
    <w:rsid w:val="00A34BAA"/>
    <w:rsid w:val="00A37C0D"/>
    <w:rsid w:val="00A44F18"/>
    <w:rsid w:val="00A45FDA"/>
    <w:rsid w:val="00A46C67"/>
    <w:rsid w:val="00A505D4"/>
    <w:rsid w:val="00A5582A"/>
    <w:rsid w:val="00A67EA1"/>
    <w:rsid w:val="00A67F5C"/>
    <w:rsid w:val="00A710E9"/>
    <w:rsid w:val="00A802FB"/>
    <w:rsid w:val="00A92CA7"/>
    <w:rsid w:val="00A93FF3"/>
    <w:rsid w:val="00AA67F7"/>
    <w:rsid w:val="00AB3D0D"/>
    <w:rsid w:val="00AD0796"/>
    <w:rsid w:val="00AD4127"/>
    <w:rsid w:val="00AD45F7"/>
    <w:rsid w:val="00AE3F4D"/>
    <w:rsid w:val="00AE5365"/>
    <w:rsid w:val="00AF358C"/>
    <w:rsid w:val="00B06D38"/>
    <w:rsid w:val="00B1178F"/>
    <w:rsid w:val="00B12500"/>
    <w:rsid w:val="00B143E5"/>
    <w:rsid w:val="00B169A4"/>
    <w:rsid w:val="00B218EF"/>
    <w:rsid w:val="00B22C41"/>
    <w:rsid w:val="00B307E7"/>
    <w:rsid w:val="00B4335A"/>
    <w:rsid w:val="00B57A47"/>
    <w:rsid w:val="00B628E1"/>
    <w:rsid w:val="00B6314D"/>
    <w:rsid w:val="00B66CD8"/>
    <w:rsid w:val="00B66FDF"/>
    <w:rsid w:val="00B71E96"/>
    <w:rsid w:val="00B727CE"/>
    <w:rsid w:val="00B74B1B"/>
    <w:rsid w:val="00B764EE"/>
    <w:rsid w:val="00B87D2A"/>
    <w:rsid w:val="00B9055E"/>
    <w:rsid w:val="00B92FCE"/>
    <w:rsid w:val="00B939CA"/>
    <w:rsid w:val="00BA0AB2"/>
    <w:rsid w:val="00BA23A0"/>
    <w:rsid w:val="00BA2D91"/>
    <w:rsid w:val="00BA40D9"/>
    <w:rsid w:val="00BB1466"/>
    <w:rsid w:val="00BB2261"/>
    <w:rsid w:val="00BB4DD8"/>
    <w:rsid w:val="00BC0DDC"/>
    <w:rsid w:val="00BC18F5"/>
    <w:rsid w:val="00BC54FE"/>
    <w:rsid w:val="00BE3BC5"/>
    <w:rsid w:val="00BE586B"/>
    <w:rsid w:val="00BE7857"/>
    <w:rsid w:val="00C1408A"/>
    <w:rsid w:val="00C169BF"/>
    <w:rsid w:val="00C20328"/>
    <w:rsid w:val="00C243D0"/>
    <w:rsid w:val="00C36C8F"/>
    <w:rsid w:val="00C37C6C"/>
    <w:rsid w:val="00C4770C"/>
    <w:rsid w:val="00C512D0"/>
    <w:rsid w:val="00C527C4"/>
    <w:rsid w:val="00C53CCE"/>
    <w:rsid w:val="00C63E50"/>
    <w:rsid w:val="00C64108"/>
    <w:rsid w:val="00C65694"/>
    <w:rsid w:val="00C802D6"/>
    <w:rsid w:val="00C815D8"/>
    <w:rsid w:val="00C863F6"/>
    <w:rsid w:val="00C91C1F"/>
    <w:rsid w:val="00C94761"/>
    <w:rsid w:val="00C97968"/>
    <w:rsid w:val="00CA2E70"/>
    <w:rsid w:val="00CA32B8"/>
    <w:rsid w:val="00CB0A72"/>
    <w:rsid w:val="00CB1A76"/>
    <w:rsid w:val="00CB6904"/>
    <w:rsid w:val="00CC047F"/>
    <w:rsid w:val="00CC3908"/>
    <w:rsid w:val="00CC45FF"/>
    <w:rsid w:val="00CC5341"/>
    <w:rsid w:val="00CD5B35"/>
    <w:rsid w:val="00CE08B6"/>
    <w:rsid w:val="00CE66FB"/>
    <w:rsid w:val="00CF00B3"/>
    <w:rsid w:val="00CF0F09"/>
    <w:rsid w:val="00D02906"/>
    <w:rsid w:val="00D0452A"/>
    <w:rsid w:val="00D0761B"/>
    <w:rsid w:val="00D109B3"/>
    <w:rsid w:val="00D11B1B"/>
    <w:rsid w:val="00D24661"/>
    <w:rsid w:val="00D25A00"/>
    <w:rsid w:val="00D25E20"/>
    <w:rsid w:val="00D268D1"/>
    <w:rsid w:val="00D42BC9"/>
    <w:rsid w:val="00D432BE"/>
    <w:rsid w:val="00D517EF"/>
    <w:rsid w:val="00D57948"/>
    <w:rsid w:val="00D61C2F"/>
    <w:rsid w:val="00D6285E"/>
    <w:rsid w:val="00D67849"/>
    <w:rsid w:val="00D73357"/>
    <w:rsid w:val="00D73A21"/>
    <w:rsid w:val="00D84CEC"/>
    <w:rsid w:val="00D85016"/>
    <w:rsid w:val="00DA1947"/>
    <w:rsid w:val="00DC6CF4"/>
    <w:rsid w:val="00DD2DB4"/>
    <w:rsid w:val="00DD4443"/>
    <w:rsid w:val="00DE7725"/>
    <w:rsid w:val="00DF0C40"/>
    <w:rsid w:val="00DF5987"/>
    <w:rsid w:val="00E00B88"/>
    <w:rsid w:val="00E03BFB"/>
    <w:rsid w:val="00E10C71"/>
    <w:rsid w:val="00E12A4C"/>
    <w:rsid w:val="00E138F6"/>
    <w:rsid w:val="00E14C4F"/>
    <w:rsid w:val="00E27175"/>
    <w:rsid w:val="00E32105"/>
    <w:rsid w:val="00E34066"/>
    <w:rsid w:val="00E369D9"/>
    <w:rsid w:val="00E50623"/>
    <w:rsid w:val="00E66848"/>
    <w:rsid w:val="00E67804"/>
    <w:rsid w:val="00E71044"/>
    <w:rsid w:val="00E77167"/>
    <w:rsid w:val="00E77B62"/>
    <w:rsid w:val="00E80436"/>
    <w:rsid w:val="00E8255D"/>
    <w:rsid w:val="00E8487A"/>
    <w:rsid w:val="00E92006"/>
    <w:rsid w:val="00E959D8"/>
    <w:rsid w:val="00E978AD"/>
    <w:rsid w:val="00EA597A"/>
    <w:rsid w:val="00EB242A"/>
    <w:rsid w:val="00EB5E0D"/>
    <w:rsid w:val="00EB7F47"/>
    <w:rsid w:val="00EC13B3"/>
    <w:rsid w:val="00EC3E20"/>
    <w:rsid w:val="00ED5CA6"/>
    <w:rsid w:val="00EE216A"/>
    <w:rsid w:val="00EE3B37"/>
    <w:rsid w:val="00EE4AE5"/>
    <w:rsid w:val="00EF0082"/>
    <w:rsid w:val="00EF5093"/>
    <w:rsid w:val="00F006C1"/>
    <w:rsid w:val="00F01EDC"/>
    <w:rsid w:val="00F04AAB"/>
    <w:rsid w:val="00F1201E"/>
    <w:rsid w:val="00F1739C"/>
    <w:rsid w:val="00F27FD3"/>
    <w:rsid w:val="00F326E8"/>
    <w:rsid w:val="00F33480"/>
    <w:rsid w:val="00F340B3"/>
    <w:rsid w:val="00F359C3"/>
    <w:rsid w:val="00F63F1E"/>
    <w:rsid w:val="00F64DE2"/>
    <w:rsid w:val="00F67EAB"/>
    <w:rsid w:val="00F726B6"/>
    <w:rsid w:val="00F74713"/>
    <w:rsid w:val="00F829E0"/>
    <w:rsid w:val="00F83965"/>
    <w:rsid w:val="00F860B3"/>
    <w:rsid w:val="00F87EFA"/>
    <w:rsid w:val="00FA5CC5"/>
    <w:rsid w:val="00FB4983"/>
    <w:rsid w:val="00FB7211"/>
    <w:rsid w:val="00FC251A"/>
    <w:rsid w:val="00FC5507"/>
    <w:rsid w:val="00FC7637"/>
    <w:rsid w:val="00FD08F9"/>
    <w:rsid w:val="00FE444A"/>
    <w:rsid w:val="00FE5977"/>
    <w:rsid w:val="00FE6158"/>
    <w:rsid w:val="00FF350C"/>
    <w:rsid w:val="00FF446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57CA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85E"/>
  </w:style>
  <w:style w:type="paragraph" w:styleId="Heading1">
    <w:name w:val="heading 1"/>
    <w:basedOn w:val="Normal"/>
    <w:next w:val="Normal"/>
    <w:link w:val="Heading1Char"/>
    <w:uiPriority w:val="9"/>
    <w:qFormat/>
    <w:rsid w:val="00D628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28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6285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628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6285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6285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6285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6285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D628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85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628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6285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6285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6285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6285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6285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6285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6285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628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285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628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6285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6285E"/>
    <w:rPr>
      <w:b/>
      <w:bCs/>
    </w:rPr>
  </w:style>
  <w:style w:type="character" w:styleId="Emphasis">
    <w:name w:val="Emphasis"/>
    <w:basedOn w:val="DefaultParagraphFont"/>
    <w:uiPriority w:val="20"/>
    <w:qFormat/>
    <w:rsid w:val="00D6285E"/>
    <w:rPr>
      <w:i/>
      <w:iCs/>
    </w:rPr>
  </w:style>
  <w:style w:type="paragraph" w:customStyle="1" w:styleId="NoSpacing1">
    <w:name w:val="No Spacing1"/>
    <w:basedOn w:val="Normal"/>
    <w:uiPriority w:val="1"/>
    <w:rsid w:val="008D450E"/>
    <w:pPr>
      <w:spacing w:after="0" w:line="240" w:lineRule="auto"/>
    </w:pPr>
  </w:style>
  <w:style w:type="paragraph" w:customStyle="1" w:styleId="ColorfulList-Accent11">
    <w:name w:val="Colorful List - Accent 11"/>
    <w:basedOn w:val="Normal"/>
    <w:uiPriority w:val="34"/>
    <w:rsid w:val="008D450E"/>
    <w:pPr>
      <w:ind w:left="720"/>
      <w:contextualSpacing/>
    </w:pPr>
  </w:style>
  <w:style w:type="paragraph" w:customStyle="1" w:styleId="ColorfulGrid-Accent11">
    <w:name w:val="Colorful Grid - Accent 11"/>
    <w:basedOn w:val="Normal"/>
    <w:next w:val="Normal"/>
    <w:link w:val="ColorfulGrid-Accent1Char"/>
    <w:uiPriority w:val="29"/>
    <w:rsid w:val="008D450E"/>
    <w:pPr>
      <w:spacing w:before="200" w:after="0"/>
      <w:ind w:left="360" w:right="360"/>
    </w:pPr>
    <w:rPr>
      <w:rFonts w:ascii="Calibri" w:hAnsi="Calibri"/>
      <w:i/>
      <w:iCs/>
      <w:sz w:val="20"/>
      <w:szCs w:val="20"/>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rsid w:val="008D450E"/>
    <w:pPr>
      <w:pBdr>
        <w:bottom w:val="single" w:sz="4" w:space="1" w:color="auto"/>
      </w:pBdr>
      <w:spacing w:before="200" w:after="280"/>
      <w:ind w:left="1008" w:right="1152"/>
      <w:jc w:val="both"/>
    </w:pPr>
    <w:rPr>
      <w:rFonts w:ascii="Calibri" w:hAnsi="Calibri"/>
      <w:b/>
      <w:bCs/>
      <w:i/>
      <w:iCs/>
      <w:sz w:val="20"/>
      <w:szCs w:val="20"/>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rsid w:val="008D450E"/>
    <w:rPr>
      <w:i/>
      <w:iCs/>
    </w:rPr>
  </w:style>
  <w:style w:type="character" w:customStyle="1" w:styleId="IntenseEmphasis1">
    <w:name w:val="Intense Emphasis1"/>
    <w:uiPriority w:val="21"/>
    <w:rsid w:val="008D450E"/>
    <w:rPr>
      <w:b/>
      <w:bCs/>
    </w:rPr>
  </w:style>
  <w:style w:type="character" w:customStyle="1" w:styleId="SubtleReference1">
    <w:name w:val="Subtle Reference1"/>
    <w:uiPriority w:val="31"/>
    <w:rsid w:val="008D450E"/>
    <w:rPr>
      <w:smallCaps/>
    </w:rPr>
  </w:style>
  <w:style w:type="character" w:customStyle="1" w:styleId="IntenseReference1">
    <w:name w:val="Intense Reference1"/>
    <w:uiPriority w:val="32"/>
    <w:rsid w:val="008D450E"/>
    <w:rPr>
      <w:smallCaps/>
      <w:spacing w:val="5"/>
      <w:u w:val="single"/>
    </w:rPr>
  </w:style>
  <w:style w:type="character" w:customStyle="1" w:styleId="BookTitle1">
    <w:name w:val="Book Title1"/>
    <w:uiPriority w:val="33"/>
    <w:rsid w:val="008D450E"/>
    <w:rPr>
      <w:i/>
      <w:iCs/>
      <w:smallCaps/>
      <w:spacing w:val="5"/>
    </w:rPr>
  </w:style>
  <w:style w:type="paragraph" w:customStyle="1" w:styleId="TOCHeading1">
    <w:name w:val="TOC Heading1"/>
    <w:basedOn w:val="Heading1"/>
    <w:next w:val="Normal"/>
    <w:uiPriority w:val="39"/>
    <w:semiHidden/>
    <w:unhideWhenUsed/>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E50623"/>
    <w:rPr>
      <w:color w:val="0000FF"/>
      <w:u w:val="single"/>
    </w:rPr>
  </w:style>
  <w:style w:type="paragraph" w:customStyle="1" w:styleId="ColorfulShading-Accent11">
    <w:name w:val="Colorful Shading - Accent 11"/>
    <w:hidden/>
    <w:uiPriority w:val="71"/>
    <w:rsid w:val="007F2A23"/>
    <w:rPr>
      <w:rFonts w:ascii="Times New Roman" w:hAnsi="Times New Roman"/>
      <w:sz w:val="24"/>
      <w:lang w:bidi="en-US"/>
    </w:rPr>
  </w:style>
  <w:style w:type="character" w:styleId="CommentReference">
    <w:name w:val="annotation reference"/>
    <w:uiPriority w:val="99"/>
    <w:semiHidden/>
    <w:unhideWhenUsed/>
    <w:rsid w:val="006C1094"/>
    <w:rPr>
      <w:sz w:val="16"/>
      <w:szCs w:val="16"/>
    </w:rPr>
  </w:style>
  <w:style w:type="paragraph" w:styleId="CommentText">
    <w:name w:val="annotation text"/>
    <w:basedOn w:val="Normal"/>
    <w:link w:val="CommentTextChar"/>
    <w:uiPriority w:val="99"/>
    <w:semiHidden/>
    <w:unhideWhenUsed/>
    <w:rsid w:val="006C1094"/>
    <w:rPr>
      <w:sz w:val="20"/>
      <w:szCs w:val="20"/>
    </w:rPr>
  </w:style>
  <w:style w:type="character" w:customStyle="1" w:styleId="CommentTextChar">
    <w:name w:val="Comment Text Char"/>
    <w:link w:val="CommentText"/>
    <w:uiPriority w:val="99"/>
    <w:semiHidden/>
    <w:rsid w:val="006C1094"/>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6C1094"/>
    <w:rPr>
      <w:b/>
      <w:bCs/>
    </w:rPr>
  </w:style>
  <w:style w:type="character" w:customStyle="1" w:styleId="CommentSubjectChar">
    <w:name w:val="Comment Subject Char"/>
    <w:link w:val="CommentSubject"/>
    <w:uiPriority w:val="99"/>
    <w:semiHidden/>
    <w:rsid w:val="006C1094"/>
    <w:rPr>
      <w:rFonts w:ascii="Times New Roman" w:hAnsi="Times New Roman"/>
      <w:b/>
      <w:bCs/>
      <w:lang w:bidi="en-US"/>
    </w:rPr>
  </w:style>
  <w:style w:type="character" w:styleId="FollowedHyperlink">
    <w:name w:val="FollowedHyperlink"/>
    <w:uiPriority w:val="99"/>
    <w:semiHidden/>
    <w:unhideWhenUsed/>
    <w:rsid w:val="00FF350C"/>
    <w:rPr>
      <w:color w:val="800080"/>
      <w:u w:val="single"/>
    </w:rPr>
  </w:style>
  <w:style w:type="character" w:customStyle="1" w:styleId="apple-converted-space">
    <w:name w:val="apple-converted-space"/>
    <w:basedOn w:val="DefaultParagraphFont"/>
    <w:rsid w:val="00946A29"/>
  </w:style>
  <w:style w:type="character" w:customStyle="1" w:styleId="highlight">
    <w:name w:val="highlight"/>
    <w:basedOn w:val="DefaultParagraphFont"/>
    <w:rsid w:val="00946A29"/>
  </w:style>
  <w:style w:type="paragraph" w:styleId="NoSpacing">
    <w:name w:val="No Spacing"/>
    <w:link w:val="NoSpacingChar"/>
    <w:uiPriority w:val="1"/>
    <w:qFormat/>
    <w:rsid w:val="00D6285E"/>
    <w:pPr>
      <w:spacing w:after="0" w:line="240" w:lineRule="auto"/>
    </w:pPr>
  </w:style>
  <w:style w:type="paragraph" w:styleId="NormalWeb">
    <w:name w:val="Normal (Web)"/>
    <w:basedOn w:val="Normal"/>
    <w:uiPriority w:val="99"/>
    <w:unhideWhenUsed/>
    <w:rsid w:val="00946A29"/>
    <w:pPr>
      <w:spacing w:before="100" w:beforeAutospacing="1" w:after="100" w:afterAutospacing="1" w:line="240" w:lineRule="auto"/>
    </w:pPr>
    <w:rPr>
      <w:rFonts w:eastAsia="Times New Roman"/>
      <w:szCs w:val="24"/>
    </w:rPr>
  </w:style>
  <w:style w:type="table" w:styleId="TableGrid">
    <w:name w:val="Table Grid"/>
    <w:basedOn w:val="TableNormal"/>
    <w:uiPriority w:val="59"/>
    <w:rsid w:val="00946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d-content">
    <w:name w:val="named-content"/>
    <w:basedOn w:val="DefaultParagraphFont"/>
    <w:rsid w:val="00946A29"/>
  </w:style>
  <w:style w:type="paragraph" w:styleId="ListParagraph">
    <w:name w:val="List Paragraph"/>
    <w:basedOn w:val="Normal"/>
    <w:uiPriority w:val="34"/>
    <w:qFormat/>
    <w:rsid w:val="00D6285E"/>
    <w:pPr>
      <w:ind w:left="720"/>
      <w:contextualSpacing/>
    </w:pPr>
  </w:style>
  <w:style w:type="paragraph" w:customStyle="1" w:styleId="Guideline">
    <w:name w:val="Guideline"/>
    <w:basedOn w:val="NoSpacing"/>
    <w:qFormat/>
    <w:rsid w:val="007C1F7F"/>
    <w:pPr>
      <w:spacing w:before="120" w:after="120"/>
    </w:pPr>
    <w:rPr>
      <w:rFonts w:asciiTheme="majorHAnsi" w:hAnsiTheme="majorHAnsi"/>
      <w:i/>
      <w:sz w:val="24"/>
      <w:szCs w:val="24"/>
    </w:rPr>
  </w:style>
  <w:style w:type="paragraph" w:customStyle="1" w:styleId="MainPointGuideline">
    <w:name w:val="MainPoint Guideline"/>
    <w:basedOn w:val="ListParagraph"/>
    <w:qFormat/>
    <w:rsid w:val="00955DDE"/>
    <w:pPr>
      <w:widowControl w:val="0"/>
      <w:numPr>
        <w:numId w:val="7"/>
      </w:numPr>
      <w:overflowPunct w:val="0"/>
      <w:adjustRightInd w:val="0"/>
      <w:spacing w:before="20" w:after="120" w:line="240" w:lineRule="auto"/>
    </w:pPr>
    <w:rPr>
      <w:rFonts w:cs="Arial"/>
      <w:b/>
      <w:i/>
    </w:rPr>
  </w:style>
  <w:style w:type="paragraph" w:customStyle="1" w:styleId="HighlightedBibliography">
    <w:name w:val="Highlighted Bibliography"/>
    <w:basedOn w:val="NormalWeb"/>
    <w:qFormat/>
    <w:rsid w:val="000E23B7"/>
    <w:pPr>
      <w:spacing w:before="120" w:beforeAutospacing="0" w:after="120" w:afterAutospacing="0"/>
      <w:ind w:left="1440"/>
    </w:pPr>
    <w:rPr>
      <w:rFonts w:asciiTheme="majorHAnsi" w:hAnsiTheme="majorHAnsi" w:cs="Arial"/>
      <w:b/>
      <w:sz w:val="20"/>
      <w:szCs w:val="20"/>
      <w:shd w:val="clear" w:color="auto" w:fill="FFFF99"/>
    </w:rPr>
  </w:style>
  <w:style w:type="paragraph" w:styleId="Caption">
    <w:name w:val="caption"/>
    <w:basedOn w:val="Normal"/>
    <w:next w:val="Normal"/>
    <w:uiPriority w:val="35"/>
    <w:semiHidden/>
    <w:unhideWhenUsed/>
    <w:qFormat/>
    <w:rsid w:val="00D6285E"/>
    <w:pPr>
      <w:spacing w:line="240" w:lineRule="auto"/>
    </w:pPr>
    <w:rPr>
      <w:b/>
      <w:bCs/>
      <w:color w:val="4F81BD" w:themeColor="accent1"/>
      <w:sz w:val="18"/>
      <w:szCs w:val="18"/>
    </w:rPr>
  </w:style>
  <w:style w:type="character" w:customStyle="1" w:styleId="NoSpacingChar">
    <w:name w:val="No Spacing Char"/>
    <w:basedOn w:val="DefaultParagraphFont"/>
    <w:link w:val="NoSpacing"/>
    <w:uiPriority w:val="1"/>
    <w:rsid w:val="00D6285E"/>
  </w:style>
  <w:style w:type="paragraph" w:styleId="Quote">
    <w:name w:val="Quote"/>
    <w:basedOn w:val="Normal"/>
    <w:next w:val="Normal"/>
    <w:link w:val="QuoteChar"/>
    <w:uiPriority w:val="29"/>
    <w:qFormat/>
    <w:rsid w:val="00D6285E"/>
    <w:rPr>
      <w:i/>
      <w:iCs/>
      <w:color w:val="000000" w:themeColor="text1"/>
    </w:rPr>
  </w:style>
  <w:style w:type="character" w:customStyle="1" w:styleId="QuoteChar">
    <w:name w:val="Quote Char"/>
    <w:basedOn w:val="DefaultParagraphFont"/>
    <w:link w:val="Quote"/>
    <w:uiPriority w:val="29"/>
    <w:rsid w:val="00D6285E"/>
    <w:rPr>
      <w:i/>
      <w:iCs/>
      <w:color w:val="000000" w:themeColor="text1"/>
    </w:rPr>
  </w:style>
  <w:style w:type="paragraph" w:styleId="IntenseQuote">
    <w:name w:val="Intense Quote"/>
    <w:basedOn w:val="Normal"/>
    <w:next w:val="Normal"/>
    <w:link w:val="IntenseQuoteChar"/>
    <w:uiPriority w:val="30"/>
    <w:qFormat/>
    <w:rsid w:val="00D6285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6285E"/>
    <w:rPr>
      <w:b/>
      <w:bCs/>
      <w:i/>
      <w:iCs/>
      <w:color w:val="4F81BD" w:themeColor="accent1"/>
    </w:rPr>
  </w:style>
  <w:style w:type="character" w:styleId="SubtleEmphasis">
    <w:name w:val="Subtle Emphasis"/>
    <w:basedOn w:val="DefaultParagraphFont"/>
    <w:uiPriority w:val="19"/>
    <w:qFormat/>
    <w:rsid w:val="00D6285E"/>
    <w:rPr>
      <w:i/>
      <w:iCs/>
      <w:color w:val="808080" w:themeColor="text1" w:themeTint="7F"/>
    </w:rPr>
  </w:style>
  <w:style w:type="character" w:styleId="IntenseEmphasis">
    <w:name w:val="Intense Emphasis"/>
    <w:basedOn w:val="DefaultParagraphFont"/>
    <w:uiPriority w:val="21"/>
    <w:qFormat/>
    <w:rsid w:val="00D6285E"/>
    <w:rPr>
      <w:b/>
      <w:bCs/>
      <w:i/>
      <w:iCs/>
      <w:color w:val="4F81BD" w:themeColor="accent1"/>
    </w:rPr>
  </w:style>
  <w:style w:type="character" w:styleId="SubtleReference">
    <w:name w:val="Subtle Reference"/>
    <w:basedOn w:val="DefaultParagraphFont"/>
    <w:uiPriority w:val="31"/>
    <w:qFormat/>
    <w:rsid w:val="00D6285E"/>
    <w:rPr>
      <w:smallCaps/>
      <w:color w:val="C0504D" w:themeColor="accent2"/>
      <w:u w:val="single"/>
    </w:rPr>
  </w:style>
  <w:style w:type="character" w:styleId="IntenseReference">
    <w:name w:val="Intense Reference"/>
    <w:basedOn w:val="DefaultParagraphFont"/>
    <w:uiPriority w:val="32"/>
    <w:qFormat/>
    <w:rsid w:val="00D6285E"/>
    <w:rPr>
      <w:b/>
      <w:bCs/>
      <w:smallCaps/>
      <w:color w:val="C0504D" w:themeColor="accent2"/>
      <w:spacing w:val="5"/>
      <w:u w:val="single"/>
    </w:rPr>
  </w:style>
  <w:style w:type="character" w:styleId="BookTitle">
    <w:name w:val="Book Title"/>
    <w:basedOn w:val="DefaultParagraphFont"/>
    <w:uiPriority w:val="33"/>
    <w:qFormat/>
    <w:rsid w:val="00D6285E"/>
    <w:rPr>
      <w:b/>
      <w:bCs/>
      <w:smallCaps/>
      <w:spacing w:val="5"/>
    </w:rPr>
  </w:style>
  <w:style w:type="paragraph" w:styleId="TOCHeading">
    <w:name w:val="TOC Heading"/>
    <w:basedOn w:val="Heading1"/>
    <w:next w:val="Normal"/>
    <w:uiPriority w:val="39"/>
    <w:semiHidden/>
    <w:unhideWhenUsed/>
    <w:qFormat/>
    <w:rsid w:val="00D6285E"/>
    <w:pPr>
      <w:outlineLvl w:val="9"/>
    </w:pPr>
  </w:style>
  <w:style w:type="paragraph" w:customStyle="1" w:styleId="PersonalName">
    <w:name w:val="Personal Name"/>
    <w:basedOn w:val="Title"/>
    <w:rsid w:val="00D6285E"/>
    <w:rPr>
      <w:b/>
      <w:caps/>
      <w:color w:val="000000"/>
      <w:sz w:val="28"/>
      <w:szCs w:val="28"/>
    </w:rPr>
  </w:style>
  <w:style w:type="paragraph" w:styleId="Revision">
    <w:name w:val="Revision"/>
    <w:hidden/>
    <w:uiPriority w:val="99"/>
    <w:semiHidden/>
    <w:rsid w:val="00E2717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85E"/>
  </w:style>
  <w:style w:type="paragraph" w:styleId="Heading1">
    <w:name w:val="heading 1"/>
    <w:basedOn w:val="Normal"/>
    <w:next w:val="Normal"/>
    <w:link w:val="Heading1Char"/>
    <w:uiPriority w:val="9"/>
    <w:qFormat/>
    <w:rsid w:val="00D628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28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6285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628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6285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6285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6285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6285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D628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85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628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6285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6285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6285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6285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6285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6285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6285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628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285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628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6285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6285E"/>
    <w:rPr>
      <w:b/>
      <w:bCs/>
    </w:rPr>
  </w:style>
  <w:style w:type="character" w:styleId="Emphasis">
    <w:name w:val="Emphasis"/>
    <w:basedOn w:val="DefaultParagraphFont"/>
    <w:uiPriority w:val="20"/>
    <w:qFormat/>
    <w:rsid w:val="00D6285E"/>
    <w:rPr>
      <w:i/>
      <w:iCs/>
    </w:rPr>
  </w:style>
  <w:style w:type="paragraph" w:customStyle="1" w:styleId="NoSpacing1">
    <w:name w:val="No Spacing1"/>
    <w:basedOn w:val="Normal"/>
    <w:uiPriority w:val="1"/>
    <w:rsid w:val="008D450E"/>
    <w:pPr>
      <w:spacing w:after="0" w:line="240" w:lineRule="auto"/>
    </w:pPr>
  </w:style>
  <w:style w:type="paragraph" w:customStyle="1" w:styleId="ColorfulList-Accent11">
    <w:name w:val="Colorful List - Accent 11"/>
    <w:basedOn w:val="Normal"/>
    <w:uiPriority w:val="34"/>
    <w:rsid w:val="008D450E"/>
    <w:pPr>
      <w:ind w:left="720"/>
      <w:contextualSpacing/>
    </w:pPr>
  </w:style>
  <w:style w:type="paragraph" w:customStyle="1" w:styleId="ColorfulGrid-Accent11">
    <w:name w:val="Colorful Grid - Accent 11"/>
    <w:basedOn w:val="Normal"/>
    <w:next w:val="Normal"/>
    <w:link w:val="ColorfulGrid-Accent1Char"/>
    <w:uiPriority w:val="29"/>
    <w:rsid w:val="008D450E"/>
    <w:pPr>
      <w:spacing w:before="200" w:after="0"/>
      <w:ind w:left="360" w:right="360"/>
    </w:pPr>
    <w:rPr>
      <w:rFonts w:ascii="Calibri" w:hAnsi="Calibri"/>
      <w:i/>
      <w:iCs/>
      <w:sz w:val="20"/>
      <w:szCs w:val="20"/>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rsid w:val="008D450E"/>
    <w:pPr>
      <w:pBdr>
        <w:bottom w:val="single" w:sz="4" w:space="1" w:color="auto"/>
      </w:pBdr>
      <w:spacing w:before="200" w:after="280"/>
      <w:ind w:left="1008" w:right="1152"/>
      <w:jc w:val="both"/>
    </w:pPr>
    <w:rPr>
      <w:rFonts w:ascii="Calibri" w:hAnsi="Calibri"/>
      <w:b/>
      <w:bCs/>
      <w:i/>
      <w:iCs/>
      <w:sz w:val="20"/>
      <w:szCs w:val="20"/>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rsid w:val="008D450E"/>
    <w:rPr>
      <w:i/>
      <w:iCs/>
    </w:rPr>
  </w:style>
  <w:style w:type="character" w:customStyle="1" w:styleId="IntenseEmphasis1">
    <w:name w:val="Intense Emphasis1"/>
    <w:uiPriority w:val="21"/>
    <w:rsid w:val="008D450E"/>
    <w:rPr>
      <w:b/>
      <w:bCs/>
    </w:rPr>
  </w:style>
  <w:style w:type="character" w:customStyle="1" w:styleId="SubtleReference1">
    <w:name w:val="Subtle Reference1"/>
    <w:uiPriority w:val="31"/>
    <w:rsid w:val="008D450E"/>
    <w:rPr>
      <w:smallCaps/>
    </w:rPr>
  </w:style>
  <w:style w:type="character" w:customStyle="1" w:styleId="IntenseReference1">
    <w:name w:val="Intense Reference1"/>
    <w:uiPriority w:val="32"/>
    <w:rsid w:val="008D450E"/>
    <w:rPr>
      <w:smallCaps/>
      <w:spacing w:val="5"/>
      <w:u w:val="single"/>
    </w:rPr>
  </w:style>
  <w:style w:type="character" w:customStyle="1" w:styleId="BookTitle1">
    <w:name w:val="Book Title1"/>
    <w:uiPriority w:val="33"/>
    <w:rsid w:val="008D450E"/>
    <w:rPr>
      <w:i/>
      <w:iCs/>
      <w:smallCaps/>
      <w:spacing w:val="5"/>
    </w:rPr>
  </w:style>
  <w:style w:type="paragraph" w:customStyle="1" w:styleId="TOCHeading1">
    <w:name w:val="TOC Heading1"/>
    <w:basedOn w:val="Heading1"/>
    <w:next w:val="Normal"/>
    <w:uiPriority w:val="39"/>
    <w:semiHidden/>
    <w:unhideWhenUsed/>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E50623"/>
    <w:rPr>
      <w:color w:val="0000FF"/>
      <w:u w:val="single"/>
    </w:rPr>
  </w:style>
  <w:style w:type="paragraph" w:customStyle="1" w:styleId="ColorfulShading-Accent11">
    <w:name w:val="Colorful Shading - Accent 11"/>
    <w:hidden/>
    <w:uiPriority w:val="71"/>
    <w:rsid w:val="007F2A23"/>
    <w:rPr>
      <w:rFonts w:ascii="Times New Roman" w:hAnsi="Times New Roman"/>
      <w:sz w:val="24"/>
      <w:lang w:bidi="en-US"/>
    </w:rPr>
  </w:style>
  <w:style w:type="character" w:styleId="CommentReference">
    <w:name w:val="annotation reference"/>
    <w:uiPriority w:val="99"/>
    <w:semiHidden/>
    <w:unhideWhenUsed/>
    <w:rsid w:val="006C1094"/>
    <w:rPr>
      <w:sz w:val="16"/>
      <w:szCs w:val="16"/>
    </w:rPr>
  </w:style>
  <w:style w:type="paragraph" w:styleId="CommentText">
    <w:name w:val="annotation text"/>
    <w:basedOn w:val="Normal"/>
    <w:link w:val="CommentTextChar"/>
    <w:uiPriority w:val="99"/>
    <w:semiHidden/>
    <w:unhideWhenUsed/>
    <w:rsid w:val="006C1094"/>
    <w:rPr>
      <w:sz w:val="20"/>
      <w:szCs w:val="20"/>
    </w:rPr>
  </w:style>
  <w:style w:type="character" w:customStyle="1" w:styleId="CommentTextChar">
    <w:name w:val="Comment Text Char"/>
    <w:link w:val="CommentText"/>
    <w:uiPriority w:val="99"/>
    <w:semiHidden/>
    <w:rsid w:val="006C1094"/>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6C1094"/>
    <w:rPr>
      <w:b/>
      <w:bCs/>
    </w:rPr>
  </w:style>
  <w:style w:type="character" w:customStyle="1" w:styleId="CommentSubjectChar">
    <w:name w:val="Comment Subject Char"/>
    <w:link w:val="CommentSubject"/>
    <w:uiPriority w:val="99"/>
    <w:semiHidden/>
    <w:rsid w:val="006C1094"/>
    <w:rPr>
      <w:rFonts w:ascii="Times New Roman" w:hAnsi="Times New Roman"/>
      <w:b/>
      <w:bCs/>
      <w:lang w:bidi="en-US"/>
    </w:rPr>
  </w:style>
  <w:style w:type="character" w:styleId="FollowedHyperlink">
    <w:name w:val="FollowedHyperlink"/>
    <w:uiPriority w:val="99"/>
    <w:semiHidden/>
    <w:unhideWhenUsed/>
    <w:rsid w:val="00FF350C"/>
    <w:rPr>
      <w:color w:val="800080"/>
      <w:u w:val="single"/>
    </w:rPr>
  </w:style>
  <w:style w:type="character" w:customStyle="1" w:styleId="apple-converted-space">
    <w:name w:val="apple-converted-space"/>
    <w:basedOn w:val="DefaultParagraphFont"/>
    <w:rsid w:val="00946A29"/>
  </w:style>
  <w:style w:type="character" w:customStyle="1" w:styleId="highlight">
    <w:name w:val="highlight"/>
    <w:basedOn w:val="DefaultParagraphFont"/>
    <w:rsid w:val="00946A29"/>
  </w:style>
  <w:style w:type="paragraph" w:styleId="NoSpacing">
    <w:name w:val="No Spacing"/>
    <w:link w:val="NoSpacingChar"/>
    <w:uiPriority w:val="1"/>
    <w:qFormat/>
    <w:rsid w:val="00D6285E"/>
    <w:pPr>
      <w:spacing w:after="0" w:line="240" w:lineRule="auto"/>
    </w:pPr>
  </w:style>
  <w:style w:type="paragraph" w:styleId="NormalWeb">
    <w:name w:val="Normal (Web)"/>
    <w:basedOn w:val="Normal"/>
    <w:uiPriority w:val="99"/>
    <w:unhideWhenUsed/>
    <w:rsid w:val="00946A29"/>
    <w:pPr>
      <w:spacing w:before="100" w:beforeAutospacing="1" w:after="100" w:afterAutospacing="1" w:line="240" w:lineRule="auto"/>
    </w:pPr>
    <w:rPr>
      <w:rFonts w:eastAsia="Times New Roman"/>
      <w:szCs w:val="24"/>
    </w:rPr>
  </w:style>
  <w:style w:type="table" w:styleId="TableGrid">
    <w:name w:val="Table Grid"/>
    <w:basedOn w:val="TableNormal"/>
    <w:uiPriority w:val="59"/>
    <w:rsid w:val="00946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d-content">
    <w:name w:val="named-content"/>
    <w:basedOn w:val="DefaultParagraphFont"/>
    <w:rsid w:val="00946A29"/>
  </w:style>
  <w:style w:type="paragraph" w:styleId="ListParagraph">
    <w:name w:val="List Paragraph"/>
    <w:basedOn w:val="Normal"/>
    <w:uiPriority w:val="34"/>
    <w:qFormat/>
    <w:rsid w:val="00D6285E"/>
    <w:pPr>
      <w:ind w:left="720"/>
      <w:contextualSpacing/>
    </w:pPr>
  </w:style>
  <w:style w:type="paragraph" w:customStyle="1" w:styleId="Guideline">
    <w:name w:val="Guideline"/>
    <w:basedOn w:val="NoSpacing"/>
    <w:qFormat/>
    <w:rsid w:val="007C1F7F"/>
    <w:pPr>
      <w:spacing w:before="120" w:after="120"/>
    </w:pPr>
    <w:rPr>
      <w:rFonts w:asciiTheme="majorHAnsi" w:hAnsiTheme="majorHAnsi"/>
      <w:i/>
      <w:sz w:val="24"/>
      <w:szCs w:val="24"/>
    </w:rPr>
  </w:style>
  <w:style w:type="paragraph" w:customStyle="1" w:styleId="MainPointGuideline">
    <w:name w:val="MainPoint Guideline"/>
    <w:basedOn w:val="ListParagraph"/>
    <w:qFormat/>
    <w:rsid w:val="00955DDE"/>
    <w:pPr>
      <w:widowControl w:val="0"/>
      <w:numPr>
        <w:numId w:val="7"/>
      </w:numPr>
      <w:overflowPunct w:val="0"/>
      <w:adjustRightInd w:val="0"/>
      <w:spacing w:before="20" w:after="120" w:line="240" w:lineRule="auto"/>
    </w:pPr>
    <w:rPr>
      <w:rFonts w:cs="Arial"/>
      <w:b/>
      <w:i/>
    </w:rPr>
  </w:style>
  <w:style w:type="paragraph" w:customStyle="1" w:styleId="HighlightedBibliography">
    <w:name w:val="Highlighted Bibliography"/>
    <w:basedOn w:val="NormalWeb"/>
    <w:qFormat/>
    <w:rsid w:val="000E23B7"/>
    <w:pPr>
      <w:spacing w:before="120" w:beforeAutospacing="0" w:after="120" w:afterAutospacing="0"/>
      <w:ind w:left="1440"/>
    </w:pPr>
    <w:rPr>
      <w:rFonts w:asciiTheme="majorHAnsi" w:hAnsiTheme="majorHAnsi" w:cs="Arial"/>
      <w:b/>
      <w:sz w:val="20"/>
      <w:szCs w:val="20"/>
      <w:shd w:val="clear" w:color="auto" w:fill="FFFF99"/>
    </w:rPr>
  </w:style>
  <w:style w:type="paragraph" w:styleId="Caption">
    <w:name w:val="caption"/>
    <w:basedOn w:val="Normal"/>
    <w:next w:val="Normal"/>
    <w:uiPriority w:val="35"/>
    <w:semiHidden/>
    <w:unhideWhenUsed/>
    <w:qFormat/>
    <w:rsid w:val="00D6285E"/>
    <w:pPr>
      <w:spacing w:line="240" w:lineRule="auto"/>
    </w:pPr>
    <w:rPr>
      <w:b/>
      <w:bCs/>
      <w:color w:val="4F81BD" w:themeColor="accent1"/>
      <w:sz w:val="18"/>
      <w:szCs w:val="18"/>
    </w:rPr>
  </w:style>
  <w:style w:type="character" w:customStyle="1" w:styleId="NoSpacingChar">
    <w:name w:val="No Spacing Char"/>
    <w:basedOn w:val="DefaultParagraphFont"/>
    <w:link w:val="NoSpacing"/>
    <w:uiPriority w:val="1"/>
    <w:rsid w:val="00D6285E"/>
  </w:style>
  <w:style w:type="paragraph" w:styleId="Quote">
    <w:name w:val="Quote"/>
    <w:basedOn w:val="Normal"/>
    <w:next w:val="Normal"/>
    <w:link w:val="QuoteChar"/>
    <w:uiPriority w:val="29"/>
    <w:qFormat/>
    <w:rsid w:val="00D6285E"/>
    <w:rPr>
      <w:i/>
      <w:iCs/>
      <w:color w:val="000000" w:themeColor="text1"/>
    </w:rPr>
  </w:style>
  <w:style w:type="character" w:customStyle="1" w:styleId="QuoteChar">
    <w:name w:val="Quote Char"/>
    <w:basedOn w:val="DefaultParagraphFont"/>
    <w:link w:val="Quote"/>
    <w:uiPriority w:val="29"/>
    <w:rsid w:val="00D6285E"/>
    <w:rPr>
      <w:i/>
      <w:iCs/>
      <w:color w:val="000000" w:themeColor="text1"/>
    </w:rPr>
  </w:style>
  <w:style w:type="paragraph" w:styleId="IntenseQuote">
    <w:name w:val="Intense Quote"/>
    <w:basedOn w:val="Normal"/>
    <w:next w:val="Normal"/>
    <w:link w:val="IntenseQuoteChar"/>
    <w:uiPriority w:val="30"/>
    <w:qFormat/>
    <w:rsid w:val="00D6285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6285E"/>
    <w:rPr>
      <w:b/>
      <w:bCs/>
      <w:i/>
      <w:iCs/>
      <w:color w:val="4F81BD" w:themeColor="accent1"/>
    </w:rPr>
  </w:style>
  <w:style w:type="character" w:styleId="SubtleEmphasis">
    <w:name w:val="Subtle Emphasis"/>
    <w:basedOn w:val="DefaultParagraphFont"/>
    <w:uiPriority w:val="19"/>
    <w:qFormat/>
    <w:rsid w:val="00D6285E"/>
    <w:rPr>
      <w:i/>
      <w:iCs/>
      <w:color w:val="808080" w:themeColor="text1" w:themeTint="7F"/>
    </w:rPr>
  </w:style>
  <w:style w:type="character" w:styleId="IntenseEmphasis">
    <w:name w:val="Intense Emphasis"/>
    <w:basedOn w:val="DefaultParagraphFont"/>
    <w:uiPriority w:val="21"/>
    <w:qFormat/>
    <w:rsid w:val="00D6285E"/>
    <w:rPr>
      <w:b/>
      <w:bCs/>
      <w:i/>
      <w:iCs/>
      <w:color w:val="4F81BD" w:themeColor="accent1"/>
    </w:rPr>
  </w:style>
  <w:style w:type="character" w:styleId="SubtleReference">
    <w:name w:val="Subtle Reference"/>
    <w:basedOn w:val="DefaultParagraphFont"/>
    <w:uiPriority w:val="31"/>
    <w:qFormat/>
    <w:rsid w:val="00D6285E"/>
    <w:rPr>
      <w:smallCaps/>
      <w:color w:val="C0504D" w:themeColor="accent2"/>
      <w:u w:val="single"/>
    </w:rPr>
  </w:style>
  <w:style w:type="character" w:styleId="IntenseReference">
    <w:name w:val="Intense Reference"/>
    <w:basedOn w:val="DefaultParagraphFont"/>
    <w:uiPriority w:val="32"/>
    <w:qFormat/>
    <w:rsid w:val="00D6285E"/>
    <w:rPr>
      <w:b/>
      <w:bCs/>
      <w:smallCaps/>
      <w:color w:val="C0504D" w:themeColor="accent2"/>
      <w:spacing w:val="5"/>
      <w:u w:val="single"/>
    </w:rPr>
  </w:style>
  <w:style w:type="character" w:styleId="BookTitle">
    <w:name w:val="Book Title"/>
    <w:basedOn w:val="DefaultParagraphFont"/>
    <w:uiPriority w:val="33"/>
    <w:qFormat/>
    <w:rsid w:val="00D6285E"/>
    <w:rPr>
      <w:b/>
      <w:bCs/>
      <w:smallCaps/>
      <w:spacing w:val="5"/>
    </w:rPr>
  </w:style>
  <w:style w:type="paragraph" w:styleId="TOCHeading">
    <w:name w:val="TOC Heading"/>
    <w:basedOn w:val="Heading1"/>
    <w:next w:val="Normal"/>
    <w:uiPriority w:val="39"/>
    <w:semiHidden/>
    <w:unhideWhenUsed/>
    <w:qFormat/>
    <w:rsid w:val="00D6285E"/>
    <w:pPr>
      <w:outlineLvl w:val="9"/>
    </w:pPr>
  </w:style>
  <w:style w:type="paragraph" w:customStyle="1" w:styleId="PersonalName">
    <w:name w:val="Personal Name"/>
    <w:basedOn w:val="Title"/>
    <w:rsid w:val="00D6285E"/>
    <w:rPr>
      <w:b/>
      <w:caps/>
      <w:color w:val="000000"/>
      <w:sz w:val="28"/>
      <w:szCs w:val="28"/>
    </w:rPr>
  </w:style>
  <w:style w:type="paragraph" w:styleId="Revision">
    <w:name w:val="Revision"/>
    <w:hidden/>
    <w:uiPriority w:val="99"/>
    <w:semiHidden/>
    <w:rsid w:val="00E271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5886">
      <w:bodyDiv w:val="1"/>
      <w:marLeft w:val="0"/>
      <w:marRight w:val="0"/>
      <w:marTop w:val="0"/>
      <w:marBottom w:val="0"/>
      <w:divBdr>
        <w:top w:val="none" w:sz="0" w:space="0" w:color="auto"/>
        <w:left w:val="none" w:sz="0" w:space="0" w:color="auto"/>
        <w:bottom w:val="none" w:sz="0" w:space="0" w:color="auto"/>
        <w:right w:val="none" w:sz="0" w:space="0" w:color="auto"/>
      </w:divBdr>
    </w:div>
    <w:div w:id="75831507">
      <w:bodyDiv w:val="1"/>
      <w:marLeft w:val="0"/>
      <w:marRight w:val="0"/>
      <w:marTop w:val="0"/>
      <w:marBottom w:val="0"/>
      <w:divBdr>
        <w:top w:val="none" w:sz="0" w:space="0" w:color="auto"/>
        <w:left w:val="none" w:sz="0" w:space="0" w:color="auto"/>
        <w:bottom w:val="none" w:sz="0" w:space="0" w:color="auto"/>
        <w:right w:val="none" w:sz="0" w:space="0" w:color="auto"/>
      </w:divBdr>
    </w:div>
    <w:div w:id="75907468">
      <w:bodyDiv w:val="1"/>
      <w:marLeft w:val="0"/>
      <w:marRight w:val="0"/>
      <w:marTop w:val="0"/>
      <w:marBottom w:val="0"/>
      <w:divBdr>
        <w:top w:val="none" w:sz="0" w:space="0" w:color="auto"/>
        <w:left w:val="none" w:sz="0" w:space="0" w:color="auto"/>
        <w:bottom w:val="none" w:sz="0" w:space="0" w:color="auto"/>
        <w:right w:val="none" w:sz="0" w:space="0" w:color="auto"/>
      </w:divBdr>
    </w:div>
    <w:div w:id="174077051">
      <w:bodyDiv w:val="1"/>
      <w:marLeft w:val="0"/>
      <w:marRight w:val="0"/>
      <w:marTop w:val="0"/>
      <w:marBottom w:val="0"/>
      <w:divBdr>
        <w:top w:val="none" w:sz="0" w:space="0" w:color="auto"/>
        <w:left w:val="none" w:sz="0" w:space="0" w:color="auto"/>
        <w:bottom w:val="none" w:sz="0" w:space="0" w:color="auto"/>
        <w:right w:val="none" w:sz="0" w:space="0" w:color="auto"/>
      </w:divBdr>
    </w:div>
    <w:div w:id="200553089">
      <w:bodyDiv w:val="1"/>
      <w:marLeft w:val="0"/>
      <w:marRight w:val="0"/>
      <w:marTop w:val="0"/>
      <w:marBottom w:val="0"/>
      <w:divBdr>
        <w:top w:val="none" w:sz="0" w:space="0" w:color="auto"/>
        <w:left w:val="none" w:sz="0" w:space="0" w:color="auto"/>
        <w:bottom w:val="none" w:sz="0" w:space="0" w:color="auto"/>
        <w:right w:val="none" w:sz="0" w:space="0" w:color="auto"/>
      </w:divBdr>
    </w:div>
    <w:div w:id="224686491">
      <w:bodyDiv w:val="1"/>
      <w:marLeft w:val="0"/>
      <w:marRight w:val="0"/>
      <w:marTop w:val="0"/>
      <w:marBottom w:val="0"/>
      <w:divBdr>
        <w:top w:val="none" w:sz="0" w:space="0" w:color="auto"/>
        <w:left w:val="none" w:sz="0" w:space="0" w:color="auto"/>
        <w:bottom w:val="none" w:sz="0" w:space="0" w:color="auto"/>
        <w:right w:val="none" w:sz="0" w:space="0" w:color="auto"/>
      </w:divBdr>
    </w:div>
    <w:div w:id="253170844">
      <w:bodyDiv w:val="1"/>
      <w:marLeft w:val="0"/>
      <w:marRight w:val="0"/>
      <w:marTop w:val="0"/>
      <w:marBottom w:val="0"/>
      <w:divBdr>
        <w:top w:val="none" w:sz="0" w:space="0" w:color="auto"/>
        <w:left w:val="none" w:sz="0" w:space="0" w:color="auto"/>
        <w:bottom w:val="none" w:sz="0" w:space="0" w:color="auto"/>
        <w:right w:val="none" w:sz="0" w:space="0" w:color="auto"/>
      </w:divBdr>
    </w:div>
    <w:div w:id="262955599">
      <w:bodyDiv w:val="1"/>
      <w:marLeft w:val="0"/>
      <w:marRight w:val="0"/>
      <w:marTop w:val="0"/>
      <w:marBottom w:val="0"/>
      <w:divBdr>
        <w:top w:val="none" w:sz="0" w:space="0" w:color="auto"/>
        <w:left w:val="none" w:sz="0" w:space="0" w:color="auto"/>
        <w:bottom w:val="none" w:sz="0" w:space="0" w:color="auto"/>
        <w:right w:val="none" w:sz="0" w:space="0" w:color="auto"/>
      </w:divBdr>
    </w:div>
    <w:div w:id="319965620">
      <w:bodyDiv w:val="1"/>
      <w:marLeft w:val="0"/>
      <w:marRight w:val="0"/>
      <w:marTop w:val="0"/>
      <w:marBottom w:val="0"/>
      <w:divBdr>
        <w:top w:val="none" w:sz="0" w:space="0" w:color="auto"/>
        <w:left w:val="none" w:sz="0" w:space="0" w:color="auto"/>
        <w:bottom w:val="none" w:sz="0" w:space="0" w:color="auto"/>
        <w:right w:val="none" w:sz="0" w:space="0" w:color="auto"/>
      </w:divBdr>
    </w:div>
    <w:div w:id="333382561">
      <w:bodyDiv w:val="1"/>
      <w:marLeft w:val="0"/>
      <w:marRight w:val="0"/>
      <w:marTop w:val="0"/>
      <w:marBottom w:val="0"/>
      <w:divBdr>
        <w:top w:val="none" w:sz="0" w:space="0" w:color="auto"/>
        <w:left w:val="none" w:sz="0" w:space="0" w:color="auto"/>
        <w:bottom w:val="none" w:sz="0" w:space="0" w:color="auto"/>
        <w:right w:val="none" w:sz="0" w:space="0" w:color="auto"/>
      </w:divBdr>
    </w:div>
    <w:div w:id="337123919">
      <w:bodyDiv w:val="1"/>
      <w:marLeft w:val="0"/>
      <w:marRight w:val="0"/>
      <w:marTop w:val="0"/>
      <w:marBottom w:val="0"/>
      <w:divBdr>
        <w:top w:val="none" w:sz="0" w:space="0" w:color="auto"/>
        <w:left w:val="none" w:sz="0" w:space="0" w:color="auto"/>
        <w:bottom w:val="none" w:sz="0" w:space="0" w:color="auto"/>
        <w:right w:val="none" w:sz="0" w:space="0" w:color="auto"/>
      </w:divBdr>
    </w:div>
    <w:div w:id="346368781">
      <w:bodyDiv w:val="1"/>
      <w:marLeft w:val="0"/>
      <w:marRight w:val="0"/>
      <w:marTop w:val="0"/>
      <w:marBottom w:val="0"/>
      <w:divBdr>
        <w:top w:val="none" w:sz="0" w:space="0" w:color="auto"/>
        <w:left w:val="none" w:sz="0" w:space="0" w:color="auto"/>
        <w:bottom w:val="none" w:sz="0" w:space="0" w:color="auto"/>
        <w:right w:val="none" w:sz="0" w:space="0" w:color="auto"/>
      </w:divBdr>
    </w:div>
    <w:div w:id="362443551">
      <w:bodyDiv w:val="1"/>
      <w:marLeft w:val="0"/>
      <w:marRight w:val="0"/>
      <w:marTop w:val="0"/>
      <w:marBottom w:val="0"/>
      <w:divBdr>
        <w:top w:val="none" w:sz="0" w:space="0" w:color="auto"/>
        <w:left w:val="none" w:sz="0" w:space="0" w:color="auto"/>
        <w:bottom w:val="none" w:sz="0" w:space="0" w:color="auto"/>
        <w:right w:val="none" w:sz="0" w:space="0" w:color="auto"/>
      </w:divBdr>
    </w:div>
    <w:div w:id="384526094">
      <w:bodyDiv w:val="1"/>
      <w:marLeft w:val="0"/>
      <w:marRight w:val="0"/>
      <w:marTop w:val="0"/>
      <w:marBottom w:val="0"/>
      <w:divBdr>
        <w:top w:val="none" w:sz="0" w:space="0" w:color="auto"/>
        <w:left w:val="none" w:sz="0" w:space="0" w:color="auto"/>
        <w:bottom w:val="none" w:sz="0" w:space="0" w:color="auto"/>
        <w:right w:val="none" w:sz="0" w:space="0" w:color="auto"/>
      </w:divBdr>
    </w:div>
    <w:div w:id="390815418">
      <w:bodyDiv w:val="1"/>
      <w:marLeft w:val="0"/>
      <w:marRight w:val="0"/>
      <w:marTop w:val="0"/>
      <w:marBottom w:val="0"/>
      <w:divBdr>
        <w:top w:val="none" w:sz="0" w:space="0" w:color="auto"/>
        <w:left w:val="none" w:sz="0" w:space="0" w:color="auto"/>
        <w:bottom w:val="none" w:sz="0" w:space="0" w:color="auto"/>
        <w:right w:val="none" w:sz="0" w:space="0" w:color="auto"/>
      </w:divBdr>
    </w:div>
    <w:div w:id="393819636">
      <w:bodyDiv w:val="1"/>
      <w:marLeft w:val="0"/>
      <w:marRight w:val="0"/>
      <w:marTop w:val="0"/>
      <w:marBottom w:val="0"/>
      <w:divBdr>
        <w:top w:val="none" w:sz="0" w:space="0" w:color="auto"/>
        <w:left w:val="none" w:sz="0" w:space="0" w:color="auto"/>
        <w:bottom w:val="none" w:sz="0" w:space="0" w:color="auto"/>
        <w:right w:val="none" w:sz="0" w:space="0" w:color="auto"/>
      </w:divBdr>
    </w:div>
    <w:div w:id="410784506">
      <w:bodyDiv w:val="1"/>
      <w:marLeft w:val="0"/>
      <w:marRight w:val="0"/>
      <w:marTop w:val="0"/>
      <w:marBottom w:val="0"/>
      <w:divBdr>
        <w:top w:val="none" w:sz="0" w:space="0" w:color="auto"/>
        <w:left w:val="none" w:sz="0" w:space="0" w:color="auto"/>
        <w:bottom w:val="none" w:sz="0" w:space="0" w:color="auto"/>
        <w:right w:val="none" w:sz="0" w:space="0" w:color="auto"/>
      </w:divBdr>
    </w:div>
    <w:div w:id="436101262">
      <w:bodyDiv w:val="1"/>
      <w:marLeft w:val="0"/>
      <w:marRight w:val="0"/>
      <w:marTop w:val="0"/>
      <w:marBottom w:val="0"/>
      <w:divBdr>
        <w:top w:val="none" w:sz="0" w:space="0" w:color="auto"/>
        <w:left w:val="none" w:sz="0" w:space="0" w:color="auto"/>
        <w:bottom w:val="none" w:sz="0" w:space="0" w:color="auto"/>
        <w:right w:val="none" w:sz="0" w:space="0" w:color="auto"/>
      </w:divBdr>
    </w:div>
    <w:div w:id="576481244">
      <w:bodyDiv w:val="1"/>
      <w:marLeft w:val="0"/>
      <w:marRight w:val="0"/>
      <w:marTop w:val="0"/>
      <w:marBottom w:val="0"/>
      <w:divBdr>
        <w:top w:val="none" w:sz="0" w:space="0" w:color="auto"/>
        <w:left w:val="none" w:sz="0" w:space="0" w:color="auto"/>
        <w:bottom w:val="none" w:sz="0" w:space="0" w:color="auto"/>
        <w:right w:val="none" w:sz="0" w:space="0" w:color="auto"/>
      </w:divBdr>
    </w:div>
    <w:div w:id="605579023">
      <w:bodyDiv w:val="1"/>
      <w:marLeft w:val="0"/>
      <w:marRight w:val="0"/>
      <w:marTop w:val="0"/>
      <w:marBottom w:val="0"/>
      <w:divBdr>
        <w:top w:val="none" w:sz="0" w:space="0" w:color="auto"/>
        <w:left w:val="none" w:sz="0" w:space="0" w:color="auto"/>
        <w:bottom w:val="none" w:sz="0" w:space="0" w:color="auto"/>
        <w:right w:val="none" w:sz="0" w:space="0" w:color="auto"/>
      </w:divBdr>
    </w:div>
    <w:div w:id="621695355">
      <w:bodyDiv w:val="1"/>
      <w:marLeft w:val="0"/>
      <w:marRight w:val="0"/>
      <w:marTop w:val="0"/>
      <w:marBottom w:val="0"/>
      <w:divBdr>
        <w:top w:val="none" w:sz="0" w:space="0" w:color="auto"/>
        <w:left w:val="none" w:sz="0" w:space="0" w:color="auto"/>
        <w:bottom w:val="none" w:sz="0" w:space="0" w:color="auto"/>
        <w:right w:val="none" w:sz="0" w:space="0" w:color="auto"/>
      </w:divBdr>
    </w:div>
    <w:div w:id="624820774">
      <w:bodyDiv w:val="1"/>
      <w:marLeft w:val="0"/>
      <w:marRight w:val="0"/>
      <w:marTop w:val="0"/>
      <w:marBottom w:val="0"/>
      <w:divBdr>
        <w:top w:val="none" w:sz="0" w:space="0" w:color="auto"/>
        <w:left w:val="none" w:sz="0" w:space="0" w:color="auto"/>
        <w:bottom w:val="none" w:sz="0" w:space="0" w:color="auto"/>
        <w:right w:val="none" w:sz="0" w:space="0" w:color="auto"/>
      </w:divBdr>
    </w:div>
    <w:div w:id="648443293">
      <w:bodyDiv w:val="1"/>
      <w:marLeft w:val="0"/>
      <w:marRight w:val="0"/>
      <w:marTop w:val="0"/>
      <w:marBottom w:val="0"/>
      <w:divBdr>
        <w:top w:val="none" w:sz="0" w:space="0" w:color="auto"/>
        <w:left w:val="none" w:sz="0" w:space="0" w:color="auto"/>
        <w:bottom w:val="none" w:sz="0" w:space="0" w:color="auto"/>
        <w:right w:val="none" w:sz="0" w:space="0" w:color="auto"/>
      </w:divBdr>
    </w:div>
    <w:div w:id="683481091">
      <w:bodyDiv w:val="1"/>
      <w:marLeft w:val="0"/>
      <w:marRight w:val="0"/>
      <w:marTop w:val="0"/>
      <w:marBottom w:val="0"/>
      <w:divBdr>
        <w:top w:val="none" w:sz="0" w:space="0" w:color="auto"/>
        <w:left w:val="none" w:sz="0" w:space="0" w:color="auto"/>
        <w:bottom w:val="none" w:sz="0" w:space="0" w:color="auto"/>
        <w:right w:val="none" w:sz="0" w:space="0" w:color="auto"/>
      </w:divBdr>
    </w:div>
    <w:div w:id="741635668">
      <w:bodyDiv w:val="1"/>
      <w:marLeft w:val="0"/>
      <w:marRight w:val="0"/>
      <w:marTop w:val="0"/>
      <w:marBottom w:val="0"/>
      <w:divBdr>
        <w:top w:val="none" w:sz="0" w:space="0" w:color="auto"/>
        <w:left w:val="none" w:sz="0" w:space="0" w:color="auto"/>
        <w:bottom w:val="none" w:sz="0" w:space="0" w:color="auto"/>
        <w:right w:val="none" w:sz="0" w:space="0" w:color="auto"/>
      </w:divBdr>
    </w:div>
    <w:div w:id="743919659">
      <w:bodyDiv w:val="1"/>
      <w:marLeft w:val="0"/>
      <w:marRight w:val="0"/>
      <w:marTop w:val="0"/>
      <w:marBottom w:val="0"/>
      <w:divBdr>
        <w:top w:val="none" w:sz="0" w:space="0" w:color="auto"/>
        <w:left w:val="none" w:sz="0" w:space="0" w:color="auto"/>
        <w:bottom w:val="none" w:sz="0" w:space="0" w:color="auto"/>
        <w:right w:val="none" w:sz="0" w:space="0" w:color="auto"/>
      </w:divBdr>
    </w:div>
    <w:div w:id="801073981">
      <w:bodyDiv w:val="1"/>
      <w:marLeft w:val="0"/>
      <w:marRight w:val="0"/>
      <w:marTop w:val="0"/>
      <w:marBottom w:val="0"/>
      <w:divBdr>
        <w:top w:val="none" w:sz="0" w:space="0" w:color="auto"/>
        <w:left w:val="none" w:sz="0" w:space="0" w:color="auto"/>
        <w:bottom w:val="none" w:sz="0" w:space="0" w:color="auto"/>
        <w:right w:val="none" w:sz="0" w:space="0" w:color="auto"/>
      </w:divBdr>
    </w:div>
    <w:div w:id="806317638">
      <w:bodyDiv w:val="1"/>
      <w:marLeft w:val="0"/>
      <w:marRight w:val="0"/>
      <w:marTop w:val="0"/>
      <w:marBottom w:val="0"/>
      <w:divBdr>
        <w:top w:val="none" w:sz="0" w:space="0" w:color="auto"/>
        <w:left w:val="none" w:sz="0" w:space="0" w:color="auto"/>
        <w:bottom w:val="none" w:sz="0" w:space="0" w:color="auto"/>
        <w:right w:val="none" w:sz="0" w:space="0" w:color="auto"/>
      </w:divBdr>
    </w:div>
    <w:div w:id="814758408">
      <w:bodyDiv w:val="1"/>
      <w:marLeft w:val="0"/>
      <w:marRight w:val="0"/>
      <w:marTop w:val="0"/>
      <w:marBottom w:val="0"/>
      <w:divBdr>
        <w:top w:val="none" w:sz="0" w:space="0" w:color="auto"/>
        <w:left w:val="none" w:sz="0" w:space="0" w:color="auto"/>
        <w:bottom w:val="none" w:sz="0" w:space="0" w:color="auto"/>
        <w:right w:val="none" w:sz="0" w:space="0" w:color="auto"/>
      </w:divBdr>
    </w:div>
    <w:div w:id="820196067">
      <w:bodyDiv w:val="1"/>
      <w:marLeft w:val="0"/>
      <w:marRight w:val="0"/>
      <w:marTop w:val="0"/>
      <w:marBottom w:val="0"/>
      <w:divBdr>
        <w:top w:val="none" w:sz="0" w:space="0" w:color="auto"/>
        <w:left w:val="none" w:sz="0" w:space="0" w:color="auto"/>
        <w:bottom w:val="none" w:sz="0" w:space="0" w:color="auto"/>
        <w:right w:val="none" w:sz="0" w:space="0" w:color="auto"/>
      </w:divBdr>
    </w:div>
    <w:div w:id="840043148">
      <w:bodyDiv w:val="1"/>
      <w:marLeft w:val="0"/>
      <w:marRight w:val="0"/>
      <w:marTop w:val="0"/>
      <w:marBottom w:val="0"/>
      <w:divBdr>
        <w:top w:val="none" w:sz="0" w:space="0" w:color="auto"/>
        <w:left w:val="none" w:sz="0" w:space="0" w:color="auto"/>
        <w:bottom w:val="none" w:sz="0" w:space="0" w:color="auto"/>
        <w:right w:val="none" w:sz="0" w:space="0" w:color="auto"/>
      </w:divBdr>
    </w:div>
    <w:div w:id="847258932">
      <w:bodyDiv w:val="1"/>
      <w:marLeft w:val="0"/>
      <w:marRight w:val="0"/>
      <w:marTop w:val="0"/>
      <w:marBottom w:val="0"/>
      <w:divBdr>
        <w:top w:val="none" w:sz="0" w:space="0" w:color="auto"/>
        <w:left w:val="none" w:sz="0" w:space="0" w:color="auto"/>
        <w:bottom w:val="none" w:sz="0" w:space="0" w:color="auto"/>
        <w:right w:val="none" w:sz="0" w:space="0" w:color="auto"/>
      </w:divBdr>
    </w:div>
    <w:div w:id="858737245">
      <w:bodyDiv w:val="1"/>
      <w:marLeft w:val="0"/>
      <w:marRight w:val="0"/>
      <w:marTop w:val="0"/>
      <w:marBottom w:val="0"/>
      <w:divBdr>
        <w:top w:val="none" w:sz="0" w:space="0" w:color="auto"/>
        <w:left w:val="none" w:sz="0" w:space="0" w:color="auto"/>
        <w:bottom w:val="none" w:sz="0" w:space="0" w:color="auto"/>
        <w:right w:val="none" w:sz="0" w:space="0" w:color="auto"/>
      </w:divBdr>
    </w:div>
    <w:div w:id="895049201">
      <w:bodyDiv w:val="1"/>
      <w:marLeft w:val="0"/>
      <w:marRight w:val="0"/>
      <w:marTop w:val="0"/>
      <w:marBottom w:val="0"/>
      <w:divBdr>
        <w:top w:val="none" w:sz="0" w:space="0" w:color="auto"/>
        <w:left w:val="none" w:sz="0" w:space="0" w:color="auto"/>
        <w:bottom w:val="none" w:sz="0" w:space="0" w:color="auto"/>
        <w:right w:val="none" w:sz="0" w:space="0" w:color="auto"/>
      </w:divBdr>
    </w:div>
    <w:div w:id="898830778">
      <w:bodyDiv w:val="1"/>
      <w:marLeft w:val="0"/>
      <w:marRight w:val="0"/>
      <w:marTop w:val="0"/>
      <w:marBottom w:val="0"/>
      <w:divBdr>
        <w:top w:val="none" w:sz="0" w:space="0" w:color="auto"/>
        <w:left w:val="none" w:sz="0" w:space="0" w:color="auto"/>
        <w:bottom w:val="none" w:sz="0" w:space="0" w:color="auto"/>
        <w:right w:val="none" w:sz="0" w:space="0" w:color="auto"/>
      </w:divBdr>
    </w:div>
    <w:div w:id="899364438">
      <w:bodyDiv w:val="1"/>
      <w:marLeft w:val="0"/>
      <w:marRight w:val="0"/>
      <w:marTop w:val="0"/>
      <w:marBottom w:val="0"/>
      <w:divBdr>
        <w:top w:val="none" w:sz="0" w:space="0" w:color="auto"/>
        <w:left w:val="none" w:sz="0" w:space="0" w:color="auto"/>
        <w:bottom w:val="none" w:sz="0" w:space="0" w:color="auto"/>
        <w:right w:val="none" w:sz="0" w:space="0" w:color="auto"/>
      </w:divBdr>
    </w:div>
    <w:div w:id="936907171">
      <w:bodyDiv w:val="1"/>
      <w:marLeft w:val="0"/>
      <w:marRight w:val="0"/>
      <w:marTop w:val="0"/>
      <w:marBottom w:val="0"/>
      <w:divBdr>
        <w:top w:val="none" w:sz="0" w:space="0" w:color="auto"/>
        <w:left w:val="none" w:sz="0" w:space="0" w:color="auto"/>
        <w:bottom w:val="none" w:sz="0" w:space="0" w:color="auto"/>
        <w:right w:val="none" w:sz="0" w:space="0" w:color="auto"/>
      </w:divBdr>
    </w:div>
    <w:div w:id="944774078">
      <w:bodyDiv w:val="1"/>
      <w:marLeft w:val="0"/>
      <w:marRight w:val="0"/>
      <w:marTop w:val="0"/>
      <w:marBottom w:val="0"/>
      <w:divBdr>
        <w:top w:val="none" w:sz="0" w:space="0" w:color="auto"/>
        <w:left w:val="none" w:sz="0" w:space="0" w:color="auto"/>
        <w:bottom w:val="none" w:sz="0" w:space="0" w:color="auto"/>
        <w:right w:val="none" w:sz="0" w:space="0" w:color="auto"/>
      </w:divBdr>
    </w:div>
    <w:div w:id="950278304">
      <w:bodyDiv w:val="1"/>
      <w:marLeft w:val="0"/>
      <w:marRight w:val="0"/>
      <w:marTop w:val="0"/>
      <w:marBottom w:val="0"/>
      <w:divBdr>
        <w:top w:val="none" w:sz="0" w:space="0" w:color="auto"/>
        <w:left w:val="none" w:sz="0" w:space="0" w:color="auto"/>
        <w:bottom w:val="none" w:sz="0" w:space="0" w:color="auto"/>
        <w:right w:val="none" w:sz="0" w:space="0" w:color="auto"/>
      </w:divBdr>
    </w:div>
    <w:div w:id="953094110">
      <w:bodyDiv w:val="1"/>
      <w:marLeft w:val="0"/>
      <w:marRight w:val="0"/>
      <w:marTop w:val="0"/>
      <w:marBottom w:val="0"/>
      <w:divBdr>
        <w:top w:val="none" w:sz="0" w:space="0" w:color="auto"/>
        <w:left w:val="none" w:sz="0" w:space="0" w:color="auto"/>
        <w:bottom w:val="none" w:sz="0" w:space="0" w:color="auto"/>
        <w:right w:val="none" w:sz="0" w:space="0" w:color="auto"/>
      </w:divBdr>
    </w:div>
    <w:div w:id="974214900">
      <w:bodyDiv w:val="1"/>
      <w:marLeft w:val="0"/>
      <w:marRight w:val="0"/>
      <w:marTop w:val="0"/>
      <w:marBottom w:val="0"/>
      <w:divBdr>
        <w:top w:val="none" w:sz="0" w:space="0" w:color="auto"/>
        <w:left w:val="none" w:sz="0" w:space="0" w:color="auto"/>
        <w:bottom w:val="none" w:sz="0" w:space="0" w:color="auto"/>
        <w:right w:val="none" w:sz="0" w:space="0" w:color="auto"/>
      </w:divBdr>
    </w:div>
    <w:div w:id="1002507614">
      <w:bodyDiv w:val="1"/>
      <w:marLeft w:val="0"/>
      <w:marRight w:val="0"/>
      <w:marTop w:val="0"/>
      <w:marBottom w:val="0"/>
      <w:divBdr>
        <w:top w:val="none" w:sz="0" w:space="0" w:color="auto"/>
        <w:left w:val="none" w:sz="0" w:space="0" w:color="auto"/>
        <w:bottom w:val="none" w:sz="0" w:space="0" w:color="auto"/>
        <w:right w:val="none" w:sz="0" w:space="0" w:color="auto"/>
      </w:divBdr>
    </w:div>
    <w:div w:id="1023357848">
      <w:bodyDiv w:val="1"/>
      <w:marLeft w:val="0"/>
      <w:marRight w:val="0"/>
      <w:marTop w:val="0"/>
      <w:marBottom w:val="0"/>
      <w:divBdr>
        <w:top w:val="none" w:sz="0" w:space="0" w:color="auto"/>
        <w:left w:val="none" w:sz="0" w:space="0" w:color="auto"/>
        <w:bottom w:val="none" w:sz="0" w:space="0" w:color="auto"/>
        <w:right w:val="none" w:sz="0" w:space="0" w:color="auto"/>
      </w:divBdr>
    </w:div>
    <w:div w:id="1029917295">
      <w:bodyDiv w:val="1"/>
      <w:marLeft w:val="0"/>
      <w:marRight w:val="0"/>
      <w:marTop w:val="0"/>
      <w:marBottom w:val="0"/>
      <w:divBdr>
        <w:top w:val="none" w:sz="0" w:space="0" w:color="auto"/>
        <w:left w:val="none" w:sz="0" w:space="0" w:color="auto"/>
        <w:bottom w:val="none" w:sz="0" w:space="0" w:color="auto"/>
        <w:right w:val="none" w:sz="0" w:space="0" w:color="auto"/>
      </w:divBdr>
    </w:div>
    <w:div w:id="1108233944">
      <w:bodyDiv w:val="1"/>
      <w:marLeft w:val="0"/>
      <w:marRight w:val="0"/>
      <w:marTop w:val="0"/>
      <w:marBottom w:val="0"/>
      <w:divBdr>
        <w:top w:val="none" w:sz="0" w:space="0" w:color="auto"/>
        <w:left w:val="none" w:sz="0" w:space="0" w:color="auto"/>
        <w:bottom w:val="none" w:sz="0" w:space="0" w:color="auto"/>
        <w:right w:val="none" w:sz="0" w:space="0" w:color="auto"/>
      </w:divBdr>
    </w:div>
    <w:div w:id="1128550764">
      <w:bodyDiv w:val="1"/>
      <w:marLeft w:val="0"/>
      <w:marRight w:val="0"/>
      <w:marTop w:val="0"/>
      <w:marBottom w:val="0"/>
      <w:divBdr>
        <w:top w:val="none" w:sz="0" w:space="0" w:color="auto"/>
        <w:left w:val="none" w:sz="0" w:space="0" w:color="auto"/>
        <w:bottom w:val="none" w:sz="0" w:space="0" w:color="auto"/>
        <w:right w:val="none" w:sz="0" w:space="0" w:color="auto"/>
      </w:divBdr>
    </w:div>
    <w:div w:id="1190950455">
      <w:bodyDiv w:val="1"/>
      <w:marLeft w:val="0"/>
      <w:marRight w:val="0"/>
      <w:marTop w:val="0"/>
      <w:marBottom w:val="0"/>
      <w:divBdr>
        <w:top w:val="none" w:sz="0" w:space="0" w:color="auto"/>
        <w:left w:val="none" w:sz="0" w:space="0" w:color="auto"/>
        <w:bottom w:val="none" w:sz="0" w:space="0" w:color="auto"/>
        <w:right w:val="none" w:sz="0" w:space="0" w:color="auto"/>
      </w:divBdr>
    </w:div>
    <w:div w:id="1197964799">
      <w:bodyDiv w:val="1"/>
      <w:marLeft w:val="0"/>
      <w:marRight w:val="0"/>
      <w:marTop w:val="0"/>
      <w:marBottom w:val="0"/>
      <w:divBdr>
        <w:top w:val="none" w:sz="0" w:space="0" w:color="auto"/>
        <w:left w:val="none" w:sz="0" w:space="0" w:color="auto"/>
        <w:bottom w:val="none" w:sz="0" w:space="0" w:color="auto"/>
        <w:right w:val="none" w:sz="0" w:space="0" w:color="auto"/>
      </w:divBdr>
    </w:div>
    <w:div w:id="1203715270">
      <w:bodyDiv w:val="1"/>
      <w:marLeft w:val="0"/>
      <w:marRight w:val="0"/>
      <w:marTop w:val="0"/>
      <w:marBottom w:val="0"/>
      <w:divBdr>
        <w:top w:val="none" w:sz="0" w:space="0" w:color="auto"/>
        <w:left w:val="none" w:sz="0" w:space="0" w:color="auto"/>
        <w:bottom w:val="none" w:sz="0" w:space="0" w:color="auto"/>
        <w:right w:val="none" w:sz="0" w:space="0" w:color="auto"/>
      </w:divBdr>
    </w:div>
    <w:div w:id="1212234866">
      <w:bodyDiv w:val="1"/>
      <w:marLeft w:val="0"/>
      <w:marRight w:val="0"/>
      <w:marTop w:val="0"/>
      <w:marBottom w:val="0"/>
      <w:divBdr>
        <w:top w:val="none" w:sz="0" w:space="0" w:color="auto"/>
        <w:left w:val="none" w:sz="0" w:space="0" w:color="auto"/>
        <w:bottom w:val="none" w:sz="0" w:space="0" w:color="auto"/>
        <w:right w:val="none" w:sz="0" w:space="0" w:color="auto"/>
      </w:divBdr>
    </w:div>
    <w:div w:id="1227228763">
      <w:bodyDiv w:val="1"/>
      <w:marLeft w:val="0"/>
      <w:marRight w:val="0"/>
      <w:marTop w:val="0"/>
      <w:marBottom w:val="0"/>
      <w:divBdr>
        <w:top w:val="none" w:sz="0" w:space="0" w:color="auto"/>
        <w:left w:val="none" w:sz="0" w:space="0" w:color="auto"/>
        <w:bottom w:val="none" w:sz="0" w:space="0" w:color="auto"/>
        <w:right w:val="none" w:sz="0" w:space="0" w:color="auto"/>
      </w:divBdr>
    </w:div>
    <w:div w:id="1230075015">
      <w:bodyDiv w:val="1"/>
      <w:marLeft w:val="0"/>
      <w:marRight w:val="0"/>
      <w:marTop w:val="0"/>
      <w:marBottom w:val="0"/>
      <w:divBdr>
        <w:top w:val="none" w:sz="0" w:space="0" w:color="auto"/>
        <w:left w:val="none" w:sz="0" w:space="0" w:color="auto"/>
        <w:bottom w:val="none" w:sz="0" w:space="0" w:color="auto"/>
        <w:right w:val="none" w:sz="0" w:space="0" w:color="auto"/>
      </w:divBdr>
    </w:div>
    <w:div w:id="1230458612">
      <w:bodyDiv w:val="1"/>
      <w:marLeft w:val="0"/>
      <w:marRight w:val="0"/>
      <w:marTop w:val="0"/>
      <w:marBottom w:val="0"/>
      <w:divBdr>
        <w:top w:val="none" w:sz="0" w:space="0" w:color="auto"/>
        <w:left w:val="none" w:sz="0" w:space="0" w:color="auto"/>
        <w:bottom w:val="none" w:sz="0" w:space="0" w:color="auto"/>
        <w:right w:val="none" w:sz="0" w:space="0" w:color="auto"/>
      </w:divBdr>
    </w:div>
    <w:div w:id="1257323086">
      <w:bodyDiv w:val="1"/>
      <w:marLeft w:val="0"/>
      <w:marRight w:val="0"/>
      <w:marTop w:val="0"/>
      <w:marBottom w:val="0"/>
      <w:divBdr>
        <w:top w:val="none" w:sz="0" w:space="0" w:color="auto"/>
        <w:left w:val="none" w:sz="0" w:space="0" w:color="auto"/>
        <w:bottom w:val="none" w:sz="0" w:space="0" w:color="auto"/>
        <w:right w:val="none" w:sz="0" w:space="0" w:color="auto"/>
      </w:divBdr>
    </w:div>
    <w:div w:id="1261138167">
      <w:bodyDiv w:val="1"/>
      <w:marLeft w:val="0"/>
      <w:marRight w:val="0"/>
      <w:marTop w:val="0"/>
      <w:marBottom w:val="0"/>
      <w:divBdr>
        <w:top w:val="none" w:sz="0" w:space="0" w:color="auto"/>
        <w:left w:val="none" w:sz="0" w:space="0" w:color="auto"/>
        <w:bottom w:val="none" w:sz="0" w:space="0" w:color="auto"/>
        <w:right w:val="none" w:sz="0" w:space="0" w:color="auto"/>
      </w:divBdr>
    </w:div>
    <w:div w:id="1276522913">
      <w:bodyDiv w:val="1"/>
      <w:marLeft w:val="0"/>
      <w:marRight w:val="0"/>
      <w:marTop w:val="0"/>
      <w:marBottom w:val="0"/>
      <w:divBdr>
        <w:top w:val="none" w:sz="0" w:space="0" w:color="auto"/>
        <w:left w:val="none" w:sz="0" w:space="0" w:color="auto"/>
        <w:bottom w:val="none" w:sz="0" w:space="0" w:color="auto"/>
        <w:right w:val="none" w:sz="0" w:space="0" w:color="auto"/>
      </w:divBdr>
    </w:div>
    <w:div w:id="1339842963">
      <w:bodyDiv w:val="1"/>
      <w:marLeft w:val="0"/>
      <w:marRight w:val="0"/>
      <w:marTop w:val="0"/>
      <w:marBottom w:val="0"/>
      <w:divBdr>
        <w:top w:val="none" w:sz="0" w:space="0" w:color="auto"/>
        <w:left w:val="none" w:sz="0" w:space="0" w:color="auto"/>
        <w:bottom w:val="none" w:sz="0" w:space="0" w:color="auto"/>
        <w:right w:val="none" w:sz="0" w:space="0" w:color="auto"/>
      </w:divBdr>
    </w:div>
    <w:div w:id="1348873611">
      <w:bodyDiv w:val="1"/>
      <w:marLeft w:val="0"/>
      <w:marRight w:val="0"/>
      <w:marTop w:val="0"/>
      <w:marBottom w:val="0"/>
      <w:divBdr>
        <w:top w:val="none" w:sz="0" w:space="0" w:color="auto"/>
        <w:left w:val="none" w:sz="0" w:space="0" w:color="auto"/>
        <w:bottom w:val="none" w:sz="0" w:space="0" w:color="auto"/>
        <w:right w:val="none" w:sz="0" w:space="0" w:color="auto"/>
      </w:divBdr>
      <w:divsChild>
        <w:div w:id="12650655">
          <w:marLeft w:val="0"/>
          <w:marRight w:val="0"/>
          <w:marTop w:val="0"/>
          <w:marBottom w:val="0"/>
          <w:divBdr>
            <w:top w:val="none" w:sz="0" w:space="0" w:color="auto"/>
            <w:left w:val="none" w:sz="0" w:space="0" w:color="auto"/>
            <w:bottom w:val="none" w:sz="0" w:space="0" w:color="auto"/>
            <w:right w:val="none" w:sz="0" w:space="0" w:color="auto"/>
          </w:divBdr>
          <w:divsChild>
            <w:div w:id="11154543">
              <w:marLeft w:val="0"/>
              <w:marRight w:val="0"/>
              <w:marTop w:val="0"/>
              <w:marBottom w:val="0"/>
              <w:divBdr>
                <w:top w:val="none" w:sz="0" w:space="0" w:color="auto"/>
                <w:left w:val="none" w:sz="0" w:space="0" w:color="auto"/>
                <w:bottom w:val="none" w:sz="0" w:space="0" w:color="auto"/>
                <w:right w:val="none" w:sz="0" w:space="0" w:color="auto"/>
              </w:divBdr>
            </w:div>
            <w:div w:id="68425172">
              <w:marLeft w:val="0"/>
              <w:marRight w:val="0"/>
              <w:marTop w:val="0"/>
              <w:marBottom w:val="0"/>
              <w:divBdr>
                <w:top w:val="none" w:sz="0" w:space="0" w:color="auto"/>
                <w:left w:val="none" w:sz="0" w:space="0" w:color="auto"/>
                <w:bottom w:val="none" w:sz="0" w:space="0" w:color="auto"/>
                <w:right w:val="none" w:sz="0" w:space="0" w:color="auto"/>
              </w:divBdr>
            </w:div>
            <w:div w:id="118496590">
              <w:marLeft w:val="0"/>
              <w:marRight w:val="0"/>
              <w:marTop w:val="0"/>
              <w:marBottom w:val="0"/>
              <w:divBdr>
                <w:top w:val="none" w:sz="0" w:space="0" w:color="auto"/>
                <w:left w:val="none" w:sz="0" w:space="0" w:color="auto"/>
                <w:bottom w:val="none" w:sz="0" w:space="0" w:color="auto"/>
                <w:right w:val="none" w:sz="0" w:space="0" w:color="auto"/>
              </w:divBdr>
            </w:div>
            <w:div w:id="132260359">
              <w:marLeft w:val="0"/>
              <w:marRight w:val="0"/>
              <w:marTop w:val="0"/>
              <w:marBottom w:val="0"/>
              <w:divBdr>
                <w:top w:val="none" w:sz="0" w:space="0" w:color="auto"/>
                <w:left w:val="none" w:sz="0" w:space="0" w:color="auto"/>
                <w:bottom w:val="none" w:sz="0" w:space="0" w:color="auto"/>
                <w:right w:val="none" w:sz="0" w:space="0" w:color="auto"/>
              </w:divBdr>
            </w:div>
            <w:div w:id="138957661">
              <w:marLeft w:val="0"/>
              <w:marRight w:val="0"/>
              <w:marTop w:val="0"/>
              <w:marBottom w:val="0"/>
              <w:divBdr>
                <w:top w:val="none" w:sz="0" w:space="0" w:color="auto"/>
                <w:left w:val="none" w:sz="0" w:space="0" w:color="auto"/>
                <w:bottom w:val="none" w:sz="0" w:space="0" w:color="auto"/>
                <w:right w:val="none" w:sz="0" w:space="0" w:color="auto"/>
              </w:divBdr>
            </w:div>
            <w:div w:id="171460093">
              <w:marLeft w:val="0"/>
              <w:marRight w:val="0"/>
              <w:marTop w:val="0"/>
              <w:marBottom w:val="0"/>
              <w:divBdr>
                <w:top w:val="none" w:sz="0" w:space="0" w:color="auto"/>
                <w:left w:val="none" w:sz="0" w:space="0" w:color="auto"/>
                <w:bottom w:val="none" w:sz="0" w:space="0" w:color="auto"/>
                <w:right w:val="none" w:sz="0" w:space="0" w:color="auto"/>
              </w:divBdr>
            </w:div>
            <w:div w:id="370036304">
              <w:marLeft w:val="0"/>
              <w:marRight w:val="0"/>
              <w:marTop w:val="0"/>
              <w:marBottom w:val="0"/>
              <w:divBdr>
                <w:top w:val="none" w:sz="0" w:space="0" w:color="auto"/>
                <w:left w:val="none" w:sz="0" w:space="0" w:color="auto"/>
                <w:bottom w:val="none" w:sz="0" w:space="0" w:color="auto"/>
                <w:right w:val="none" w:sz="0" w:space="0" w:color="auto"/>
              </w:divBdr>
            </w:div>
            <w:div w:id="395318653">
              <w:marLeft w:val="0"/>
              <w:marRight w:val="0"/>
              <w:marTop w:val="0"/>
              <w:marBottom w:val="0"/>
              <w:divBdr>
                <w:top w:val="none" w:sz="0" w:space="0" w:color="auto"/>
                <w:left w:val="none" w:sz="0" w:space="0" w:color="auto"/>
                <w:bottom w:val="none" w:sz="0" w:space="0" w:color="auto"/>
                <w:right w:val="none" w:sz="0" w:space="0" w:color="auto"/>
              </w:divBdr>
            </w:div>
            <w:div w:id="471866960">
              <w:marLeft w:val="0"/>
              <w:marRight w:val="0"/>
              <w:marTop w:val="0"/>
              <w:marBottom w:val="0"/>
              <w:divBdr>
                <w:top w:val="none" w:sz="0" w:space="0" w:color="auto"/>
                <w:left w:val="none" w:sz="0" w:space="0" w:color="auto"/>
                <w:bottom w:val="none" w:sz="0" w:space="0" w:color="auto"/>
                <w:right w:val="none" w:sz="0" w:space="0" w:color="auto"/>
              </w:divBdr>
            </w:div>
            <w:div w:id="610278617">
              <w:marLeft w:val="0"/>
              <w:marRight w:val="0"/>
              <w:marTop w:val="0"/>
              <w:marBottom w:val="0"/>
              <w:divBdr>
                <w:top w:val="none" w:sz="0" w:space="0" w:color="auto"/>
                <w:left w:val="none" w:sz="0" w:space="0" w:color="auto"/>
                <w:bottom w:val="none" w:sz="0" w:space="0" w:color="auto"/>
                <w:right w:val="none" w:sz="0" w:space="0" w:color="auto"/>
              </w:divBdr>
            </w:div>
            <w:div w:id="712926101">
              <w:marLeft w:val="0"/>
              <w:marRight w:val="0"/>
              <w:marTop w:val="0"/>
              <w:marBottom w:val="0"/>
              <w:divBdr>
                <w:top w:val="none" w:sz="0" w:space="0" w:color="auto"/>
                <w:left w:val="none" w:sz="0" w:space="0" w:color="auto"/>
                <w:bottom w:val="none" w:sz="0" w:space="0" w:color="auto"/>
                <w:right w:val="none" w:sz="0" w:space="0" w:color="auto"/>
              </w:divBdr>
            </w:div>
            <w:div w:id="750198695">
              <w:marLeft w:val="0"/>
              <w:marRight w:val="0"/>
              <w:marTop w:val="0"/>
              <w:marBottom w:val="0"/>
              <w:divBdr>
                <w:top w:val="none" w:sz="0" w:space="0" w:color="auto"/>
                <w:left w:val="none" w:sz="0" w:space="0" w:color="auto"/>
                <w:bottom w:val="none" w:sz="0" w:space="0" w:color="auto"/>
                <w:right w:val="none" w:sz="0" w:space="0" w:color="auto"/>
              </w:divBdr>
            </w:div>
            <w:div w:id="805241282">
              <w:marLeft w:val="0"/>
              <w:marRight w:val="0"/>
              <w:marTop w:val="0"/>
              <w:marBottom w:val="0"/>
              <w:divBdr>
                <w:top w:val="none" w:sz="0" w:space="0" w:color="auto"/>
                <w:left w:val="none" w:sz="0" w:space="0" w:color="auto"/>
                <w:bottom w:val="none" w:sz="0" w:space="0" w:color="auto"/>
                <w:right w:val="none" w:sz="0" w:space="0" w:color="auto"/>
              </w:divBdr>
            </w:div>
            <w:div w:id="923883049">
              <w:marLeft w:val="0"/>
              <w:marRight w:val="0"/>
              <w:marTop w:val="0"/>
              <w:marBottom w:val="0"/>
              <w:divBdr>
                <w:top w:val="none" w:sz="0" w:space="0" w:color="auto"/>
                <w:left w:val="none" w:sz="0" w:space="0" w:color="auto"/>
                <w:bottom w:val="none" w:sz="0" w:space="0" w:color="auto"/>
                <w:right w:val="none" w:sz="0" w:space="0" w:color="auto"/>
              </w:divBdr>
            </w:div>
            <w:div w:id="1037193388">
              <w:marLeft w:val="0"/>
              <w:marRight w:val="0"/>
              <w:marTop w:val="0"/>
              <w:marBottom w:val="0"/>
              <w:divBdr>
                <w:top w:val="none" w:sz="0" w:space="0" w:color="auto"/>
                <w:left w:val="none" w:sz="0" w:space="0" w:color="auto"/>
                <w:bottom w:val="none" w:sz="0" w:space="0" w:color="auto"/>
                <w:right w:val="none" w:sz="0" w:space="0" w:color="auto"/>
              </w:divBdr>
            </w:div>
            <w:div w:id="1132405403">
              <w:marLeft w:val="0"/>
              <w:marRight w:val="0"/>
              <w:marTop w:val="0"/>
              <w:marBottom w:val="0"/>
              <w:divBdr>
                <w:top w:val="none" w:sz="0" w:space="0" w:color="auto"/>
                <w:left w:val="none" w:sz="0" w:space="0" w:color="auto"/>
                <w:bottom w:val="none" w:sz="0" w:space="0" w:color="auto"/>
                <w:right w:val="none" w:sz="0" w:space="0" w:color="auto"/>
              </w:divBdr>
            </w:div>
            <w:div w:id="1378552202">
              <w:marLeft w:val="0"/>
              <w:marRight w:val="0"/>
              <w:marTop w:val="0"/>
              <w:marBottom w:val="0"/>
              <w:divBdr>
                <w:top w:val="none" w:sz="0" w:space="0" w:color="auto"/>
                <w:left w:val="none" w:sz="0" w:space="0" w:color="auto"/>
                <w:bottom w:val="none" w:sz="0" w:space="0" w:color="auto"/>
                <w:right w:val="none" w:sz="0" w:space="0" w:color="auto"/>
              </w:divBdr>
            </w:div>
            <w:div w:id="1491798326">
              <w:marLeft w:val="0"/>
              <w:marRight w:val="0"/>
              <w:marTop w:val="0"/>
              <w:marBottom w:val="0"/>
              <w:divBdr>
                <w:top w:val="none" w:sz="0" w:space="0" w:color="auto"/>
                <w:left w:val="none" w:sz="0" w:space="0" w:color="auto"/>
                <w:bottom w:val="none" w:sz="0" w:space="0" w:color="auto"/>
                <w:right w:val="none" w:sz="0" w:space="0" w:color="auto"/>
              </w:divBdr>
            </w:div>
            <w:div w:id="1624537463">
              <w:marLeft w:val="0"/>
              <w:marRight w:val="0"/>
              <w:marTop w:val="0"/>
              <w:marBottom w:val="0"/>
              <w:divBdr>
                <w:top w:val="none" w:sz="0" w:space="0" w:color="auto"/>
                <w:left w:val="none" w:sz="0" w:space="0" w:color="auto"/>
                <w:bottom w:val="none" w:sz="0" w:space="0" w:color="auto"/>
                <w:right w:val="none" w:sz="0" w:space="0" w:color="auto"/>
              </w:divBdr>
            </w:div>
            <w:div w:id="1716273367">
              <w:marLeft w:val="0"/>
              <w:marRight w:val="0"/>
              <w:marTop w:val="0"/>
              <w:marBottom w:val="0"/>
              <w:divBdr>
                <w:top w:val="none" w:sz="0" w:space="0" w:color="auto"/>
                <w:left w:val="none" w:sz="0" w:space="0" w:color="auto"/>
                <w:bottom w:val="none" w:sz="0" w:space="0" w:color="auto"/>
                <w:right w:val="none" w:sz="0" w:space="0" w:color="auto"/>
              </w:divBdr>
            </w:div>
            <w:div w:id="1819953480">
              <w:marLeft w:val="0"/>
              <w:marRight w:val="0"/>
              <w:marTop w:val="0"/>
              <w:marBottom w:val="0"/>
              <w:divBdr>
                <w:top w:val="none" w:sz="0" w:space="0" w:color="auto"/>
                <w:left w:val="none" w:sz="0" w:space="0" w:color="auto"/>
                <w:bottom w:val="none" w:sz="0" w:space="0" w:color="auto"/>
                <w:right w:val="none" w:sz="0" w:space="0" w:color="auto"/>
              </w:divBdr>
            </w:div>
            <w:div w:id="1824543716">
              <w:marLeft w:val="0"/>
              <w:marRight w:val="0"/>
              <w:marTop w:val="0"/>
              <w:marBottom w:val="0"/>
              <w:divBdr>
                <w:top w:val="none" w:sz="0" w:space="0" w:color="auto"/>
                <w:left w:val="none" w:sz="0" w:space="0" w:color="auto"/>
                <w:bottom w:val="none" w:sz="0" w:space="0" w:color="auto"/>
                <w:right w:val="none" w:sz="0" w:space="0" w:color="auto"/>
              </w:divBdr>
            </w:div>
            <w:div w:id="1826358900">
              <w:marLeft w:val="0"/>
              <w:marRight w:val="0"/>
              <w:marTop w:val="0"/>
              <w:marBottom w:val="0"/>
              <w:divBdr>
                <w:top w:val="none" w:sz="0" w:space="0" w:color="auto"/>
                <w:left w:val="none" w:sz="0" w:space="0" w:color="auto"/>
                <w:bottom w:val="none" w:sz="0" w:space="0" w:color="auto"/>
                <w:right w:val="none" w:sz="0" w:space="0" w:color="auto"/>
              </w:divBdr>
            </w:div>
            <w:div w:id="1965572526">
              <w:marLeft w:val="0"/>
              <w:marRight w:val="0"/>
              <w:marTop w:val="0"/>
              <w:marBottom w:val="0"/>
              <w:divBdr>
                <w:top w:val="none" w:sz="0" w:space="0" w:color="auto"/>
                <w:left w:val="none" w:sz="0" w:space="0" w:color="auto"/>
                <w:bottom w:val="none" w:sz="0" w:space="0" w:color="auto"/>
                <w:right w:val="none" w:sz="0" w:space="0" w:color="auto"/>
              </w:divBdr>
            </w:div>
            <w:div w:id="1979728028">
              <w:marLeft w:val="0"/>
              <w:marRight w:val="0"/>
              <w:marTop w:val="0"/>
              <w:marBottom w:val="0"/>
              <w:divBdr>
                <w:top w:val="none" w:sz="0" w:space="0" w:color="auto"/>
                <w:left w:val="none" w:sz="0" w:space="0" w:color="auto"/>
                <w:bottom w:val="none" w:sz="0" w:space="0" w:color="auto"/>
                <w:right w:val="none" w:sz="0" w:space="0" w:color="auto"/>
              </w:divBdr>
            </w:div>
            <w:div w:id="2002194847">
              <w:marLeft w:val="0"/>
              <w:marRight w:val="0"/>
              <w:marTop w:val="0"/>
              <w:marBottom w:val="0"/>
              <w:divBdr>
                <w:top w:val="none" w:sz="0" w:space="0" w:color="auto"/>
                <w:left w:val="none" w:sz="0" w:space="0" w:color="auto"/>
                <w:bottom w:val="none" w:sz="0" w:space="0" w:color="auto"/>
                <w:right w:val="none" w:sz="0" w:space="0" w:color="auto"/>
              </w:divBdr>
            </w:div>
            <w:div w:id="2067483567">
              <w:marLeft w:val="0"/>
              <w:marRight w:val="0"/>
              <w:marTop w:val="0"/>
              <w:marBottom w:val="0"/>
              <w:divBdr>
                <w:top w:val="none" w:sz="0" w:space="0" w:color="auto"/>
                <w:left w:val="none" w:sz="0" w:space="0" w:color="auto"/>
                <w:bottom w:val="none" w:sz="0" w:space="0" w:color="auto"/>
                <w:right w:val="none" w:sz="0" w:space="0" w:color="auto"/>
              </w:divBdr>
            </w:div>
            <w:div w:id="2073917307">
              <w:marLeft w:val="0"/>
              <w:marRight w:val="0"/>
              <w:marTop w:val="0"/>
              <w:marBottom w:val="0"/>
              <w:divBdr>
                <w:top w:val="none" w:sz="0" w:space="0" w:color="auto"/>
                <w:left w:val="none" w:sz="0" w:space="0" w:color="auto"/>
                <w:bottom w:val="none" w:sz="0" w:space="0" w:color="auto"/>
                <w:right w:val="none" w:sz="0" w:space="0" w:color="auto"/>
              </w:divBdr>
            </w:div>
            <w:div w:id="2145156298">
              <w:marLeft w:val="0"/>
              <w:marRight w:val="0"/>
              <w:marTop w:val="0"/>
              <w:marBottom w:val="0"/>
              <w:divBdr>
                <w:top w:val="none" w:sz="0" w:space="0" w:color="auto"/>
                <w:left w:val="none" w:sz="0" w:space="0" w:color="auto"/>
                <w:bottom w:val="none" w:sz="0" w:space="0" w:color="auto"/>
                <w:right w:val="none" w:sz="0" w:space="0" w:color="auto"/>
              </w:divBdr>
            </w:div>
          </w:divsChild>
        </w:div>
        <w:div w:id="387531083">
          <w:marLeft w:val="0"/>
          <w:marRight w:val="0"/>
          <w:marTop w:val="0"/>
          <w:marBottom w:val="0"/>
          <w:divBdr>
            <w:top w:val="none" w:sz="0" w:space="0" w:color="auto"/>
            <w:left w:val="none" w:sz="0" w:space="0" w:color="auto"/>
            <w:bottom w:val="none" w:sz="0" w:space="0" w:color="auto"/>
            <w:right w:val="none" w:sz="0" w:space="0" w:color="auto"/>
          </w:divBdr>
          <w:divsChild>
            <w:div w:id="31158063">
              <w:marLeft w:val="0"/>
              <w:marRight w:val="0"/>
              <w:marTop w:val="0"/>
              <w:marBottom w:val="0"/>
              <w:divBdr>
                <w:top w:val="none" w:sz="0" w:space="0" w:color="auto"/>
                <w:left w:val="none" w:sz="0" w:space="0" w:color="auto"/>
                <w:bottom w:val="none" w:sz="0" w:space="0" w:color="auto"/>
                <w:right w:val="none" w:sz="0" w:space="0" w:color="auto"/>
              </w:divBdr>
            </w:div>
            <w:div w:id="39205690">
              <w:marLeft w:val="0"/>
              <w:marRight w:val="0"/>
              <w:marTop w:val="0"/>
              <w:marBottom w:val="0"/>
              <w:divBdr>
                <w:top w:val="none" w:sz="0" w:space="0" w:color="auto"/>
                <w:left w:val="none" w:sz="0" w:space="0" w:color="auto"/>
                <w:bottom w:val="none" w:sz="0" w:space="0" w:color="auto"/>
                <w:right w:val="none" w:sz="0" w:space="0" w:color="auto"/>
              </w:divBdr>
            </w:div>
            <w:div w:id="61147201">
              <w:marLeft w:val="0"/>
              <w:marRight w:val="0"/>
              <w:marTop w:val="0"/>
              <w:marBottom w:val="0"/>
              <w:divBdr>
                <w:top w:val="none" w:sz="0" w:space="0" w:color="auto"/>
                <w:left w:val="none" w:sz="0" w:space="0" w:color="auto"/>
                <w:bottom w:val="none" w:sz="0" w:space="0" w:color="auto"/>
                <w:right w:val="none" w:sz="0" w:space="0" w:color="auto"/>
              </w:divBdr>
            </w:div>
            <w:div w:id="267931420">
              <w:marLeft w:val="0"/>
              <w:marRight w:val="0"/>
              <w:marTop w:val="0"/>
              <w:marBottom w:val="0"/>
              <w:divBdr>
                <w:top w:val="none" w:sz="0" w:space="0" w:color="auto"/>
                <w:left w:val="none" w:sz="0" w:space="0" w:color="auto"/>
                <w:bottom w:val="none" w:sz="0" w:space="0" w:color="auto"/>
                <w:right w:val="none" w:sz="0" w:space="0" w:color="auto"/>
              </w:divBdr>
            </w:div>
            <w:div w:id="363790367">
              <w:marLeft w:val="0"/>
              <w:marRight w:val="0"/>
              <w:marTop w:val="0"/>
              <w:marBottom w:val="0"/>
              <w:divBdr>
                <w:top w:val="none" w:sz="0" w:space="0" w:color="auto"/>
                <w:left w:val="none" w:sz="0" w:space="0" w:color="auto"/>
                <w:bottom w:val="none" w:sz="0" w:space="0" w:color="auto"/>
                <w:right w:val="none" w:sz="0" w:space="0" w:color="auto"/>
              </w:divBdr>
            </w:div>
            <w:div w:id="373508469">
              <w:marLeft w:val="0"/>
              <w:marRight w:val="0"/>
              <w:marTop w:val="0"/>
              <w:marBottom w:val="0"/>
              <w:divBdr>
                <w:top w:val="none" w:sz="0" w:space="0" w:color="auto"/>
                <w:left w:val="none" w:sz="0" w:space="0" w:color="auto"/>
                <w:bottom w:val="none" w:sz="0" w:space="0" w:color="auto"/>
                <w:right w:val="none" w:sz="0" w:space="0" w:color="auto"/>
              </w:divBdr>
            </w:div>
            <w:div w:id="497501134">
              <w:marLeft w:val="0"/>
              <w:marRight w:val="0"/>
              <w:marTop w:val="0"/>
              <w:marBottom w:val="0"/>
              <w:divBdr>
                <w:top w:val="none" w:sz="0" w:space="0" w:color="auto"/>
                <w:left w:val="none" w:sz="0" w:space="0" w:color="auto"/>
                <w:bottom w:val="none" w:sz="0" w:space="0" w:color="auto"/>
                <w:right w:val="none" w:sz="0" w:space="0" w:color="auto"/>
              </w:divBdr>
            </w:div>
            <w:div w:id="596249368">
              <w:marLeft w:val="0"/>
              <w:marRight w:val="0"/>
              <w:marTop w:val="0"/>
              <w:marBottom w:val="0"/>
              <w:divBdr>
                <w:top w:val="none" w:sz="0" w:space="0" w:color="auto"/>
                <w:left w:val="none" w:sz="0" w:space="0" w:color="auto"/>
                <w:bottom w:val="none" w:sz="0" w:space="0" w:color="auto"/>
                <w:right w:val="none" w:sz="0" w:space="0" w:color="auto"/>
              </w:divBdr>
            </w:div>
            <w:div w:id="747770865">
              <w:marLeft w:val="0"/>
              <w:marRight w:val="0"/>
              <w:marTop w:val="0"/>
              <w:marBottom w:val="0"/>
              <w:divBdr>
                <w:top w:val="none" w:sz="0" w:space="0" w:color="auto"/>
                <w:left w:val="none" w:sz="0" w:space="0" w:color="auto"/>
                <w:bottom w:val="none" w:sz="0" w:space="0" w:color="auto"/>
                <w:right w:val="none" w:sz="0" w:space="0" w:color="auto"/>
              </w:divBdr>
            </w:div>
            <w:div w:id="983702024">
              <w:marLeft w:val="0"/>
              <w:marRight w:val="0"/>
              <w:marTop w:val="0"/>
              <w:marBottom w:val="0"/>
              <w:divBdr>
                <w:top w:val="none" w:sz="0" w:space="0" w:color="auto"/>
                <w:left w:val="none" w:sz="0" w:space="0" w:color="auto"/>
                <w:bottom w:val="none" w:sz="0" w:space="0" w:color="auto"/>
                <w:right w:val="none" w:sz="0" w:space="0" w:color="auto"/>
              </w:divBdr>
            </w:div>
            <w:div w:id="1067148991">
              <w:marLeft w:val="0"/>
              <w:marRight w:val="0"/>
              <w:marTop w:val="0"/>
              <w:marBottom w:val="0"/>
              <w:divBdr>
                <w:top w:val="none" w:sz="0" w:space="0" w:color="auto"/>
                <w:left w:val="none" w:sz="0" w:space="0" w:color="auto"/>
                <w:bottom w:val="none" w:sz="0" w:space="0" w:color="auto"/>
                <w:right w:val="none" w:sz="0" w:space="0" w:color="auto"/>
              </w:divBdr>
            </w:div>
            <w:div w:id="1114792787">
              <w:marLeft w:val="0"/>
              <w:marRight w:val="0"/>
              <w:marTop w:val="0"/>
              <w:marBottom w:val="0"/>
              <w:divBdr>
                <w:top w:val="none" w:sz="0" w:space="0" w:color="auto"/>
                <w:left w:val="none" w:sz="0" w:space="0" w:color="auto"/>
                <w:bottom w:val="none" w:sz="0" w:space="0" w:color="auto"/>
                <w:right w:val="none" w:sz="0" w:space="0" w:color="auto"/>
              </w:divBdr>
            </w:div>
            <w:div w:id="1147209638">
              <w:marLeft w:val="0"/>
              <w:marRight w:val="0"/>
              <w:marTop w:val="0"/>
              <w:marBottom w:val="0"/>
              <w:divBdr>
                <w:top w:val="none" w:sz="0" w:space="0" w:color="auto"/>
                <w:left w:val="none" w:sz="0" w:space="0" w:color="auto"/>
                <w:bottom w:val="none" w:sz="0" w:space="0" w:color="auto"/>
                <w:right w:val="none" w:sz="0" w:space="0" w:color="auto"/>
              </w:divBdr>
            </w:div>
            <w:div w:id="1241209388">
              <w:marLeft w:val="0"/>
              <w:marRight w:val="0"/>
              <w:marTop w:val="0"/>
              <w:marBottom w:val="0"/>
              <w:divBdr>
                <w:top w:val="none" w:sz="0" w:space="0" w:color="auto"/>
                <w:left w:val="none" w:sz="0" w:space="0" w:color="auto"/>
                <w:bottom w:val="none" w:sz="0" w:space="0" w:color="auto"/>
                <w:right w:val="none" w:sz="0" w:space="0" w:color="auto"/>
              </w:divBdr>
            </w:div>
            <w:div w:id="1252541595">
              <w:marLeft w:val="0"/>
              <w:marRight w:val="0"/>
              <w:marTop w:val="0"/>
              <w:marBottom w:val="0"/>
              <w:divBdr>
                <w:top w:val="none" w:sz="0" w:space="0" w:color="auto"/>
                <w:left w:val="none" w:sz="0" w:space="0" w:color="auto"/>
                <w:bottom w:val="none" w:sz="0" w:space="0" w:color="auto"/>
                <w:right w:val="none" w:sz="0" w:space="0" w:color="auto"/>
              </w:divBdr>
            </w:div>
            <w:div w:id="1431583386">
              <w:marLeft w:val="0"/>
              <w:marRight w:val="0"/>
              <w:marTop w:val="0"/>
              <w:marBottom w:val="0"/>
              <w:divBdr>
                <w:top w:val="none" w:sz="0" w:space="0" w:color="auto"/>
                <w:left w:val="none" w:sz="0" w:space="0" w:color="auto"/>
                <w:bottom w:val="none" w:sz="0" w:space="0" w:color="auto"/>
                <w:right w:val="none" w:sz="0" w:space="0" w:color="auto"/>
              </w:divBdr>
            </w:div>
            <w:div w:id="1509634838">
              <w:marLeft w:val="0"/>
              <w:marRight w:val="0"/>
              <w:marTop w:val="0"/>
              <w:marBottom w:val="0"/>
              <w:divBdr>
                <w:top w:val="none" w:sz="0" w:space="0" w:color="auto"/>
                <w:left w:val="none" w:sz="0" w:space="0" w:color="auto"/>
                <w:bottom w:val="none" w:sz="0" w:space="0" w:color="auto"/>
                <w:right w:val="none" w:sz="0" w:space="0" w:color="auto"/>
              </w:divBdr>
            </w:div>
            <w:div w:id="1550265341">
              <w:marLeft w:val="0"/>
              <w:marRight w:val="0"/>
              <w:marTop w:val="0"/>
              <w:marBottom w:val="0"/>
              <w:divBdr>
                <w:top w:val="none" w:sz="0" w:space="0" w:color="auto"/>
                <w:left w:val="none" w:sz="0" w:space="0" w:color="auto"/>
                <w:bottom w:val="none" w:sz="0" w:space="0" w:color="auto"/>
                <w:right w:val="none" w:sz="0" w:space="0" w:color="auto"/>
              </w:divBdr>
            </w:div>
            <w:div w:id="1837844750">
              <w:marLeft w:val="0"/>
              <w:marRight w:val="0"/>
              <w:marTop w:val="0"/>
              <w:marBottom w:val="0"/>
              <w:divBdr>
                <w:top w:val="none" w:sz="0" w:space="0" w:color="auto"/>
                <w:left w:val="none" w:sz="0" w:space="0" w:color="auto"/>
                <w:bottom w:val="none" w:sz="0" w:space="0" w:color="auto"/>
                <w:right w:val="none" w:sz="0" w:space="0" w:color="auto"/>
              </w:divBdr>
            </w:div>
            <w:div w:id="1873689485">
              <w:marLeft w:val="0"/>
              <w:marRight w:val="0"/>
              <w:marTop w:val="0"/>
              <w:marBottom w:val="0"/>
              <w:divBdr>
                <w:top w:val="none" w:sz="0" w:space="0" w:color="auto"/>
                <w:left w:val="none" w:sz="0" w:space="0" w:color="auto"/>
                <w:bottom w:val="none" w:sz="0" w:space="0" w:color="auto"/>
                <w:right w:val="none" w:sz="0" w:space="0" w:color="auto"/>
              </w:divBdr>
            </w:div>
            <w:div w:id="1952741587">
              <w:marLeft w:val="0"/>
              <w:marRight w:val="0"/>
              <w:marTop w:val="0"/>
              <w:marBottom w:val="0"/>
              <w:divBdr>
                <w:top w:val="none" w:sz="0" w:space="0" w:color="auto"/>
                <w:left w:val="none" w:sz="0" w:space="0" w:color="auto"/>
                <w:bottom w:val="none" w:sz="0" w:space="0" w:color="auto"/>
                <w:right w:val="none" w:sz="0" w:space="0" w:color="auto"/>
              </w:divBdr>
            </w:div>
            <w:div w:id="1972175849">
              <w:marLeft w:val="0"/>
              <w:marRight w:val="0"/>
              <w:marTop w:val="0"/>
              <w:marBottom w:val="0"/>
              <w:divBdr>
                <w:top w:val="none" w:sz="0" w:space="0" w:color="auto"/>
                <w:left w:val="none" w:sz="0" w:space="0" w:color="auto"/>
                <w:bottom w:val="none" w:sz="0" w:space="0" w:color="auto"/>
                <w:right w:val="none" w:sz="0" w:space="0" w:color="auto"/>
              </w:divBdr>
            </w:div>
          </w:divsChild>
        </w:div>
        <w:div w:id="506986501">
          <w:marLeft w:val="0"/>
          <w:marRight w:val="0"/>
          <w:marTop w:val="0"/>
          <w:marBottom w:val="0"/>
          <w:divBdr>
            <w:top w:val="none" w:sz="0" w:space="0" w:color="auto"/>
            <w:left w:val="none" w:sz="0" w:space="0" w:color="auto"/>
            <w:bottom w:val="none" w:sz="0" w:space="0" w:color="auto"/>
            <w:right w:val="none" w:sz="0" w:space="0" w:color="auto"/>
          </w:divBdr>
          <w:divsChild>
            <w:div w:id="54013240">
              <w:marLeft w:val="0"/>
              <w:marRight w:val="0"/>
              <w:marTop w:val="0"/>
              <w:marBottom w:val="0"/>
              <w:divBdr>
                <w:top w:val="none" w:sz="0" w:space="0" w:color="auto"/>
                <w:left w:val="none" w:sz="0" w:space="0" w:color="auto"/>
                <w:bottom w:val="none" w:sz="0" w:space="0" w:color="auto"/>
                <w:right w:val="none" w:sz="0" w:space="0" w:color="auto"/>
              </w:divBdr>
            </w:div>
            <w:div w:id="54089898">
              <w:marLeft w:val="0"/>
              <w:marRight w:val="0"/>
              <w:marTop w:val="0"/>
              <w:marBottom w:val="0"/>
              <w:divBdr>
                <w:top w:val="none" w:sz="0" w:space="0" w:color="auto"/>
                <w:left w:val="none" w:sz="0" w:space="0" w:color="auto"/>
                <w:bottom w:val="none" w:sz="0" w:space="0" w:color="auto"/>
                <w:right w:val="none" w:sz="0" w:space="0" w:color="auto"/>
              </w:divBdr>
            </w:div>
            <w:div w:id="189032385">
              <w:marLeft w:val="0"/>
              <w:marRight w:val="0"/>
              <w:marTop w:val="0"/>
              <w:marBottom w:val="0"/>
              <w:divBdr>
                <w:top w:val="none" w:sz="0" w:space="0" w:color="auto"/>
                <w:left w:val="none" w:sz="0" w:space="0" w:color="auto"/>
                <w:bottom w:val="none" w:sz="0" w:space="0" w:color="auto"/>
                <w:right w:val="none" w:sz="0" w:space="0" w:color="auto"/>
              </w:divBdr>
            </w:div>
            <w:div w:id="219561828">
              <w:marLeft w:val="0"/>
              <w:marRight w:val="0"/>
              <w:marTop w:val="0"/>
              <w:marBottom w:val="0"/>
              <w:divBdr>
                <w:top w:val="none" w:sz="0" w:space="0" w:color="auto"/>
                <w:left w:val="none" w:sz="0" w:space="0" w:color="auto"/>
                <w:bottom w:val="none" w:sz="0" w:space="0" w:color="auto"/>
                <w:right w:val="none" w:sz="0" w:space="0" w:color="auto"/>
              </w:divBdr>
            </w:div>
            <w:div w:id="351033994">
              <w:marLeft w:val="0"/>
              <w:marRight w:val="0"/>
              <w:marTop w:val="0"/>
              <w:marBottom w:val="0"/>
              <w:divBdr>
                <w:top w:val="none" w:sz="0" w:space="0" w:color="auto"/>
                <w:left w:val="none" w:sz="0" w:space="0" w:color="auto"/>
                <w:bottom w:val="none" w:sz="0" w:space="0" w:color="auto"/>
                <w:right w:val="none" w:sz="0" w:space="0" w:color="auto"/>
              </w:divBdr>
            </w:div>
            <w:div w:id="387656217">
              <w:marLeft w:val="0"/>
              <w:marRight w:val="0"/>
              <w:marTop w:val="0"/>
              <w:marBottom w:val="0"/>
              <w:divBdr>
                <w:top w:val="none" w:sz="0" w:space="0" w:color="auto"/>
                <w:left w:val="none" w:sz="0" w:space="0" w:color="auto"/>
                <w:bottom w:val="none" w:sz="0" w:space="0" w:color="auto"/>
                <w:right w:val="none" w:sz="0" w:space="0" w:color="auto"/>
              </w:divBdr>
            </w:div>
            <w:div w:id="458452529">
              <w:marLeft w:val="0"/>
              <w:marRight w:val="0"/>
              <w:marTop w:val="0"/>
              <w:marBottom w:val="0"/>
              <w:divBdr>
                <w:top w:val="none" w:sz="0" w:space="0" w:color="auto"/>
                <w:left w:val="none" w:sz="0" w:space="0" w:color="auto"/>
                <w:bottom w:val="none" w:sz="0" w:space="0" w:color="auto"/>
                <w:right w:val="none" w:sz="0" w:space="0" w:color="auto"/>
              </w:divBdr>
            </w:div>
            <w:div w:id="472678237">
              <w:marLeft w:val="0"/>
              <w:marRight w:val="0"/>
              <w:marTop w:val="0"/>
              <w:marBottom w:val="0"/>
              <w:divBdr>
                <w:top w:val="none" w:sz="0" w:space="0" w:color="auto"/>
                <w:left w:val="none" w:sz="0" w:space="0" w:color="auto"/>
                <w:bottom w:val="none" w:sz="0" w:space="0" w:color="auto"/>
                <w:right w:val="none" w:sz="0" w:space="0" w:color="auto"/>
              </w:divBdr>
            </w:div>
            <w:div w:id="492987664">
              <w:marLeft w:val="0"/>
              <w:marRight w:val="0"/>
              <w:marTop w:val="0"/>
              <w:marBottom w:val="0"/>
              <w:divBdr>
                <w:top w:val="none" w:sz="0" w:space="0" w:color="auto"/>
                <w:left w:val="none" w:sz="0" w:space="0" w:color="auto"/>
                <w:bottom w:val="none" w:sz="0" w:space="0" w:color="auto"/>
                <w:right w:val="none" w:sz="0" w:space="0" w:color="auto"/>
              </w:divBdr>
            </w:div>
            <w:div w:id="535124712">
              <w:marLeft w:val="0"/>
              <w:marRight w:val="0"/>
              <w:marTop w:val="0"/>
              <w:marBottom w:val="0"/>
              <w:divBdr>
                <w:top w:val="none" w:sz="0" w:space="0" w:color="auto"/>
                <w:left w:val="none" w:sz="0" w:space="0" w:color="auto"/>
                <w:bottom w:val="none" w:sz="0" w:space="0" w:color="auto"/>
                <w:right w:val="none" w:sz="0" w:space="0" w:color="auto"/>
              </w:divBdr>
            </w:div>
            <w:div w:id="627200419">
              <w:marLeft w:val="0"/>
              <w:marRight w:val="0"/>
              <w:marTop w:val="0"/>
              <w:marBottom w:val="0"/>
              <w:divBdr>
                <w:top w:val="none" w:sz="0" w:space="0" w:color="auto"/>
                <w:left w:val="none" w:sz="0" w:space="0" w:color="auto"/>
                <w:bottom w:val="none" w:sz="0" w:space="0" w:color="auto"/>
                <w:right w:val="none" w:sz="0" w:space="0" w:color="auto"/>
              </w:divBdr>
            </w:div>
            <w:div w:id="843668047">
              <w:marLeft w:val="0"/>
              <w:marRight w:val="0"/>
              <w:marTop w:val="0"/>
              <w:marBottom w:val="0"/>
              <w:divBdr>
                <w:top w:val="none" w:sz="0" w:space="0" w:color="auto"/>
                <w:left w:val="none" w:sz="0" w:space="0" w:color="auto"/>
                <w:bottom w:val="none" w:sz="0" w:space="0" w:color="auto"/>
                <w:right w:val="none" w:sz="0" w:space="0" w:color="auto"/>
              </w:divBdr>
            </w:div>
            <w:div w:id="1031419058">
              <w:marLeft w:val="0"/>
              <w:marRight w:val="0"/>
              <w:marTop w:val="0"/>
              <w:marBottom w:val="0"/>
              <w:divBdr>
                <w:top w:val="none" w:sz="0" w:space="0" w:color="auto"/>
                <w:left w:val="none" w:sz="0" w:space="0" w:color="auto"/>
                <w:bottom w:val="none" w:sz="0" w:space="0" w:color="auto"/>
                <w:right w:val="none" w:sz="0" w:space="0" w:color="auto"/>
              </w:divBdr>
            </w:div>
            <w:div w:id="1148205475">
              <w:marLeft w:val="0"/>
              <w:marRight w:val="0"/>
              <w:marTop w:val="0"/>
              <w:marBottom w:val="0"/>
              <w:divBdr>
                <w:top w:val="none" w:sz="0" w:space="0" w:color="auto"/>
                <w:left w:val="none" w:sz="0" w:space="0" w:color="auto"/>
                <w:bottom w:val="none" w:sz="0" w:space="0" w:color="auto"/>
                <w:right w:val="none" w:sz="0" w:space="0" w:color="auto"/>
              </w:divBdr>
            </w:div>
            <w:div w:id="1175268578">
              <w:marLeft w:val="0"/>
              <w:marRight w:val="0"/>
              <w:marTop w:val="0"/>
              <w:marBottom w:val="0"/>
              <w:divBdr>
                <w:top w:val="none" w:sz="0" w:space="0" w:color="auto"/>
                <w:left w:val="none" w:sz="0" w:space="0" w:color="auto"/>
                <w:bottom w:val="none" w:sz="0" w:space="0" w:color="auto"/>
                <w:right w:val="none" w:sz="0" w:space="0" w:color="auto"/>
              </w:divBdr>
            </w:div>
            <w:div w:id="1539975117">
              <w:marLeft w:val="0"/>
              <w:marRight w:val="0"/>
              <w:marTop w:val="0"/>
              <w:marBottom w:val="0"/>
              <w:divBdr>
                <w:top w:val="none" w:sz="0" w:space="0" w:color="auto"/>
                <w:left w:val="none" w:sz="0" w:space="0" w:color="auto"/>
                <w:bottom w:val="none" w:sz="0" w:space="0" w:color="auto"/>
                <w:right w:val="none" w:sz="0" w:space="0" w:color="auto"/>
              </w:divBdr>
            </w:div>
            <w:div w:id="1653291263">
              <w:marLeft w:val="0"/>
              <w:marRight w:val="0"/>
              <w:marTop w:val="0"/>
              <w:marBottom w:val="0"/>
              <w:divBdr>
                <w:top w:val="none" w:sz="0" w:space="0" w:color="auto"/>
                <w:left w:val="none" w:sz="0" w:space="0" w:color="auto"/>
                <w:bottom w:val="none" w:sz="0" w:space="0" w:color="auto"/>
                <w:right w:val="none" w:sz="0" w:space="0" w:color="auto"/>
              </w:divBdr>
            </w:div>
            <w:div w:id="1782141261">
              <w:marLeft w:val="0"/>
              <w:marRight w:val="0"/>
              <w:marTop w:val="0"/>
              <w:marBottom w:val="0"/>
              <w:divBdr>
                <w:top w:val="none" w:sz="0" w:space="0" w:color="auto"/>
                <w:left w:val="none" w:sz="0" w:space="0" w:color="auto"/>
                <w:bottom w:val="none" w:sz="0" w:space="0" w:color="auto"/>
                <w:right w:val="none" w:sz="0" w:space="0" w:color="auto"/>
              </w:divBdr>
            </w:div>
            <w:div w:id="1917085468">
              <w:marLeft w:val="0"/>
              <w:marRight w:val="0"/>
              <w:marTop w:val="0"/>
              <w:marBottom w:val="0"/>
              <w:divBdr>
                <w:top w:val="none" w:sz="0" w:space="0" w:color="auto"/>
                <w:left w:val="none" w:sz="0" w:space="0" w:color="auto"/>
                <w:bottom w:val="none" w:sz="0" w:space="0" w:color="auto"/>
                <w:right w:val="none" w:sz="0" w:space="0" w:color="auto"/>
              </w:divBdr>
            </w:div>
            <w:div w:id="1978290875">
              <w:marLeft w:val="0"/>
              <w:marRight w:val="0"/>
              <w:marTop w:val="0"/>
              <w:marBottom w:val="0"/>
              <w:divBdr>
                <w:top w:val="none" w:sz="0" w:space="0" w:color="auto"/>
                <w:left w:val="none" w:sz="0" w:space="0" w:color="auto"/>
                <w:bottom w:val="none" w:sz="0" w:space="0" w:color="auto"/>
                <w:right w:val="none" w:sz="0" w:space="0" w:color="auto"/>
              </w:divBdr>
            </w:div>
            <w:div w:id="2059469120">
              <w:marLeft w:val="0"/>
              <w:marRight w:val="0"/>
              <w:marTop w:val="0"/>
              <w:marBottom w:val="0"/>
              <w:divBdr>
                <w:top w:val="none" w:sz="0" w:space="0" w:color="auto"/>
                <w:left w:val="none" w:sz="0" w:space="0" w:color="auto"/>
                <w:bottom w:val="none" w:sz="0" w:space="0" w:color="auto"/>
                <w:right w:val="none" w:sz="0" w:space="0" w:color="auto"/>
              </w:divBdr>
            </w:div>
            <w:div w:id="2083478047">
              <w:marLeft w:val="0"/>
              <w:marRight w:val="0"/>
              <w:marTop w:val="0"/>
              <w:marBottom w:val="0"/>
              <w:divBdr>
                <w:top w:val="none" w:sz="0" w:space="0" w:color="auto"/>
                <w:left w:val="none" w:sz="0" w:space="0" w:color="auto"/>
                <w:bottom w:val="none" w:sz="0" w:space="0" w:color="auto"/>
                <w:right w:val="none" w:sz="0" w:space="0" w:color="auto"/>
              </w:divBdr>
            </w:div>
          </w:divsChild>
        </w:div>
        <w:div w:id="786659032">
          <w:marLeft w:val="0"/>
          <w:marRight w:val="0"/>
          <w:marTop w:val="0"/>
          <w:marBottom w:val="0"/>
          <w:divBdr>
            <w:top w:val="none" w:sz="0" w:space="0" w:color="auto"/>
            <w:left w:val="none" w:sz="0" w:space="0" w:color="auto"/>
            <w:bottom w:val="none" w:sz="0" w:space="0" w:color="auto"/>
            <w:right w:val="none" w:sz="0" w:space="0" w:color="auto"/>
          </w:divBdr>
          <w:divsChild>
            <w:div w:id="278298410">
              <w:marLeft w:val="0"/>
              <w:marRight w:val="0"/>
              <w:marTop w:val="0"/>
              <w:marBottom w:val="0"/>
              <w:divBdr>
                <w:top w:val="none" w:sz="0" w:space="0" w:color="auto"/>
                <w:left w:val="none" w:sz="0" w:space="0" w:color="auto"/>
                <w:bottom w:val="none" w:sz="0" w:space="0" w:color="auto"/>
                <w:right w:val="none" w:sz="0" w:space="0" w:color="auto"/>
              </w:divBdr>
            </w:div>
            <w:div w:id="1270429102">
              <w:marLeft w:val="0"/>
              <w:marRight w:val="0"/>
              <w:marTop w:val="0"/>
              <w:marBottom w:val="0"/>
              <w:divBdr>
                <w:top w:val="none" w:sz="0" w:space="0" w:color="auto"/>
                <w:left w:val="none" w:sz="0" w:space="0" w:color="auto"/>
                <w:bottom w:val="none" w:sz="0" w:space="0" w:color="auto"/>
                <w:right w:val="none" w:sz="0" w:space="0" w:color="auto"/>
              </w:divBdr>
            </w:div>
            <w:div w:id="1730617757">
              <w:marLeft w:val="0"/>
              <w:marRight w:val="0"/>
              <w:marTop w:val="0"/>
              <w:marBottom w:val="0"/>
              <w:divBdr>
                <w:top w:val="none" w:sz="0" w:space="0" w:color="auto"/>
                <w:left w:val="none" w:sz="0" w:space="0" w:color="auto"/>
                <w:bottom w:val="none" w:sz="0" w:space="0" w:color="auto"/>
                <w:right w:val="none" w:sz="0" w:space="0" w:color="auto"/>
              </w:divBdr>
            </w:div>
          </w:divsChild>
        </w:div>
        <w:div w:id="837118463">
          <w:marLeft w:val="0"/>
          <w:marRight w:val="0"/>
          <w:marTop w:val="0"/>
          <w:marBottom w:val="0"/>
          <w:divBdr>
            <w:top w:val="none" w:sz="0" w:space="0" w:color="auto"/>
            <w:left w:val="none" w:sz="0" w:space="0" w:color="auto"/>
            <w:bottom w:val="none" w:sz="0" w:space="0" w:color="auto"/>
            <w:right w:val="none" w:sz="0" w:space="0" w:color="auto"/>
          </w:divBdr>
          <w:divsChild>
            <w:div w:id="496772044">
              <w:marLeft w:val="0"/>
              <w:marRight w:val="0"/>
              <w:marTop w:val="0"/>
              <w:marBottom w:val="0"/>
              <w:divBdr>
                <w:top w:val="none" w:sz="0" w:space="0" w:color="auto"/>
                <w:left w:val="none" w:sz="0" w:space="0" w:color="auto"/>
                <w:bottom w:val="none" w:sz="0" w:space="0" w:color="auto"/>
                <w:right w:val="none" w:sz="0" w:space="0" w:color="auto"/>
              </w:divBdr>
            </w:div>
            <w:div w:id="623116659">
              <w:marLeft w:val="0"/>
              <w:marRight w:val="0"/>
              <w:marTop w:val="0"/>
              <w:marBottom w:val="0"/>
              <w:divBdr>
                <w:top w:val="none" w:sz="0" w:space="0" w:color="auto"/>
                <w:left w:val="none" w:sz="0" w:space="0" w:color="auto"/>
                <w:bottom w:val="none" w:sz="0" w:space="0" w:color="auto"/>
                <w:right w:val="none" w:sz="0" w:space="0" w:color="auto"/>
              </w:divBdr>
            </w:div>
            <w:div w:id="827748937">
              <w:marLeft w:val="0"/>
              <w:marRight w:val="0"/>
              <w:marTop w:val="0"/>
              <w:marBottom w:val="0"/>
              <w:divBdr>
                <w:top w:val="none" w:sz="0" w:space="0" w:color="auto"/>
                <w:left w:val="none" w:sz="0" w:space="0" w:color="auto"/>
                <w:bottom w:val="none" w:sz="0" w:space="0" w:color="auto"/>
                <w:right w:val="none" w:sz="0" w:space="0" w:color="auto"/>
              </w:divBdr>
            </w:div>
            <w:div w:id="973634693">
              <w:marLeft w:val="0"/>
              <w:marRight w:val="0"/>
              <w:marTop w:val="0"/>
              <w:marBottom w:val="0"/>
              <w:divBdr>
                <w:top w:val="none" w:sz="0" w:space="0" w:color="auto"/>
                <w:left w:val="none" w:sz="0" w:space="0" w:color="auto"/>
                <w:bottom w:val="none" w:sz="0" w:space="0" w:color="auto"/>
                <w:right w:val="none" w:sz="0" w:space="0" w:color="auto"/>
              </w:divBdr>
            </w:div>
            <w:div w:id="1131363761">
              <w:marLeft w:val="0"/>
              <w:marRight w:val="0"/>
              <w:marTop w:val="0"/>
              <w:marBottom w:val="0"/>
              <w:divBdr>
                <w:top w:val="none" w:sz="0" w:space="0" w:color="auto"/>
                <w:left w:val="none" w:sz="0" w:space="0" w:color="auto"/>
                <w:bottom w:val="none" w:sz="0" w:space="0" w:color="auto"/>
                <w:right w:val="none" w:sz="0" w:space="0" w:color="auto"/>
              </w:divBdr>
            </w:div>
            <w:div w:id="1592544276">
              <w:marLeft w:val="0"/>
              <w:marRight w:val="0"/>
              <w:marTop w:val="0"/>
              <w:marBottom w:val="0"/>
              <w:divBdr>
                <w:top w:val="none" w:sz="0" w:space="0" w:color="auto"/>
                <w:left w:val="none" w:sz="0" w:space="0" w:color="auto"/>
                <w:bottom w:val="none" w:sz="0" w:space="0" w:color="auto"/>
                <w:right w:val="none" w:sz="0" w:space="0" w:color="auto"/>
              </w:divBdr>
            </w:div>
            <w:div w:id="2080906339">
              <w:marLeft w:val="0"/>
              <w:marRight w:val="0"/>
              <w:marTop w:val="0"/>
              <w:marBottom w:val="0"/>
              <w:divBdr>
                <w:top w:val="none" w:sz="0" w:space="0" w:color="auto"/>
                <w:left w:val="none" w:sz="0" w:space="0" w:color="auto"/>
                <w:bottom w:val="none" w:sz="0" w:space="0" w:color="auto"/>
                <w:right w:val="none" w:sz="0" w:space="0" w:color="auto"/>
              </w:divBdr>
            </w:div>
          </w:divsChild>
        </w:div>
        <w:div w:id="1670324651">
          <w:marLeft w:val="0"/>
          <w:marRight w:val="0"/>
          <w:marTop w:val="0"/>
          <w:marBottom w:val="0"/>
          <w:divBdr>
            <w:top w:val="none" w:sz="0" w:space="0" w:color="auto"/>
            <w:left w:val="none" w:sz="0" w:space="0" w:color="auto"/>
            <w:bottom w:val="none" w:sz="0" w:space="0" w:color="auto"/>
            <w:right w:val="none" w:sz="0" w:space="0" w:color="auto"/>
          </w:divBdr>
          <w:divsChild>
            <w:div w:id="331220424">
              <w:marLeft w:val="0"/>
              <w:marRight w:val="0"/>
              <w:marTop w:val="0"/>
              <w:marBottom w:val="0"/>
              <w:divBdr>
                <w:top w:val="none" w:sz="0" w:space="0" w:color="auto"/>
                <w:left w:val="none" w:sz="0" w:space="0" w:color="auto"/>
                <w:bottom w:val="none" w:sz="0" w:space="0" w:color="auto"/>
                <w:right w:val="none" w:sz="0" w:space="0" w:color="auto"/>
              </w:divBdr>
            </w:div>
            <w:div w:id="1087310551">
              <w:marLeft w:val="0"/>
              <w:marRight w:val="0"/>
              <w:marTop w:val="0"/>
              <w:marBottom w:val="0"/>
              <w:divBdr>
                <w:top w:val="none" w:sz="0" w:space="0" w:color="auto"/>
                <w:left w:val="none" w:sz="0" w:space="0" w:color="auto"/>
                <w:bottom w:val="none" w:sz="0" w:space="0" w:color="auto"/>
                <w:right w:val="none" w:sz="0" w:space="0" w:color="auto"/>
              </w:divBdr>
            </w:div>
            <w:div w:id="1400206142">
              <w:marLeft w:val="0"/>
              <w:marRight w:val="0"/>
              <w:marTop w:val="0"/>
              <w:marBottom w:val="0"/>
              <w:divBdr>
                <w:top w:val="none" w:sz="0" w:space="0" w:color="auto"/>
                <w:left w:val="none" w:sz="0" w:space="0" w:color="auto"/>
                <w:bottom w:val="none" w:sz="0" w:space="0" w:color="auto"/>
                <w:right w:val="none" w:sz="0" w:space="0" w:color="auto"/>
              </w:divBdr>
            </w:div>
          </w:divsChild>
        </w:div>
        <w:div w:id="1705669965">
          <w:marLeft w:val="0"/>
          <w:marRight w:val="0"/>
          <w:marTop w:val="0"/>
          <w:marBottom w:val="0"/>
          <w:divBdr>
            <w:top w:val="none" w:sz="0" w:space="0" w:color="auto"/>
            <w:left w:val="none" w:sz="0" w:space="0" w:color="auto"/>
            <w:bottom w:val="none" w:sz="0" w:space="0" w:color="auto"/>
            <w:right w:val="none" w:sz="0" w:space="0" w:color="auto"/>
          </w:divBdr>
          <w:divsChild>
            <w:div w:id="116948470">
              <w:marLeft w:val="0"/>
              <w:marRight w:val="0"/>
              <w:marTop w:val="0"/>
              <w:marBottom w:val="0"/>
              <w:divBdr>
                <w:top w:val="none" w:sz="0" w:space="0" w:color="auto"/>
                <w:left w:val="none" w:sz="0" w:space="0" w:color="auto"/>
                <w:bottom w:val="none" w:sz="0" w:space="0" w:color="auto"/>
                <w:right w:val="none" w:sz="0" w:space="0" w:color="auto"/>
              </w:divBdr>
            </w:div>
            <w:div w:id="904337772">
              <w:marLeft w:val="0"/>
              <w:marRight w:val="0"/>
              <w:marTop w:val="0"/>
              <w:marBottom w:val="0"/>
              <w:divBdr>
                <w:top w:val="none" w:sz="0" w:space="0" w:color="auto"/>
                <w:left w:val="none" w:sz="0" w:space="0" w:color="auto"/>
                <w:bottom w:val="none" w:sz="0" w:space="0" w:color="auto"/>
                <w:right w:val="none" w:sz="0" w:space="0" w:color="auto"/>
              </w:divBdr>
            </w:div>
            <w:div w:id="1330328772">
              <w:marLeft w:val="0"/>
              <w:marRight w:val="0"/>
              <w:marTop w:val="0"/>
              <w:marBottom w:val="0"/>
              <w:divBdr>
                <w:top w:val="none" w:sz="0" w:space="0" w:color="auto"/>
                <w:left w:val="none" w:sz="0" w:space="0" w:color="auto"/>
                <w:bottom w:val="none" w:sz="0" w:space="0" w:color="auto"/>
                <w:right w:val="none" w:sz="0" w:space="0" w:color="auto"/>
              </w:divBdr>
            </w:div>
            <w:div w:id="1466654869">
              <w:marLeft w:val="0"/>
              <w:marRight w:val="0"/>
              <w:marTop w:val="0"/>
              <w:marBottom w:val="0"/>
              <w:divBdr>
                <w:top w:val="none" w:sz="0" w:space="0" w:color="auto"/>
                <w:left w:val="none" w:sz="0" w:space="0" w:color="auto"/>
                <w:bottom w:val="none" w:sz="0" w:space="0" w:color="auto"/>
                <w:right w:val="none" w:sz="0" w:space="0" w:color="auto"/>
              </w:divBdr>
            </w:div>
            <w:div w:id="1850606744">
              <w:marLeft w:val="0"/>
              <w:marRight w:val="0"/>
              <w:marTop w:val="0"/>
              <w:marBottom w:val="0"/>
              <w:divBdr>
                <w:top w:val="none" w:sz="0" w:space="0" w:color="auto"/>
                <w:left w:val="none" w:sz="0" w:space="0" w:color="auto"/>
                <w:bottom w:val="none" w:sz="0" w:space="0" w:color="auto"/>
                <w:right w:val="none" w:sz="0" w:space="0" w:color="auto"/>
              </w:divBdr>
            </w:div>
          </w:divsChild>
        </w:div>
        <w:div w:id="1033845186">
          <w:marLeft w:val="0"/>
          <w:marRight w:val="0"/>
          <w:marTop w:val="0"/>
          <w:marBottom w:val="0"/>
          <w:divBdr>
            <w:top w:val="none" w:sz="0" w:space="0" w:color="auto"/>
            <w:left w:val="none" w:sz="0" w:space="0" w:color="auto"/>
            <w:bottom w:val="none" w:sz="0" w:space="0" w:color="auto"/>
            <w:right w:val="none" w:sz="0" w:space="0" w:color="auto"/>
          </w:divBdr>
        </w:div>
      </w:divsChild>
    </w:div>
    <w:div w:id="1427077783">
      <w:bodyDiv w:val="1"/>
      <w:marLeft w:val="0"/>
      <w:marRight w:val="0"/>
      <w:marTop w:val="0"/>
      <w:marBottom w:val="0"/>
      <w:divBdr>
        <w:top w:val="none" w:sz="0" w:space="0" w:color="auto"/>
        <w:left w:val="none" w:sz="0" w:space="0" w:color="auto"/>
        <w:bottom w:val="none" w:sz="0" w:space="0" w:color="auto"/>
        <w:right w:val="none" w:sz="0" w:space="0" w:color="auto"/>
      </w:divBdr>
    </w:div>
    <w:div w:id="1546016903">
      <w:bodyDiv w:val="1"/>
      <w:marLeft w:val="0"/>
      <w:marRight w:val="0"/>
      <w:marTop w:val="0"/>
      <w:marBottom w:val="0"/>
      <w:divBdr>
        <w:top w:val="none" w:sz="0" w:space="0" w:color="auto"/>
        <w:left w:val="none" w:sz="0" w:space="0" w:color="auto"/>
        <w:bottom w:val="none" w:sz="0" w:space="0" w:color="auto"/>
        <w:right w:val="none" w:sz="0" w:space="0" w:color="auto"/>
      </w:divBdr>
    </w:div>
    <w:div w:id="1549873127">
      <w:bodyDiv w:val="1"/>
      <w:marLeft w:val="0"/>
      <w:marRight w:val="0"/>
      <w:marTop w:val="0"/>
      <w:marBottom w:val="0"/>
      <w:divBdr>
        <w:top w:val="none" w:sz="0" w:space="0" w:color="auto"/>
        <w:left w:val="none" w:sz="0" w:space="0" w:color="auto"/>
        <w:bottom w:val="none" w:sz="0" w:space="0" w:color="auto"/>
        <w:right w:val="none" w:sz="0" w:space="0" w:color="auto"/>
      </w:divBdr>
    </w:div>
    <w:div w:id="1574850052">
      <w:bodyDiv w:val="1"/>
      <w:marLeft w:val="0"/>
      <w:marRight w:val="0"/>
      <w:marTop w:val="0"/>
      <w:marBottom w:val="0"/>
      <w:divBdr>
        <w:top w:val="none" w:sz="0" w:space="0" w:color="auto"/>
        <w:left w:val="none" w:sz="0" w:space="0" w:color="auto"/>
        <w:bottom w:val="none" w:sz="0" w:space="0" w:color="auto"/>
        <w:right w:val="none" w:sz="0" w:space="0" w:color="auto"/>
      </w:divBdr>
    </w:div>
    <w:div w:id="1634090894">
      <w:bodyDiv w:val="1"/>
      <w:marLeft w:val="0"/>
      <w:marRight w:val="0"/>
      <w:marTop w:val="0"/>
      <w:marBottom w:val="0"/>
      <w:divBdr>
        <w:top w:val="none" w:sz="0" w:space="0" w:color="auto"/>
        <w:left w:val="none" w:sz="0" w:space="0" w:color="auto"/>
        <w:bottom w:val="none" w:sz="0" w:space="0" w:color="auto"/>
        <w:right w:val="none" w:sz="0" w:space="0" w:color="auto"/>
      </w:divBdr>
    </w:div>
    <w:div w:id="1648630500">
      <w:bodyDiv w:val="1"/>
      <w:marLeft w:val="0"/>
      <w:marRight w:val="0"/>
      <w:marTop w:val="0"/>
      <w:marBottom w:val="0"/>
      <w:divBdr>
        <w:top w:val="none" w:sz="0" w:space="0" w:color="auto"/>
        <w:left w:val="none" w:sz="0" w:space="0" w:color="auto"/>
        <w:bottom w:val="none" w:sz="0" w:space="0" w:color="auto"/>
        <w:right w:val="none" w:sz="0" w:space="0" w:color="auto"/>
      </w:divBdr>
    </w:div>
    <w:div w:id="1673337438">
      <w:bodyDiv w:val="1"/>
      <w:marLeft w:val="0"/>
      <w:marRight w:val="0"/>
      <w:marTop w:val="0"/>
      <w:marBottom w:val="0"/>
      <w:divBdr>
        <w:top w:val="none" w:sz="0" w:space="0" w:color="auto"/>
        <w:left w:val="none" w:sz="0" w:space="0" w:color="auto"/>
        <w:bottom w:val="none" w:sz="0" w:space="0" w:color="auto"/>
        <w:right w:val="none" w:sz="0" w:space="0" w:color="auto"/>
      </w:divBdr>
    </w:div>
    <w:div w:id="1688632469">
      <w:bodyDiv w:val="1"/>
      <w:marLeft w:val="0"/>
      <w:marRight w:val="0"/>
      <w:marTop w:val="0"/>
      <w:marBottom w:val="0"/>
      <w:divBdr>
        <w:top w:val="none" w:sz="0" w:space="0" w:color="auto"/>
        <w:left w:val="none" w:sz="0" w:space="0" w:color="auto"/>
        <w:bottom w:val="none" w:sz="0" w:space="0" w:color="auto"/>
        <w:right w:val="none" w:sz="0" w:space="0" w:color="auto"/>
      </w:divBdr>
    </w:div>
    <w:div w:id="1705016215">
      <w:bodyDiv w:val="1"/>
      <w:marLeft w:val="0"/>
      <w:marRight w:val="0"/>
      <w:marTop w:val="0"/>
      <w:marBottom w:val="0"/>
      <w:divBdr>
        <w:top w:val="none" w:sz="0" w:space="0" w:color="auto"/>
        <w:left w:val="none" w:sz="0" w:space="0" w:color="auto"/>
        <w:bottom w:val="none" w:sz="0" w:space="0" w:color="auto"/>
        <w:right w:val="none" w:sz="0" w:space="0" w:color="auto"/>
      </w:divBdr>
    </w:div>
    <w:div w:id="1711107117">
      <w:bodyDiv w:val="1"/>
      <w:marLeft w:val="0"/>
      <w:marRight w:val="0"/>
      <w:marTop w:val="0"/>
      <w:marBottom w:val="0"/>
      <w:divBdr>
        <w:top w:val="none" w:sz="0" w:space="0" w:color="auto"/>
        <w:left w:val="none" w:sz="0" w:space="0" w:color="auto"/>
        <w:bottom w:val="none" w:sz="0" w:space="0" w:color="auto"/>
        <w:right w:val="none" w:sz="0" w:space="0" w:color="auto"/>
      </w:divBdr>
    </w:div>
    <w:div w:id="1767267693">
      <w:bodyDiv w:val="1"/>
      <w:marLeft w:val="0"/>
      <w:marRight w:val="0"/>
      <w:marTop w:val="0"/>
      <w:marBottom w:val="0"/>
      <w:divBdr>
        <w:top w:val="none" w:sz="0" w:space="0" w:color="auto"/>
        <w:left w:val="none" w:sz="0" w:space="0" w:color="auto"/>
        <w:bottom w:val="none" w:sz="0" w:space="0" w:color="auto"/>
        <w:right w:val="none" w:sz="0" w:space="0" w:color="auto"/>
      </w:divBdr>
    </w:div>
    <w:div w:id="1803109835">
      <w:bodyDiv w:val="1"/>
      <w:marLeft w:val="0"/>
      <w:marRight w:val="0"/>
      <w:marTop w:val="0"/>
      <w:marBottom w:val="0"/>
      <w:divBdr>
        <w:top w:val="none" w:sz="0" w:space="0" w:color="auto"/>
        <w:left w:val="none" w:sz="0" w:space="0" w:color="auto"/>
        <w:bottom w:val="none" w:sz="0" w:space="0" w:color="auto"/>
        <w:right w:val="none" w:sz="0" w:space="0" w:color="auto"/>
      </w:divBdr>
    </w:div>
    <w:div w:id="1859000417">
      <w:bodyDiv w:val="1"/>
      <w:marLeft w:val="0"/>
      <w:marRight w:val="0"/>
      <w:marTop w:val="0"/>
      <w:marBottom w:val="0"/>
      <w:divBdr>
        <w:top w:val="none" w:sz="0" w:space="0" w:color="auto"/>
        <w:left w:val="none" w:sz="0" w:space="0" w:color="auto"/>
        <w:bottom w:val="none" w:sz="0" w:space="0" w:color="auto"/>
        <w:right w:val="none" w:sz="0" w:space="0" w:color="auto"/>
      </w:divBdr>
    </w:div>
    <w:div w:id="1901672559">
      <w:bodyDiv w:val="1"/>
      <w:marLeft w:val="0"/>
      <w:marRight w:val="0"/>
      <w:marTop w:val="0"/>
      <w:marBottom w:val="0"/>
      <w:divBdr>
        <w:top w:val="none" w:sz="0" w:space="0" w:color="auto"/>
        <w:left w:val="none" w:sz="0" w:space="0" w:color="auto"/>
        <w:bottom w:val="none" w:sz="0" w:space="0" w:color="auto"/>
        <w:right w:val="none" w:sz="0" w:space="0" w:color="auto"/>
      </w:divBdr>
    </w:div>
    <w:div w:id="1921870563">
      <w:bodyDiv w:val="1"/>
      <w:marLeft w:val="0"/>
      <w:marRight w:val="0"/>
      <w:marTop w:val="0"/>
      <w:marBottom w:val="0"/>
      <w:divBdr>
        <w:top w:val="none" w:sz="0" w:space="0" w:color="auto"/>
        <w:left w:val="none" w:sz="0" w:space="0" w:color="auto"/>
        <w:bottom w:val="none" w:sz="0" w:space="0" w:color="auto"/>
        <w:right w:val="none" w:sz="0" w:space="0" w:color="auto"/>
      </w:divBdr>
    </w:div>
    <w:div w:id="1927610602">
      <w:bodyDiv w:val="1"/>
      <w:marLeft w:val="0"/>
      <w:marRight w:val="0"/>
      <w:marTop w:val="0"/>
      <w:marBottom w:val="0"/>
      <w:divBdr>
        <w:top w:val="none" w:sz="0" w:space="0" w:color="auto"/>
        <w:left w:val="none" w:sz="0" w:space="0" w:color="auto"/>
        <w:bottom w:val="none" w:sz="0" w:space="0" w:color="auto"/>
        <w:right w:val="none" w:sz="0" w:space="0" w:color="auto"/>
      </w:divBdr>
    </w:div>
    <w:div w:id="1946305403">
      <w:bodyDiv w:val="1"/>
      <w:marLeft w:val="0"/>
      <w:marRight w:val="0"/>
      <w:marTop w:val="0"/>
      <w:marBottom w:val="0"/>
      <w:divBdr>
        <w:top w:val="none" w:sz="0" w:space="0" w:color="auto"/>
        <w:left w:val="none" w:sz="0" w:space="0" w:color="auto"/>
        <w:bottom w:val="none" w:sz="0" w:space="0" w:color="auto"/>
        <w:right w:val="none" w:sz="0" w:space="0" w:color="auto"/>
      </w:divBdr>
    </w:div>
    <w:div w:id="1998217722">
      <w:bodyDiv w:val="1"/>
      <w:marLeft w:val="0"/>
      <w:marRight w:val="0"/>
      <w:marTop w:val="0"/>
      <w:marBottom w:val="0"/>
      <w:divBdr>
        <w:top w:val="none" w:sz="0" w:space="0" w:color="auto"/>
        <w:left w:val="none" w:sz="0" w:space="0" w:color="auto"/>
        <w:bottom w:val="none" w:sz="0" w:space="0" w:color="auto"/>
        <w:right w:val="none" w:sz="0" w:space="0" w:color="auto"/>
      </w:divBdr>
    </w:div>
    <w:div w:id="2012637709">
      <w:bodyDiv w:val="1"/>
      <w:marLeft w:val="0"/>
      <w:marRight w:val="0"/>
      <w:marTop w:val="0"/>
      <w:marBottom w:val="0"/>
      <w:divBdr>
        <w:top w:val="none" w:sz="0" w:space="0" w:color="auto"/>
        <w:left w:val="none" w:sz="0" w:space="0" w:color="auto"/>
        <w:bottom w:val="none" w:sz="0" w:space="0" w:color="auto"/>
        <w:right w:val="none" w:sz="0" w:space="0" w:color="auto"/>
      </w:divBdr>
    </w:div>
    <w:div w:id="2012832065">
      <w:bodyDiv w:val="1"/>
      <w:marLeft w:val="0"/>
      <w:marRight w:val="0"/>
      <w:marTop w:val="0"/>
      <w:marBottom w:val="0"/>
      <w:divBdr>
        <w:top w:val="none" w:sz="0" w:space="0" w:color="auto"/>
        <w:left w:val="none" w:sz="0" w:space="0" w:color="auto"/>
        <w:bottom w:val="none" w:sz="0" w:space="0" w:color="auto"/>
        <w:right w:val="none" w:sz="0" w:space="0" w:color="auto"/>
      </w:divBdr>
    </w:div>
    <w:div w:id="2021657122">
      <w:bodyDiv w:val="1"/>
      <w:marLeft w:val="0"/>
      <w:marRight w:val="0"/>
      <w:marTop w:val="0"/>
      <w:marBottom w:val="0"/>
      <w:divBdr>
        <w:top w:val="none" w:sz="0" w:space="0" w:color="auto"/>
        <w:left w:val="none" w:sz="0" w:space="0" w:color="auto"/>
        <w:bottom w:val="none" w:sz="0" w:space="0" w:color="auto"/>
        <w:right w:val="none" w:sz="0" w:space="0" w:color="auto"/>
      </w:divBdr>
    </w:div>
    <w:div w:id="2035033530">
      <w:bodyDiv w:val="1"/>
      <w:marLeft w:val="0"/>
      <w:marRight w:val="0"/>
      <w:marTop w:val="0"/>
      <w:marBottom w:val="0"/>
      <w:divBdr>
        <w:top w:val="none" w:sz="0" w:space="0" w:color="auto"/>
        <w:left w:val="none" w:sz="0" w:space="0" w:color="auto"/>
        <w:bottom w:val="none" w:sz="0" w:space="0" w:color="auto"/>
        <w:right w:val="none" w:sz="0" w:space="0" w:color="auto"/>
      </w:divBdr>
    </w:div>
    <w:div w:id="2056537812">
      <w:bodyDiv w:val="1"/>
      <w:marLeft w:val="0"/>
      <w:marRight w:val="0"/>
      <w:marTop w:val="0"/>
      <w:marBottom w:val="0"/>
      <w:divBdr>
        <w:top w:val="none" w:sz="0" w:space="0" w:color="auto"/>
        <w:left w:val="none" w:sz="0" w:space="0" w:color="auto"/>
        <w:bottom w:val="none" w:sz="0" w:space="0" w:color="auto"/>
        <w:right w:val="none" w:sz="0" w:space="0" w:color="auto"/>
      </w:divBdr>
    </w:div>
    <w:div w:id="2069724832">
      <w:bodyDiv w:val="1"/>
      <w:marLeft w:val="0"/>
      <w:marRight w:val="0"/>
      <w:marTop w:val="0"/>
      <w:marBottom w:val="0"/>
      <w:divBdr>
        <w:top w:val="none" w:sz="0" w:space="0" w:color="auto"/>
        <w:left w:val="none" w:sz="0" w:space="0" w:color="auto"/>
        <w:bottom w:val="none" w:sz="0" w:space="0" w:color="auto"/>
        <w:right w:val="none" w:sz="0" w:space="0" w:color="auto"/>
      </w:divBdr>
    </w:div>
    <w:div w:id="2074085845">
      <w:bodyDiv w:val="1"/>
      <w:marLeft w:val="0"/>
      <w:marRight w:val="0"/>
      <w:marTop w:val="0"/>
      <w:marBottom w:val="0"/>
      <w:divBdr>
        <w:top w:val="none" w:sz="0" w:space="0" w:color="auto"/>
        <w:left w:val="none" w:sz="0" w:space="0" w:color="auto"/>
        <w:bottom w:val="none" w:sz="0" w:space="0" w:color="auto"/>
        <w:right w:val="none" w:sz="0" w:space="0" w:color="auto"/>
      </w:divBdr>
    </w:div>
    <w:div w:id="2076851743">
      <w:bodyDiv w:val="1"/>
      <w:marLeft w:val="0"/>
      <w:marRight w:val="0"/>
      <w:marTop w:val="0"/>
      <w:marBottom w:val="0"/>
      <w:divBdr>
        <w:top w:val="none" w:sz="0" w:space="0" w:color="auto"/>
        <w:left w:val="none" w:sz="0" w:space="0" w:color="auto"/>
        <w:bottom w:val="none" w:sz="0" w:space="0" w:color="auto"/>
        <w:right w:val="none" w:sz="0" w:space="0" w:color="auto"/>
      </w:divBdr>
    </w:div>
    <w:div w:id="209697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3.xml"/><Relationship Id="rId25" Type="http://schemas.microsoft.com/office/2011/relationships/commentsExtended" Target="commentsExtended.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microsoft.com/office/2011/relationships/people" Target="people.xml"/><Relationship Id="rId5" Type="http://schemas.openxmlformats.org/officeDocument/2006/relationships/customXml" Target="../customXml/item4.xml"/><Relationship Id="rId15"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microsoft.com/office/2007/relationships/stylesWithEffects" Target="stylesWithEffect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hocintern\Application%20Data\Microsoft\Templates\CUSP_Tool_Template-revised%205-23-13%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9CA70D8A609846AB35CD0EF42027C4" ma:contentTypeVersion="0" ma:contentTypeDescription="Create a new document." ma:contentTypeScope="" ma:versionID="d4229f536b0e629bbaad226e1b27440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BACF52E-8C26-4875-8516-D0CD4B099705}">
  <ds:schemaRefs>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D80DE912-9E60-4443-83C8-0CAF39558B56}">
  <ds:schemaRefs>
    <ds:schemaRef ds:uri="http://schemas.microsoft.com/sharepoint/v3/contenttype/forms"/>
  </ds:schemaRefs>
</ds:datastoreItem>
</file>

<file path=customXml/itemProps3.xml><?xml version="1.0" encoding="utf-8"?>
<ds:datastoreItem xmlns:ds="http://schemas.openxmlformats.org/officeDocument/2006/customXml" ds:itemID="{1F0EDADD-3A13-413C-8713-B3A805042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B293B37-3C79-4EB1-B41E-D14A5D45C5E8}">
  <ds:schemaRefs>
    <ds:schemaRef ds:uri="http://schemas.openxmlformats.org/officeDocument/2006/bibliography"/>
  </ds:schemaRefs>
</ds:datastoreItem>
</file>

<file path=customXml/itemProps5.xml><?xml version="1.0" encoding="utf-8"?>
<ds:datastoreItem xmlns:ds="http://schemas.openxmlformats.org/officeDocument/2006/customXml" ds:itemID="{03E53A55-9D79-4434-8E54-FD2ACD4A9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CUSP_Tool_Template-revised 5-23-13 (1).dotx</Template>
  <TotalTime>1</TotalTime>
  <Pages>13</Pages>
  <Words>6377</Words>
  <Characters>36351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References</vt:lpstr>
    </vt:vector>
  </TitlesOfParts>
  <Manager>Armstrong Institute for Patient Safety and Quality</Manager>
  <Company>Johns Hopkins Medicine</Company>
  <LinksUpToDate>false</LinksUpToDate>
  <CharactersWithSpaces>42643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References</dc:title>
  <dc:subject>Literature review of the use of subglottic endotracheal tubes in the prevention of ventilator associated pneumonia</dc:subject>
  <dc:creator>CUSP 4 MVP Project Team</dc:creator>
  <cp:keywords>subglottic endotracheal tubes, suction of suglottic secretions, dorsal lumen, ETT, VAP, ventilator associated pnemonia, CUSP 4 MVP, patient safety</cp:keywords>
  <cp:lastModifiedBy>Chris Heidenrich OCKT</cp:lastModifiedBy>
  <cp:revision>2</cp:revision>
  <cp:lastPrinted>2012-08-01T17:27:00Z</cp:lastPrinted>
  <dcterms:created xsi:type="dcterms:W3CDTF">2017-01-07T03:30:00Z</dcterms:created>
  <dcterms:modified xsi:type="dcterms:W3CDTF">2017-01-07T03:30:00Z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0x010100139CA70D8A609846AB35CD0EF42027C4</vt:lpwstr>
  </property>
  <property fmtid="{D5CDD505-2E9C-101B-9397-08002B2CF9AE}" pid="3" name="WnCUserId">
    <vt:lpwstr>30239</vt:lpwstr>
  </property>
  <property fmtid="{D5CDD505-2E9C-101B-9397-08002B2CF9AE}" pid="4" name="WnCSubscriberId">
    <vt:lpwstr>2426</vt:lpwstr>
  </property>
  <property fmtid="{D5CDD505-2E9C-101B-9397-08002B2CF9AE}" pid="5" name="RWProductId">
    <vt:lpwstr>WnC</vt:lpwstr>
  </property>
  <property fmtid="{D5CDD505-2E9C-101B-9397-08002B2CF9AE}" pid="6" name="WnC4Folder">
    <vt:lpwstr>Documents///CMV_21_LitReview_SubGETT_8.15.16_mc.mam CH</vt:lpwstr>
  </property>
  <property fmtid="{D5CDD505-2E9C-101B-9397-08002B2CF9AE}" pid="7" name="WnCOutputStyleId">
    <vt:lpwstr>1004</vt:lpwstr>
  </property>
  <property fmtid="{D5CDD505-2E9C-101B-9397-08002B2CF9AE}" pid="8" name="WnCUser">
    <vt:lpwstr>JH_L0JJEJ_2426</vt:lpwstr>
  </property>
</Properties>
</file>