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89742" w14:textId="2558ACBC" w:rsidR="00F97365" w:rsidRDefault="00F97365" w:rsidP="004C1CB4">
      <w:pPr>
        <w:tabs>
          <w:tab w:val="left" w:pos="1530"/>
        </w:tabs>
        <w:spacing w:after="0"/>
        <w:jc w:val="center"/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50678E" w14:paraId="7709F559" w14:textId="77777777" w:rsidTr="0050678E">
        <w:trPr>
          <w:trHeight w:val="449"/>
        </w:trPr>
        <w:tc>
          <w:tcPr>
            <w:tcW w:w="9648" w:type="dxa"/>
          </w:tcPr>
          <w:p w14:paraId="3B3557AB" w14:textId="5BA96D47" w:rsidR="0050678E" w:rsidRPr="000430C4" w:rsidRDefault="0050678E" w:rsidP="00486FB1">
            <w:pPr>
              <w:tabs>
                <w:tab w:val="left" w:pos="1530"/>
              </w:tabs>
              <w:rPr>
                <w:b/>
              </w:rPr>
            </w:pPr>
            <w:r w:rsidRPr="00486FB1">
              <w:rPr>
                <w:b/>
                <w:sz w:val="22"/>
              </w:rPr>
              <w:t xml:space="preserve">Date __________             </w:t>
            </w:r>
            <w:r w:rsidR="00486FB1">
              <w:rPr>
                <w:b/>
                <w:sz w:val="22"/>
              </w:rPr>
              <w:t xml:space="preserve">     </w:t>
            </w:r>
            <w:r w:rsidRPr="00486FB1">
              <w:rPr>
                <w:b/>
                <w:sz w:val="22"/>
              </w:rPr>
              <w:t xml:space="preserve">Month __________             </w:t>
            </w:r>
            <w:r w:rsidR="00486FB1">
              <w:rPr>
                <w:b/>
                <w:sz w:val="22"/>
              </w:rPr>
              <w:t xml:space="preserve">     </w:t>
            </w:r>
            <w:r w:rsidRPr="00486FB1">
              <w:rPr>
                <w:b/>
                <w:sz w:val="22"/>
              </w:rPr>
              <w:t xml:space="preserve">Hospital __________          </w:t>
            </w:r>
            <w:r w:rsidR="00486FB1">
              <w:rPr>
                <w:b/>
                <w:sz w:val="22"/>
              </w:rPr>
              <w:t xml:space="preserve">     </w:t>
            </w:r>
            <w:r w:rsidRPr="00486FB1">
              <w:rPr>
                <w:b/>
                <w:sz w:val="22"/>
              </w:rPr>
              <w:t>Unit __________</w:t>
            </w:r>
          </w:p>
        </w:tc>
      </w:tr>
    </w:tbl>
    <w:p w14:paraId="6B7330F7" w14:textId="4FFAE6A9" w:rsidR="000430C4" w:rsidRPr="004C1CB4" w:rsidRDefault="00F97365" w:rsidP="004C1CB4">
      <w:pPr>
        <w:spacing w:before="0"/>
        <w:rPr>
          <w:sz w:val="22"/>
        </w:rPr>
      </w:pPr>
      <w:r w:rsidRPr="004C1CB4">
        <w:rPr>
          <w:sz w:val="22"/>
        </w:rPr>
        <w:t xml:space="preserve">Use this tool to track your progress in reducing </w:t>
      </w:r>
      <w:r w:rsidR="005B6DF2" w:rsidRPr="004C1CB4">
        <w:rPr>
          <w:sz w:val="22"/>
        </w:rPr>
        <w:t>ventilator-associated event</w:t>
      </w:r>
      <w:r w:rsidR="009C0C5E" w:rsidRPr="004C1CB4">
        <w:rPr>
          <w:sz w:val="22"/>
        </w:rPr>
        <w:t xml:space="preserve"> (VAE) rates by using this information to calculate the incidence rate of VAEs as well as ventilator-associated complication (VAC) events, infection-related ventilator associated complication (IVAC) events, and possible ventilator-associated pneumonia (PVAP) events. Report the following occurrences within the selected month. </w:t>
      </w:r>
      <w:r w:rsidR="00A3411B" w:rsidRPr="004C1CB4">
        <w:rPr>
          <w:sz w:val="22"/>
        </w:rPr>
        <w:t>Collect this data each month</w:t>
      </w:r>
      <w:r w:rsidR="00431A54" w:rsidRPr="004C1CB4">
        <w:rPr>
          <w:sz w:val="22"/>
        </w:rPr>
        <w:t xml:space="preserve"> for all beds in your unit</w:t>
      </w:r>
      <w:r w:rsidR="00A3411B" w:rsidRPr="004C1CB4">
        <w:rPr>
          <w:sz w:val="22"/>
        </w:rPr>
        <w:t>.</w:t>
      </w:r>
      <w:r w:rsidR="004C1CB4">
        <w:rPr>
          <w:sz w:val="22"/>
        </w:rPr>
        <w:t xml:space="preserve"> The number of VAEs and </w:t>
      </w:r>
      <w:r w:rsidR="004C1CB4" w:rsidRPr="004C1CB4">
        <w:rPr>
          <w:b/>
          <w:sz w:val="22"/>
        </w:rPr>
        <w:t>total</w:t>
      </w:r>
      <w:r w:rsidR="004C1CB4">
        <w:rPr>
          <w:sz w:val="22"/>
        </w:rPr>
        <w:t xml:space="preserve"> IVACs should be reported to the National Healthcare Safety Network (NHSN).</w:t>
      </w:r>
    </w:p>
    <w:tbl>
      <w:tblPr>
        <w:tblStyle w:val="PlainTable4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629"/>
        <w:gridCol w:w="5400"/>
      </w:tblGrid>
      <w:tr w:rsidR="0050678E" w:rsidRPr="00D762FD" w14:paraId="0DF3DCD6" w14:textId="77777777" w:rsidTr="00486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vAlign w:val="center"/>
          </w:tcPr>
          <w:p w14:paraId="6F35869B" w14:textId="77777777" w:rsidR="0050678E" w:rsidRPr="00F40FE8" w:rsidRDefault="0050678E" w:rsidP="000430C4">
            <w:pPr>
              <w:spacing w:after="0"/>
            </w:pPr>
            <w:r>
              <w:t>________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7379EDFA" w14:textId="4A6A0C61" w:rsidR="0050678E" w:rsidRPr="00F40FE8" w:rsidRDefault="0050678E" w:rsidP="000430C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FE8">
              <w:t>VENT DAYS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7AB91D3" w14:textId="1351D994" w:rsidR="0050678E" w:rsidRPr="00F40FE8" w:rsidRDefault="0050678E" w:rsidP="000430C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0FE8">
              <w:rPr>
                <w:b w:val="0"/>
              </w:rPr>
              <w:t xml:space="preserve">Total number of ventilator days </w:t>
            </w:r>
          </w:p>
        </w:tc>
      </w:tr>
      <w:tr w:rsidR="0050678E" w:rsidRPr="00D762FD" w14:paraId="1FFCE42F" w14:textId="77777777" w:rsidTr="0048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  <w:vAlign w:val="center"/>
          </w:tcPr>
          <w:p w14:paraId="3BB1EC59" w14:textId="5210C718" w:rsidR="0050678E" w:rsidRDefault="0050678E" w:rsidP="000430C4">
            <w:pPr>
              <w:spacing w:after="0"/>
            </w:pPr>
            <w:r>
              <w:t>________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33C4E4AE" w14:textId="68B2C918" w:rsidR="0050678E" w:rsidRPr="0050678E" w:rsidRDefault="0050678E" w:rsidP="000430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678E">
              <w:rPr>
                <w:b/>
              </w:rPr>
              <w:t>VAE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C4E32B3" w14:textId="77777777" w:rsidR="0050678E" w:rsidRDefault="0050678E" w:rsidP="000430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Total number of ventilator-associated events </w:t>
            </w:r>
          </w:p>
          <w:p w14:paraId="2385B297" w14:textId="7EFBC927" w:rsidR="0050678E" w:rsidRPr="00F40FE8" w:rsidRDefault="0050678E" w:rsidP="000430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(VAC + </w:t>
            </w:r>
            <w:r w:rsidRPr="004D36D6">
              <w:rPr>
                <w:b/>
              </w:rPr>
              <w:t>Total</w:t>
            </w:r>
            <w:r>
              <w:t xml:space="preserve"> IVAC)</w:t>
            </w:r>
          </w:p>
        </w:tc>
      </w:tr>
      <w:tr w:rsidR="0050678E" w:rsidRPr="00D762FD" w14:paraId="17437CF3" w14:textId="77777777" w:rsidTr="00486FB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  <w:vAlign w:val="center"/>
          </w:tcPr>
          <w:p w14:paraId="5F6BAA9F" w14:textId="77777777" w:rsidR="0050678E" w:rsidRPr="000B5838" w:rsidRDefault="0050678E" w:rsidP="000430C4">
            <w:pPr>
              <w:spacing w:after="0"/>
            </w:pPr>
            <w:r w:rsidRPr="000B5838">
              <w:t>________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407D8E66" w14:textId="77777777" w:rsidR="0050678E" w:rsidRPr="00F40FE8" w:rsidRDefault="0050678E" w:rsidP="000430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0FE8">
              <w:rPr>
                <w:b/>
              </w:rPr>
              <w:t>VAC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BCCA377" w14:textId="77777777" w:rsidR="0050678E" w:rsidRPr="00F40FE8" w:rsidRDefault="0050678E" w:rsidP="000430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0FE8">
              <w:t>Total number of ventilator-associated complications</w:t>
            </w:r>
          </w:p>
        </w:tc>
      </w:tr>
      <w:tr w:rsidR="0050678E" w:rsidRPr="00D762FD" w14:paraId="62C6D32E" w14:textId="77777777" w:rsidTr="0048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  <w:vAlign w:val="center"/>
          </w:tcPr>
          <w:p w14:paraId="131D2616" w14:textId="77777777" w:rsidR="0050678E" w:rsidRPr="00F40FE8" w:rsidRDefault="0050678E" w:rsidP="000430C4">
            <w:pPr>
              <w:spacing w:after="0"/>
              <w:rPr>
                <w:b w:val="0"/>
              </w:rPr>
            </w:pPr>
            <w:r>
              <w:t>________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604AC91F" w14:textId="5957F0E7" w:rsidR="0050678E" w:rsidRPr="00F40FE8" w:rsidRDefault="0050678E" w:rsidP="000430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0FE8">
              <w:rPr>
                <w:b/>
              </w:rPr>
              <w:t>IVAC</w:t>
            </w:r>
            <w:r w:rsidRPr="00F40FE8">
              <w:t xml:space="preserve"> </w:t>
            </w:r>
            <w:r>
              <w:t>(excluding PVAP)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0128DC5" w14:textId="1EA5E006" w:rsidR="0050678E" w:rsidRPr="00F40FE8" w:rsidRDefault="0050678E" w:rsidP="000430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0FE8">
              <w:t>Total number of infection-related ventilator-associated complications events</w:t>
            </w:r>
            <w:r>
              <w:t xml:space="preserve">, </w:t>
            </w:r>
            <w:r w:rsidRPr="0050678E">
              <w:rPr>
                <w:b/>
              </w:rPr>
              <w:t>excluding PVAP</w:t>
            </w:r>
            <w:r w:rsidRPr="00F40FE8">
              <w:t xml:space="preserve"> </w:t>
            </w:r>
          </w:p>
        </w:tc>
      </w:tr>
      <w:tr w:rsidR="0050678E" w:rsidRPr="00D762FD" w14:paraId="1B13956B" w14:textId="77777777" w:rsidTr="00486FB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  <w:vAlign w:val="center"/>
          </w:tcPr>
          <w:p w14:paraId="191532DF" w14:textId="3753A40D" w:rsidR="0050678E" w:rsidRDefault="0050678E" w:rsidP="0050678E">
            <w:pPr>
              <w:spacing w:after="0"/>
            </w:pPr>
            <w:r w:rsidRPr="00307414">
              <w:t>________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5D4D4B2F" w14:textId="2C3A20A1" w:rsidR="0050678E" w:rsidRPr="0050678E" w:rsidRDefault="0050678E" w:rsidP="0050678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678E">
              <w:rPr>
                <w:b/>
              </w:rPr>
              <w:t>PVAP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94A306C" w14:textId="4D027876" w:rsidR="0050678E" w:rsidRPr="00F40FE8" w:rsidRDefault="0050678E" w:rsidP="0050678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414">
              <w:t xml:space="preserve">Total number of possible ventilator-associated pneumonia events </w:t>
            </w:r>
          </w:p>
        </w:tc>
      </w:tr>
      <w:tr w:rsidR="0050678E" w:rsidRPr="00D762FD" w14:paraId="0DD868BC" w14:textId="77777777" w:rsidTr="0048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  <w:vAlign w:val="center"/>
          </w:tcPr>
          <w:p w14:paraId="00A08A45" w14:textId="2CE314E8" w:rsidR="0050678E" w:rsidRPr="00486FB1" w:rsidRDefault="0050678E" w:rsidP="000430C4">
            <w:pPr>
              <w:spacing w:after="0"/>
            </w:pPr>
            <w:r w:rsidRPr="00486FB1">
              <w:t>________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9E52487" w14:textId="0B753433" w:rsidR="0050678E" w:rsidRPr="0050678E" w:rsidRDefault="0050678E" w:rsidP="000430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678E">
              <w:rPr>
                <w:b/>
              </w:rPr>
              <w:t>Total IVAC</w:t>
            </w:r>
            <w:r>
              <w:rPr>
                <w:b/>
              </w:rPr>
              <w:t xml:space="preserve"> </w:t>
            </w:r>
            <w:r>
              <w:t>(IVAC+PVAP)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6B71002" w14:textId="096364DB" w:rsidR="0050678E" w:rsidRPr="00F40FE8" w:rsidRDefault="0050678E" w:rsidP="000430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Combined total number of IVAC and PVAP events</w:t>
            </w:r>
          </w:p>
        </w:tc>
      </w:tr>
    </w:tbl>
    <w:p w14:paraId="404AF98D" w14:textId="66FD02EC" w:rsidR="00E73DB8" w:rsidRDefault="00E73DB8" w:rsidP="004D36D6">
      <w:pPr>
        <w:spacing w:before="0" w:after="0"/>
      </w:pPr>
    </w:p>
    <w:tbl>
      <w:tblPr>
        <w:tblStyle w:val="TableGrid"/>
        <w:tblW w:w="953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615"/>
        <w:gridCol w:w="7920"/>
      </w:tblGrid>
      <w:tr w:rsidR="009C0C5E" w14:paraId="0ABD509C" w14:textId="77777777" w:rsidTr="004C1CB4">
        <w:tc>
          <w:tcPr>
            <w:tcW w:w="9535" w:type="dxa"/>
            <w:gridSpan w:val="2"/>
            <w:shd w:val="clear" w:color="auto" w:fill="4BACC6" w:themeFill="accent5"/>
          </w:tcPr>
          <w:p w14:paraId="6BED5406" w14:textId="48E4D8DC" w:rsidR="009C0C5E" w:rsidRPr="007A181C" w:rsidRDefault="007A181C" w:rsidP="00EB3EC7">
            <w:pPr>
              <w:rPr>
                <w:b/>
                <w:color w:val="FFFFFF" w:themeColor="background1"/>
              </w:rPr>
            </w:pPr>
            <w:r w:rsidRPr="007A181C">
              <w:rPr>
                <w:b/>
                <w:color w:val="FFFFFF" w:themeColor="background1"/>
              </w:rPr>
              <w:t>CALCULATING VAE MEASURES</w:t>
            </w:r>
            <w:r>
              <w:rPr>
                <w:b/>
                <w:color w:val="FFFFFF" w:themeColor="background1"/>
              </w:rPr>
              <w:t xml:space="preserve"> PER 1,000 VENTILATOR</w:t>
            </w:r>
            <w:r w:rsidR="00EB3EC7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DAYS</w:t>
            </w:r>
          </w:p>
        </w:tc>
      </w:tr>
      <w:tr w:rsidR="007A181C" w14:paraId="09129016" w14:textId="77777777" w:rsidTr="004C1CB4">
        <w:trPr>
          <w:trHeight w:val="111"/>
        </w:trPr>
        <w:tc>
          <w:tcPr>
            <w:tcW w:w="1615" w:type="dxa"/>
            <w:tcBorders>
              <w:right w:val="nil"/>
            </w:tcBorders>
          </w:tcPr>
          <w:p w14:paraId="2AA7D1E9" w14:textId="26EB442A" w:rsidR="007A181C" w:rsidRPr="000430C4" w:rsidRDefault="007A181C" w:rsidP="004577E8">
            <w:pPr>
              <w:rPr>
                <w:sz w:val="22"/>
              </w:rPr>
            </w:pPr>
            <w:r w:rsidRPr="000430C4">
              <w:rPr>
                <w:sz w:val="22"/>
              </w:rPr>
              <w:t>VAE Rate</w:t>
            </w:r>
          </w:p>
        </w:tc>
        <w:tc>
          <w:tcPr>
            <w:tcW w:w="7920" w:type="dxa"/>
            <w:tcBorders>
              <w:left w:val="nil"/>
            </w:tcBorders>
          </w:tcPr>
          <w:p w14:paraId="3F7866F5" w14:textId="676B9D81" w:rsidR="007A181C" w:rsidRPr="000430C4" w:rsidRDefault="007A181C" w:rsidP="004577E8">
            <w:pPr>
              <w:rPr>
                <w:sz w:val="22"/>
              </w:rPr>
            </w:pPr>
            <w:r w:rsidRPr="000430C4">
              <w:rPr>
                <w:sz w:val="22"/>
              </w:rPr>
              <w:t>[(# of VAC events) + (# of IVAC events) + (# of PVAP events) / (Total vent days)] * 1000</w:t>
            </w:r>
          </w:p>
        </w:tc>
      </w:tr>
      <w:tr w:rsidR="007A181C" w14:paraId="7234E7C4" w14:textId="77777777" w:rsidTr="004C1CB4">
        <w:trPr>
          <w:trHeight w:val="108"/>
        </w:trPr>
        <w:tc>
          <w:tcPr>
            <w:tcW w:w="1615" w:type="dxa"/>
            <w:tcBorders>
              <w:right w:val="nil"/>
            </w:tcBorders>
          </w:tcPr>
          <w:p w14:paraId="4EC04E23" w14:textId="77777777" w:rsidR="007A181C" w:rsidRPr="000430C4" w:rsidRDefault="007A181C" w:rsidP="004577E8">
            <w:pPr>
              <w:rPr>
                <w:sz w:val="22"/>
              </w:rPr>
            </w:pPr>
            <w:r w:rsidRPr="000430C4">
              <w:rPr>
                <w:sz w:val="22"/>
              </w:rPr>
              <w:t>VAC Rate</w:t>
            </w:r>
          </w:p>
        </w:tc>
        <w:tc>
          <w:tcPr>
            <w:tcW w:w="7920" w:type="dxa"/>
            <w:tcBorders>
              <w:left w:val="nil"/>
            </w:tcBorders>
          </w:tcPr>
          <w:p w14:paraId="3E4EDB03" w14:textId="6DD38A40" w:rsidR="007A181C" w:rsidRPr="000430C4" w:rsidRDefault="007A181C" w:rsidP="004577E8">
            <w:pPr>
              <w:rPr>
                <w:sz w:val="22"/>
              </w:rPr>
            </w:pPr>
            <w:r w:rsidRPr="000430C4">
              <w:rPr>
                <w:sz w:val="22"/>
              </w:rPr>
              <w:t>(# of VAC events / Total vent days) * 1000</w:t>
            </w:r>
          </w:p>
        </w:tc>
      </w:tr>
      <w:tr w:rsidR="004D36D6" w14:paraId="5750E212" w14:textId="77777777" w:rsidTr="004C1CB4">
        <w:trPr>
          <w:trHeight w:val="108"/>
        </w:trPr>
        <w:tc>
          <w:tcPr>
            <w:tcW w:w="1615" w:type="dxa"/>
            <w:tcBorders>
              <w:right w:val="nil"/>
            </w:tcBorders>
          </w:tcPr>
          <w:p w14:paraId="78A9ACFC" w14:textId="54FDA7F3" w:rsidR="004D36D6" w:rsidRPr="000430C4" w:rsidRDefault="004D36D6" w:rsidP="004577E8">
            <w:pPr>
              <w:rPr>
                <w:sz w:val="22"/>
              </w:rPr>
            </w:pPr>
            <w:r>
              <w:rPr>
                <w:sz w:val="22"/>
              </w:rPr>
              <w:t>IVAC Rate</w:t>
            </w:r>
          </w:p>
        </w:tc>
        <w:tc>
          <w:tcPr>
            <w:tcW w:w="7920" w:type="dxa"/>
            <w:tcBorders>
              <w:left w:val="nil"/>
            </w:tcBorders>
          </w:tcPr>
          <w:p w14:paraId="205E28D3" w14:textId="22210632" w:rsidR="004D36D6" w:rsidRPr="000430C4" w:rsidRDefault="004D36D6" w:rsidP="004577E8">
            <w:pPr>
              <w:rPr>
                <w:sz w:val="22"/>
              </w:rPr>
            </w:pPr>
            <w:r>
              <w:rPr>
                <w:sz w:val="22"/>
              </w:rPr>
              <w:t>(# of IVAC events / Total vent days) * 1000</w:t>
            </w:r>
          </w:p>
        </w:tc>
      </w:tr>
      <w:tr w:rsidR="004D36D6" w14:paraId="2ABE6CB4" w14:textId="77777777" w:rsidTr="004C1CB4">
        <w:trPr>
          <w:trHeight w:val="108"/>
        </w:trPr>
        <w:tc>
          <w:tcPr>
            <w:tcW w:w="1615" w:type="dxa"/>
            <w:tcBorders>
              <w:right w:val="nil"/>
            </w:tcBorders>
          </w:tcPr>
          <w:p w14:paraId="394D6204" w14:textId="07ECFFE8" w:rsidR="004D36D6" w:rsidRDefault="004D36D6" w:rsidP="004D36D6">
            <w:pPr>
              <w:rPr>
                <w:sz w:val="22"/>
              </w:rPr>
            </w:pPr>
            <w:r w:rsidRPr="000430C4">
              <w:rPr>
                <w:sz w:val="22"/>
              </w:rPr>
              <w:t>PVAP Rate</w:t>
            </w:r>
          </w:p>
        </w:tc>
        <w:tc>
          <w:tcPr>
            <w:tcW w:w="7920" w:type="dxa"/>
            <w:tcBorders>
              <w:left w:val="nil"/>
            </w:tcBorders>
          </w:tcPr>
          <w:p w14:paraId="68B60A85" w14:textId="665BE0FF" w:rsidR="004D36D6" w:rsidRDefault="004D36D6" w:rsidP="004D36D6">
            <w:pPr>
              <w:rPr>
                <w:sz w:val="22"/>
              </w:rPr>
            </w:pPr>
            <w:r w:rsidRPr="000430C4">
              <w:rPr>
                <w:sz w:val="22"/>
              </w:rPr>
              <w:t>(# of PVAP events) / (Total</w:t>
            </w:r>
            <w:r>
              <w:rPr>
                <w:sz w:val="22"/>
              </w:rPr>
              <w:t xml:space="preserve"> vent days)</w:t>
            </w:r>
            <w:r w:rsidRPr="000430C4">
              <w:rPr>
                <w:sz w:val="22"/>
              </w:rPr>
              <w:t xml:space="preserve"> * 1000</w:t>
            </w:r>
          </w:p>
        </w:tc>
      </w:tr>
      <w:tr w:rsidR="004D36D6" w14:paraId="53BB4B77" w14:textId="77777777" w:rsidTr="004C1CB4">
        <w:trPr>
          <w:trHeight w:val="108"/>
        </w:trPr>
        <w:tc>
          <w:tcPr>
            <w:tcW w:w="1615" w:type="dxa"/>
            <w:tcBorders>
              <w:right w:val="nil"/>
            </w:tcBorders>
          </w:tcPr>
          <w:p w14:paraId="188DDBFD" w14:textId="328608D8" w:rsidR="004D36D6" w:rsidRPr="000430C4" w:rsidRDefault="004D36D6" w:rsidP="004D36D6">
            <w:pPr>
              <w:rPr>
                <w:sz w:val="22"/>
              </w:rPr>
            </w:pPr>
            <w:r w:rsidRPr="004D36D6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0430C4">
              <w:rPr>
                <w:sz w:val="22"/>
              </w:rPr>
              <w:t>IVAC Rate</w:t>
            </w:r>
          </w:p>
        </w:tc>
        <w:tc>
          <w:tcPr>
            <w:tcW w:w="7920" w:type="dxa"/>
            <w:tcBorders>
              <w:left w:val="nil"/>
            </w:tcBorders>
          </w:tcPr>
          <w:p w14:paraId="72AC36B2" w14:textId="1D3C2ED2" w:rsidR="004D36D6" w:rsidRPr="000430C4" w:rsidRDefault="004D36D6" w:rsidP="004D36D6">
            <w:pPr>
              <w:rPr>
                <w:sz w:val="22"/>
              </w:rPr>
            </w:pPr>
            <w:r w:rsidRPr="000430C4">
              <w:rPr>
                <w:sz w:val="22"/>
              </w:rPr>
              <w:t>[(# of IVAC events) + (# of PVAP) / (Total vent days)] * 1000</w:t>
            </w:r>
          </w:p>
        </w:tc>
      </w:tr>
    </w:tbl>
    <w:p w14:paraId="15B88017" w14:textId="77777777" w:rsidR="006C1758" w:rsidRPr="006C1758" w:rsidRDefault="006C1758" w:rsidP="006C1758">
      <w:pPr>
        <w:spacing w:before="0" w:after="0"/>
        <w:ind w:left="-90"/>
        <w:rPr>
          <w:sz w:val="16"/>
          <w:szCs w:val="16"/>
        </w:rPr>
      </w:pPr>
    </w:p>
    <w:p w14:paraId="17545AEF" w14:textId="6A7CDA54" w:rsidR="00E73DB8" w:rsidRPr="00486FB1" w:rsidRDefault="000430C4" w:rsidP="006C1758">
      <w:pPr>
        <w:spacing w:before="0" w:after="0"/>
        <w:ind w:left="-90"/>
        <w:rPr>
          <w:sz w:val="18"/>
        </w:rPr>
      </w:pPr>
      <w:r w:rsidRPr="00486FB1">
        <w:rPr>
          <w:sz w:val="18"/>
        </w:rPr>
        <w:t xml:space="preserve">Additional instructions for calculating VAE measures can be found in the </w:t>
      </w:r>
      <w:r w:rsidR="002845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E1351" wp14:editId="027442C5">
                <wp:simplePos x="0" y="0"/>
                <wp:positionH relativeFrom="column">
                  <wp:posOffset>4165600</wp:posOffset>
                </wp:positionH>
                <wp:positionV relativeFrom="paragraph">
                  <wp:posOffset>48260</wp:posOffset>
                </wp:positionV>
                <wp:extent cx="2286000" cy="4597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3643E" w14:textId="60524A27" w:rsidR="0028455E" w:rsidRPr="002C38D6" w:rsidRDefault="00F54894" w:rsidP="0028455E">
                            <w:pPr>
                              <w:pStyle w:val="Footer"/>
                              <w:jc w:val="right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mphasis"/>
                                <w:sz w:val="20"/>
                                <w:szCs w:val="20"/>
                              </w:rPr>
                              <w:t>AHRQ Pub.</w:t>
                            </w:r>
                            <w:r w:rsidR="0028455E" w:rsidRPr="002C38D6">
                              <w:rPr>
                                <w:rStyle w:val="Emphasis"/>
                                <w:sz w:val="20"/>
                                <w:szCs w:val="20"/>
                              </w:rPr>
                              <w:t xml:space="preserve"> No. 1</w:t>
                            </w:r>
                            <w:r w:rsidR="0028455E">
                              <w:rPr>
                                <w:rStyle w:val="Emphasis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Style w:val="Emphasis"/>
                                <w:sz w:val="20"/>
                                <w:szCs w:val="20"/>
                              </w:rPr>
                              <w:t>(17)</w:t>
                            </w:r>
                            <w:r w:rsidR="0028455E" w:rsidRPr="002C38D6">
                              <w:rPr>
                                <w:rStyle w:val="Emphasis"/>
                                <w:sz w:val="20"/>
                                <w:szCs w:val="20"/>
                              </w:rPr>
                              <w:t>-00</w:t>
                            </w:r>
                            <w:r w:rsidR="0028455E">
                              <w:rPr>
                                <w:rStyle w:val="Emphasis"/>
                                <w:sz w:val="20"/>
                                <w:szCs w:val="20"/>
                              </w:rPr>
                              <w:t>18</w:t>
                            </w:r>
                            <w:r w:rsidR="0028455E" w:rsidRPr="002C38D6">
                              <w:rPr>
                                <w:rStyle w:val="Emphasis"/>
                                <w:sz w:val="20"/>
                                <w:szCs w:val="20"/>
                              </w:rPr>
                              <w:t>-14-EF</w:t>
                            </w:r>
                          </w:p>
                          <w:p w14:paraId="7EA98074" w14:textId="47C20992" w:rsidR="0028455E" w:rsidRPr="002C38D6" w:rsidRDefault="00F54894" w:rsidP="0028455E">
                            <w:pPr>
                              <w:pStyle w:val="Footer"/>
                              <w:jc w:val="right"/>
                              <w:rPr>
                                <w:rStyle w:val="Emphasi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mphasis"/>
                                <w:sz w:val="20"/>
                                <w:szCs w:val="20"/>
                              </w:rPr>
                              <w:t>January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pt;margin-top:3.8pt;width:180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" filled="f" stroked="f">
                <v:textbox>
                  <w:txbxContent>
                    <w:p w14:paraId="4F83643E" w14:textId="60524A27" w:rsidR="0028455E" w:rsidRPr="002C38D6" w:rsidRDefault="00F54894" w:rsidP="0028455E">
                      <w:pPr>
                        <w:pStyle w:val="Footer"/>
                        <w:jc w:val="right"/>
                        <w:rPr>
                          <w:rStyle w:val="Emphasis"/>
                          <w:sz w:val="20"/>
                          <w:szCs w:val="20"/>
                        </w:rPr>
                      </w:pPr>
                      <w:r>
                        <w:rPr>
                          <w:rStyle w:val="Emphasis"/>
                          <w:sz w:val="20"/>
                          <w:szCs w:val="20"/>
                        </w:rPr>
                        <w:t>AHRQ Pub.</w:t>
                      </w:r>
                      <w:r w:rsidR="0028455E" w:rsidRPr="002C38D6">
                        <w:rPr>
                          <w:rStyle w:val="Emphasis"/>
                          <w:sz w:val="20"/>
                          <w:szCs w:val="20"/>
                        </w:rPr>
                        <w:t xml:space="preserve"> No. 1</w:t>
                      </w:r>
                      <w:r w:rsidR="0028455E">
                        <w:rPr>
                          <w:rStyle w:val="Emphasis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Style w:val="Emphasis"/>
                          <w:sz w:val="20"/>
                          <w:szCs w:val="20"/>
                        </w:rPr>
                        <w:t>(17)</w:t>
                      </w:r>
                      <w:r w:rsidR="0028455E" w:rsidRPr="002C38D6">
                        <w:rPr>
                          <w:rStyle w:val="Emphasis"/>
                          <w:sz w:val="20"/>
                          <w:szCs w:val="20"/>
                        </w:rPr>
                        <w:t>-00</w:t>
                      </w:r>
                      <w:r w:rsidR="0028455E">
                        <w:rPr>
                          <w:rStyle w:val="Emphasis"/>
                          <w:sz w:val="20"/>
                          <w:szCs w:val="20"/>
                        </w:rPr>
                        <w:t>18</w:t>
                      </w:r>
                      <w:r w:rsidR="0028455E" w:rsidRPr="002C38D6">
                        <w:rPr>
                          <w:rStyle w:val="Emphasis"/>
                          <w:sz w:val="20"/>
                          <w:szCs w:val="20"/>
                        </w:rPr>
                        <w:t>-14-EF</w:t>
                      </w:r>
                    </w:p>
                    <w:p w14:paraId="7EA98074" w14:textId="47C20992" w:rsidR="0028455E" w:rsidRPr="002C38D6" w:rsidRDefault="00F54894" w:rsidP="0028455E">
                      <w:pPr>
                        <w:pStyle w:val="Footer"/>
                        <w:jc w:val="right"/>
                        <w:rPr>
                          <w:rStyle w:val="Emphasis"/>
                          <w:sz w:val="20"/>
                          <w:szCs w:val="20"/>
                        </w:rPr>
                      </w:pPr>
                      <w:r>
                        <w:rPr>
                          <w:rStyle w:val="Emphasis"/>
                          <w:sz w:val="20"/>
                          <w:szCs w:val="20"/>
                        </w:rPr>
                        <w:t>January 2017</w:t>
                      </w:r>
                    </w:p>
                  </w:txbxContent>
                </v:textbox>
              </v:shape>
            </w:pict>
          </mc:Fallback>
        </mc:AlternateContent>
      </w:r>
      <w:hyperlink r:id="rId9" w:history="1">
        <w:r w:rsidRPr="00320F39">
          <w:rPr>
            <w:rStyle w:val="Hyperlink"/>
            <w:sz w:val="18"/>
          </w:rPr>
          <w:t>Data Measures Guide</w:t>
        </w:r>
      </w:hyperlink>
      <w:bookmarkStart w:id="0" w:name="_GoBack"/>
      <w:bookmarkEnd w:id="0"/>
      <w:r w:rsidR="00EB3EC7">
        <w:rPr>
          <w:sz w:val="18"/>
        </w:rPr>
        <w:t>.</w:t>
      </w:r>
      <w:r w:rsidR="0028455E">
        <w:rPr>
          <w:sz w:val="18"/>
        </w:rPr>
        <w:tab/>
      </w:r>
      <w:r w:rsidR="0028455E">
        <w:rPr>
          <w:sz w:val="18"/>
        </w:rPr>
        <w:tab/>
      </w:r>
      <w:r w:rsidR="0028455E">
        <w:rPr>
          <w:sz w:val="18"/>
        </w:rPr>
        <w:tab/>
      </w:r>
    </w:p>
    <w:sectPr w:rsidR="00E73DB8" w:rsidRPr="00486FB1" w:rsidSect="007B613D">
      <w:headerReference w:type="default" r:id="rId10"/>
      <w:footerReference w:type="default" r:id="rId11"/>
      <w:pgSz w:w="12240" w:h="15840"/>
      <w:pgMar w:top="2520" w:right="1440" w:bottom="1296" w:left="1440" w:header="360" w:footer="10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5DD7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1DE7B" w14:textId="77777777" w:rsidR="00841613" w:rsidRDefault="00841613" w:rsidP="004577E8">
      <w:r>
        <w:separator/>
      </w:r>
    </w:p>
  </w:endnote>
  <w:endnote w:type="continuationSeparator" w:id="0">
    <w:p w14:paraId="1390CB3A" w14:textId="77777777" w:rsidR="00841613" w:rsidRDefault="00841613" w:rsidP="0045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A88A8" w14:textId="047649AA" w:rsidR="002E7853" w:rsidRDefault="006B0C9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2E10C8" wp14:editId="48F4BD53">
          <wp:simplePos x="0" y="0"/>
          <wp:positionH relativeFrom="margin">
            <wp:posOffset>-923925</wp:posOffset>
          </wp:positionH>
          <wp:positionV relativeFrom="paragraph">
            <wp:posOffset>-49530</wp:posOffset>
          </wp:positionV>
          <wp:extent cx="7772400" cy="71056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7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0D1E1" w14:textId="77777777" w:rsidR="00841613" w:rsidRDefault="00841613" w:rsidP="004577E8">
      <w:r>
        <w:separator/>
      </w:r>
    </w:p>
  </w:footnote>
  <w:footnote w:type="continuationSeparator" w:id="0">
    <w:p w14:paraId="16F6A227" w14:textId="77777777" w:rsidR="00841613" w:rsidRDefault="00841613" w:rsidP="0045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56567" w14:textId="77777777" w:rsidR="002E7853" w:rsidRPr="00B5242A" w:rsidRDefault="002E7853" w:rsidP="002E7853">
    <w:pPr>
      <w:pStyle w:val="Subtitle"/>
    </w:pPr>
    <w:r w:rsidRPr="00B5242A">
      <w:drawing>
        <wp:anchor distT="0" distB="0" distL="114300" distR="114300" simplePos="0" relativeHeight="251665408" behindDoc="1" locked="0" layoutInCell="1" allowOverlap="1" wp14:anchorId="2AFB58F4" wp14:editId="0B988217">
          <wp:simplePos x="0" y="0"/>
          <wp:positionH relativeFrom="column">
            <wp:posOffset>-923925</wp:posOffset>
          </wp:positionH>
          <wp:positionV relativeFrom="paragraph">
            <wp:posOffset>-225933</wp:posOffset>
          </wp:positionV>
          <wp:extent cx="7772400" cy="20561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76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42A">
      <w:t>AHRQ Safety Program for</w:t>
    </w:r>
  </w:p>
  <w:p w14:paraId="486FE653" w14:textId="77777777" w:rsidR="002E7853" w:rsidRDefault="002E7853" w:rsidP="002E7853">
    <w:pPr>
      <w:pStyle w:val="Subtitle"/>
    </w:pPr>
    <w:r w:rsidRPr="00B5242A">
      <w:t>Mechanically Ventilated Patients</w:t>
    </w:r>
  </w:p>
  <w:p w14:paraId="07E3EA0E" w14:textId="77777777" w:rsidR="002E7853" w:rsidRDefault="002E7853" w:rsidP="002E7853">
    <w:pPr>
      <w:pStyle w:val="Title"/>
    </w:pPr>
  </w:p>
  <w:p w14:paraId="379631C4" w14:textId="77777777" w:rsidR="002E7853" w:rsidRDefault="002E7853" w:rsidP="002E7853">
    <w:pPr>
      <w:pStyle w:val="Title"/>
    </w:pPr>
  </w:p>
  <w:p w14:paraId="6CDE28AA" w14:textId="378AC316" w:rsidR="00B26141" w:rsidRPr="00EA6D3D" w:rsidRDefault="002E7853" w:rsidP="00D243C3">
    <w:pPr>
      <w:pStyle w:val="Title"/>
      <w:ind w:left="-270"/>
    </w:pPr>
    <w:r>
      <w:t xml:space="preserve">Ventilator-Associated Event </w:t>
    </w:r>
    <w:r w:rsidR="00A3411B">
      <w:t xml:space="preserve">Data </w:t>
    </w:r>
    <w:r w:rsidR="00D243C3">
      <w:t xml:space="preserve">Collection </w:t>
    </w:r>
    <w:r>
      <w:t>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0AB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91771"/>
    <w:multiLevelType w:val="hybridMultilevel"/>
    <w:tmpl w:val="E20A2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431B9"/>
    <w:multiLevelType w:val="hybridMultilevel"/>
    <w:tmpl w:val="037E4958"/>
    <w:lvl w:ilvl="0" w:tplc="49FCA944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3422A"/>
    <w:multiLevelType w:val="hybridMultilevel"/>
    <w:tmpl w:val="00C01C14"/>
    <w:lvl w:ilvl="0" w:tplc="05E0B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6139E"/>
    <w:multiLevelType w:val="hybridMultilevel"/>
    <w:tmpl w:val="EC46DF2E"/>
    <w:lvl w:ilvl="0" w:tplc="B3EACC5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7C3E"/>
    <w:multiLevelType w:val="hybridMultilevel"/>
    <w:tmpl w:val="4704E220"/>
    <w:lvl w:ilvl="0" w:tplc="7A1AC5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4C6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877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A0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2BA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413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4C3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2D3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E6E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DE2806"/>
    <w:multiLevelType w:val="hybridMultilevel"/>
    <w:tmpl w:val="58646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5C7119"/>
    <w:multiLevelType w:val="hybridMultilevel"/>
    <w:tmpl w:val="FA68E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DA6D56"/>
    <w:multiLevelType w:val="hybridMultilevel"/>
    <w:tmpl w:val="BC825348"/>
    <w:lvl w:ilvl="0" w:tplc="3D80DD3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F2B2C"/>
    <w:multiLevelType w:val="hybridMultilevel"/>
    <w:tmpl w:val="DCC06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38517F"/>
    <w:multiLevelType w:val="hybridMultilevel"/>
    <w:tmpl w:val="721C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93311"/>
    <w:multiLevelType w:val="hybridMultilevel"/>
    <w:tmpl w:val="94A4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F33EC"/>
    <w:multiLevelType w:val="hybridMultilevel"/>
    <w:tmpl w:val="29D40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B16887"/>
    <w:multiLevelType w:val="hybridMultilevel"/>
    <w:tmpl w:val="0E36A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56CC0"/>
    <w:multiLevelType w:val="hybridMultilevel"/>
    <w:tmpl w:val="DBB42F7E"/>
    <w:lvl w:ilvl="0" w:tplc="B3EACC5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E401B"/>
    <w:multiLevelType w:val="hybridMultilevel"/>
    <w:tmpl w:val="2750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7C2523"/>
    <w:multiLevelType w:val="hybridMultilevel"/>
    <w:tmpl w:val="E6DAE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257232"/>
    <w:multiLevelType w:val="hybridMultilevel"/>
    <w:tmpl w:val="7CD0CAAA"/>
    <w:lvl w:ilvl="0" w:tplc="C32C0CC2">
      <w:start w:val="1"/>
      <w:numFmt w:val="bullet"/>
      <w:lvlText w:val="—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8B7D14"/>
    <w:multiLevelType w:val="hybridMultilevel"/>
    <w:tmpl w:val="74E61604"/>
    <w:lvl w:ilvl="0" w:tplc="F320D378">
      <w:start w:val="1"/>
      <w:numFmt w:val="bullet"/>
      <w:pStyle w:val="ListParagraph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68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0F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A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29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66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C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5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4C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9867DC"/>
    <w:multiLevelType w:val="hybridMultilevel"/>
    <w:tmpl w:val="5AF6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06B8F"/>
    <w:multiLevelType w:val="hybridMultilevel"/>
    <w:tmpl w:val="1A64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107CE"/>
    <w:multiLevelType w:val="hybridMultilevel"/>
    <w:tmpl w:val="4544C584"/>
    <w:lvl w:ilvl="0" w:tplc="0E6ED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E5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6C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7AA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5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C7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8D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D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50E3C"/>
    <w:multiLevelType w:val="hybridMultilevel"/>
    <w:tmpl w:val="7466D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E27C6D"/>
    <w:multiLevelType w:val="hybridMultilevel"/>
    <w:tmpl w:val="8DF45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524BC7"/>
    <w:multiLevelType w:val="hybridMultilevel"/>
    <w:tmpl w:val="8C2CDC3A"/>
    <w:lvl w:ilvl="0" w:tplc="05E0B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90C35"/>
    <w:multiLevelType w:val="hybridMultilevel"/>
    <w:tmpl w:val="F13E7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13"/>
  </w:num>
  <w:num w:numId="5">
    <w:abstractNumId w:val="12"/>
  </w:num>
  <w:num w:numId="6">
    <w:abstractNumId w:val="25"/>
  </w:num>
  <w:num w:numId="7">
    <w:abstractNumId w:val="20"/>
  </w:num>
  <w:num w:numId="8">
    <w:abstractNumId w:val="9"/>
  </w:num>
  <w:num w:numId="9">
    <w:abstractNumId w:val="24"/>
  </w:num>
  <w:num w:numId="10">
    <w:abstractNumId w:val="23"/>
  </w:num>
  <w:num w:numId="11">
    <w:abstractNumId w:val="3"/>
  </w:num>
  <w:num w:numId="12">
    <w:abstractNumId w:val="11"/>
  </w:num>
  <w:num w:numId="13">
    <w:abstractNumId w:val="19"/>
  </w:num>
  <w:num w:numId="14">
    <w:abstractNumId w:val="6"/>
  </w:num>
  <w:num w:numId="15">
    <w:abstractNumId w:val="8"/>
  </w:num>
  <w:num w:numId="16">
    <w:abstractNumId w:val="16"/>
  </w:num>
  <w:num w:numId="17">
    <w:abstractNumId w:val="17"/>
  </w:num>
  <w:num w:numId="18">
    <w:abstractNumId w:val="15"/>
  </w:num>
  <w:num w:numId="19">
    <w:abstractNumId w:val="5"/>
  </w:num>
  <w:num w:numId="20">
    <w:abstractNumId w:val="21"/>
  </w:num>
  <w:num w:numId="21">
    <w:abstractNumId w:val="0"/>
  </w:num>
  <w:num w:numId="22">
    <w:abstractNumId w:val="18"/>
  </w:num>
  <w:num w:numId="23">
    <w:abstractNumId w:val="2"/>
  </w:num>
  <w:num w:numId="24">
    <w:abstractNumId w:val="10"/>
  </w:num>
  <w:num w:numId="25">
    <w:abstractNumId w:val="14"/>
  </w:num>
  <w:num w:numId="2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9"/>
    <w:rsid w:val="0003278F"/>
    <w:rsid w:val="00033B3C"/>
    <w:rsid w:val="000430C4"/>
    <w:rsid w:val="000436DB"/>
    <w:rsid w:val="00080BB5"/>
    <w:rsid w:val="00087FEE"/>
    <w:rsid w:val="000B5838"/>
    <w:rsid w:val="000D4EEC"/>
    <w:rsid w:val="000E48E1"/>
    <w:rsid w:val="001113EF"/>
    <w:rsid w:val="00136E75"/>
    <w:rsid w:val="00147A61"/>
    <w:rsid w:val="00183A8C"/>
    <w:rsid w:val="001865C9"/>
    <w:rsid w:val="001B2008"/>
    <w:rsid w:val="001B2202"/>
    <w:rsid w:val="001E1B33"/>
    <w:rsid w:val="001F08B9"/>
    <w:rsid w:val="001F41C5"/>
    <w:rsid w:val="00210019"/>
    <w:rsid w:val="0021313C"/>
    <w:rsid w:val="002171F5"/>
    <w:rsid w:val="00231776"/>
    <w:rsid w:val="00236CB1"/>
    <w:rsid w:val="00250185"/>
    <w:rsid w:val="00272E5C"/>
    <w:rsid w:val="00283168"/>
    <w:rsid w:val="0028455E"/>
    <w:rsid w:val="002A6B25"/>
    <w:rsid w:val="002C38D6"/>
    <w:rsid w:val="002E7853"/>
    <w:rsid w:val="002F6172"/>
    <w:rsid w:val="00315286"/>
    <w:rsid w:val="00320F39"/>
    <w:rsid w:val="00332E74"/>
    <w:rsid w:val="00361335"/>
    <w:rsid w:val="003B53F1"/>
    <w:rsid w:val="003D69F2"/>
    <w:rsid w:val="003E1E2D"/>
    <w:rsid w:val="00431A54"/>
    <w:rsid w:val="004546DD"/>
    <w:rsid w:val="004577E8"/>
    <w:rsid w:val="00486FB1"/>
    <w:rsid w:val="004A4EAC"/>
    <w:rsid w:val="004C1CB4"/>
    <w:rsid w:val="004D36D6"/>
    <w:rsid w:val="0050678E"/>
    <w:rsid w:val="005172DA"/>
    <w:rsid w:val="00517336"/>
    <w:rsid w:val="005254DA"/>
    <w:rsid w:val="005450A5"/>
    <w:rsid w:val="00573E00"/>
    <w:rsid w:val="005B6DF2"/>
    <w:rsid w:val="005E7846"/>
    <w:rsid w:val="00631A39"/>
    <w:rsid w:val="00674423"/>
    <w:rsid w:val="0069727B"/>
    <w:rsid w:val="006B0C9A"/>
    <w:rsid w:val="006C1758"/>
    <w:rsid w:val="006F2631"/>
    <w:rsid w:val="0070477B"/>
    <w:rsid w:val="0077092C"/>
    <w:rsid w:val="00781562"/>
    <w:rsid w:val="007A0A1D"/>
    <w:rsid w:val="007A181C"/>
    <w:rsid w:val="007B613D"/>
    <w:rsid w:val="007D13A4"/>
    <w:rsid w:val="007F28C0"/>
    <w:rsid w:val="00813D7D"/>
    <w:rsid w:val="00827BD2"/>
    <w:rsid w:val="0083687A"/>
    <w:rsid w:val="00841613"/>
    <w:rsid w:val="00865DC6"/>
    <w:rsid w:val="00871FCD"/>
    <w:rsid w:val="00882746"/>
    <w:rsid w:val="008B290F"/>
    <w:rsid w:val="00932235"/>
    <w:rsid w:val="009364DE"/>
    <w:rsid w:val="00961451"/>
    <w:rsid w:val="00992B32"/>
    <w:rsid w:val="009A242D"/>
    <w:rsid w:val="009C0C5E"/>
    <w:rsid w:val="009D0579"/>
    <w:rsid w:val="009D778D"/>
    <w:rsid w:val="00A008EA"/>
    <w:rsid w:val="00A06668"/>
    <w:rsid w:val="00A17F90"/>
    <w:rsid w:val="00A27654"/>
    <w:rsid w:val="00A3411B"/>
    <w:rsid w:val="00A53288"/>
    <w:rsid w:val="00A5732F"/>
    <w:rsid w:val="00A718BC"/>
    <w:rsid w:val="00AF4D66"/>
    <w:rsid w:val="00B03315"/>
    <w:rsid w:val="00B17BEA"/>
    <w:rsid w:val="00B26141"/>
    <w:rsid w:val="00B31850"/>
    <w:rsid w:val="00B50B69"/>
    <w:rsid w:val="00B5242A"/>
    <w:rsid w:val="00B81506"/>
    <w:rsid w:val="00B9714B"/>
    <w:rsid w:val="00BB0988"/>
    <w:rsid w:val="00BB6F8A"/>
    <w:rsid w:val="00BB7A4F"/>
    <w:rsid w:val="00BD38C0"/>
    <w:rsid w:val="00C076A2"/>
    <w:rsid w:val="00C111DD"/>
    <w:rsid w:val="00C15209"/>
    <w:rsid w:val="00C23D2F"/>
    <w:rsid w:val="00C361A0"/>
    <w:rsid w:val="00C37E57"/>
    <w:rsid w:val="00C40F39"/>
    <w:rsid w:val="00C41B91"/>
    <w:rsid w:val="00C55356"/>
    <w:rsid w:val="00CE2FC2"/>
    <w:rsid w:val="00D10ECE"/>
    <w:rsid w:val="00D12F97"/>
    <w:rsid w:val="00D243C3"/>
    <w:rsid w:val="00D40678"/>
    <w:rsid w:val="00D51FFA"/>
    <w:rsid w:val="00D605D8"/>
    <w:rsid w:val="00D63201"/>
    <w:rsid w:val="00D73319"/>
    <w:rsid w:val="00D7515B"/>
    <w:rsid w:val="00D83CAA"/>
    <w:rsid w:val="00DA0A84"/>
    <w:rsid w:val="00DC3160"/>
    <w:rsid w:val="00DD08CE"/>
    <w:rsid w:val="00DD1BEF"/>
    <w:rsid w:val="00DF3926"/>
    <w:rsid w:val="00E1195E"/>
    <w:rsid w:val="00E3731C"/>
    <w:rsid w:val="00E54BB2"/>
    <w:rsid w:val="00E56A06"/>
    <w:rsid w:val="00E608F9"/>
    <w:rsid w:val="00E61184"/>
    <w:rsid w:val="00E71678"/>
    <w:rsid w:val="00E73DB8"/>
    <w:rsid w:val="00EA6D3D"/>
    <w:rsid w:val="00EB1DA9"/>
    <w:rsid w:val="00EB3549"/>
    <w:rsid w:val="00EB3EC7"/>
    <w:rsid w:val="00ED6328"/>
    <w:rsid w:val="00F23F3F"/>
    <w:rsid w:val="00F26B8D"/>
    <w:rsid w:val="00F31C2D"/>
    <w:rsid w:val="00F54894"/>
    <w:rsid w:val="00F63D15"/>
    <w:rsid w:val="00F97365"/>
    <w:rsid w:val="00FD022D"/>
    <w:rsid w:val="00FD10B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B5D9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E8"/>
    <w:pPr>
      <w:spacing w:before="20" w:after="120" w:line="240" w:lineRule="auto"/>
    </w:pPr>
    <w:rPr>
      <w:rFonts w:ascii="Calibri" w:hAnsi="Calibri" w:cs="Arial"/>
      <w:bCs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DB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DB8"/>
    <w:pPr>
      <w:spacing w:before="200" w:after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201"/>
    <w:pPr>
      <w:spacing w:before="120" w:after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5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0579"/>
  </w:style>
  <w:style w:type="paragraph" w:styleId="Footer">
    <w:name w:val="footer"/>
    <w:basedOn w:val="Normal"/>
    <w:link w:val="FooterChar"/>
    <w:uiPriority w:val="99"/>
    <w:unhideWhenUsed/>
    <w:rsid w:val="004577E8"/>
    <w:pPr>
      <w:spacing w:before="0" w:after="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577E8"/>
    <w:rPr>
      <w:rFonts w:ascii="Calibri" w:hAnsi="Calibri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79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7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87FEE"/>
    <w:rPr>
      <w:color w:val="0000FF"/>
      <w:u w:val="single"/>
    </w:rPr>
  </w:style>
  <w:style w:type="table" w:styleId="TableGrid">
    <w:name w:val="Table Grid"/>
    <w:basedOn w:val="TableNormal"/>
    <w:uiPriority w:val="59"/>
    <w:rsid w:val="0008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7E8"/>
    <w:pPr>
      <w:numPr>
        <w:numId w:val="22"/>
      </w:numPr>
    </w:pPr>
  </w:style>
  <w:style w:type="paragraph" w:customStyle="1" w:styleId="TableTitles">
    <w:name w:val="Table Titles"/>
    <w:basedOn w:val="Normal"/>
    <w:link w:val="TableTitlesChar"/>
    <w:qFormat/>
    <w:rsid w:val="00C37E57"/>
    <w:pPr>
      <w:spacing w:before="60" w:after="60"/>
    </w:pPr>
    <w:rPr>
      <w:rFonts w:eastAsia="Calibri" w:cs="Times New Roman"/>
      <w:b/>
      <w:i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C37E57"/>
    <w:rPr>
      <w:rFonts w:ascii="Calibri" w:eastAsia="Calibri" w:hAnsi="Calibri" w:cs="Times New Roman"/>
      <w:b/>
      <w:bCs/>
      <w:i/>
      <w:sz w:val="32"/>
      <w:szCs w:val="3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6AE9"/>
    <w:rPr>
      <w:color w:val="800080" w:themeColor="followedHyperlink"/>
      <w:u w:val="single"/>
    </w:rPr>
  </w:style>
  <w:style w:type="paragraph" w:customStyle="1" w:styleId="SlideTitle">
    <w:name w:val="Slide Title"/>
    <w:basedOn w:val="Normal"/>
    <w:qFormat/>
    <w:rsid w:val="00C41B91"/>
    <w:pPr>
      <w:spacing w:before="80" w:after="0"/>
    </w:pPr>
    <w:rPr>
      <w:b/>
      <w:bCs w:val="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6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DC6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DC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74423"/>
  </w:style>
  <w:style w:type="character" w:customStyle="1" w:styleId="Heading2Char">
    <w:name w:val="Heading 2 Char"/>
    <w:basedOn w:val="DefaultParagraphFont"/>
    <w:link w:val="Heading2"/>
    <w:uiPriority w:val="9"/>
    <w:rsid w:val="00E73DB8"/>
    <w:rPr>
      <w:rFonts w:ascii="Calibri" w:hAnsi="Calibri" w:cs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3201"/>
    <w:rPr>
      <w:rFonts w:ascii="Calibri" w:hAnsi="Calibri" w:cs="Arial"/>
      <w:b/>
      <w:bCs/>
      <w:sz w:val="28"/>
    </w:rPr>
  </w:style>
  <w:style w:type="paragraph" w:styleId="Title">
    <w:name w:val="Title"/>
    <w:basedOn w:val="Header"/>
    <w:next w:val="Normal"/>
    <w:link w:val="TitleChar"/>
    <w:uiPriority w:val="10"/>
    <w:qFormat/>
    <w:rsid w:val="00B5242A"/>
    <w:pPr>
      <w:spacing w:before="120"/>
      <w:ind w:left="720"/>
    </w:pPr>
    <w:rPr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242A"/>
    <w:rPr>
      <w:rFonts w:ascii="Calibri" w:hAnsi="Calibri" w:cs="Arial"/>
      <w:bCs/>
      <w:color w:val="000000" w:themeColor="text1"/>
      <w:sz w:val="48"/>
      <w:szCs w:val="48"/>
    </w:rPr>
  </w:style>
  <w:style w:type="paragraph" w:styleId="Subtitle">
    <w:name w:val="Subtitle"/>
    <w:aliases w:val="Program Title"/>
    <w:basedOn w:val="Header"/>
    <w:next w:val="Normal"/>
    <w:link w:val="SubtitleChar"/>
    <w:uiPriority w:val="11"/>
    <w:qFormat/>
    <w:rsid w:val="00B5242A"/>
    <w:pPr>
      <w:jc w:val="center"/>
    </w:pPr>
    <w:rPr>
      <w:b/>
      <w:noProof/>
      <w:color w:val="FFFFFF" w:themeColor="background1"/>
      <w:sz w:val="48"/>
      <w:szCs w:val="48"/>
    </w:rPr>
  </w:style>
  <w:style w:type="character" w:customStyle="1" w:styleId="SubtitleChar">
    <w:name w:val="Subtitle Char"/>
    <w:aliases w:val="Program Title Char"/>
    <w:basedOn w:val="DefaultParagraphFont"/>
    <w:link w:val="Subtitle"/>
    <w:uiPriority w:val="11"/>
    <w:rsid w:val="00B5242A"/>
    <w:rPr>
      <w:rFonts w:ascii="Calibri" w:hAnsi="Calibri" w:cs="Arial"/>
      <w:b/>
      <w:bCs/>
      <w:noProof/>
      <w:color w:val="FFFFFF" w:themeColor="background1"/>
      <w:sz w:val="48"/>
      <w:szCs w:val="48"/>
    </w:rPr>
  </w:style>
  <w:style w:type="character" w:styleId="Emphasis">
    <w:name w:val="Emphasis"/>
    <w:aliases w:val="AHRQ Publication"/>
    <w:uiPriority w:val="20"/>
    <w:qFormat/>
    <w:rsid w:val="007D13A4"/>
  </w:style>
  <w:style w:type="paragraph" w:customStyle="1" w:styleId="Instructions">
    <w:name w:val="Instructions"/>
    <w:basedOn w:val="Normal"/>
    <w:link w:val="InstructionsChar"/>
    <w:qFormat/>
    <w:rsid w:val="00283168"/>
    <w:pPr>
      <w:framePr w:hSpace="180" w:wrap="around" w:vAnchor="text" w:hAnchor="text" w:xAlign="right" w:y="1"/>
      <w:spacing w:before="120" w:after="0"/>
      <w:suppressOverlap/>
    </w:pPr>
    <w:rPr>
      <w:rFonts w:cs="Tahoma"/>
      <w:b/>
      <w:bCs w:val="0"/>
      <w:lang w:bidi="en-US"/>
    </w:rPr>
  </w:style>
  <w:style w:type="paragraph" w:customStyle="1" w:styleId="FooterWhite">
    <w:name w:val="Footer White"/>
    <w:basedOn w:val="Normal"/>
    <w:qFormat/>
    <w:rsid w:val="004577E8"/>
    <w:rPr>
      <w:color w:val="FFFFFF" w:themeColor="background1"/>
      <w:sz w:val="20"/>
    </w:rPr>
  </w:style>
  <w:style w:type="character" w:customStyle="1" w:styleId="InstructionsChar">
    <w:name w:val="Instructions Char"/>
    <w:link w:val="Instructions"/>
    <w:rsid w:val="00283168"/>
    <w:rPr>
      <w:rFonts w:ascii="Calibri" w:hAnsi="Calibri" w:cs="Tahoma"/>
      <w:b/>
      <w:sz w:val="24"/>
      <w:lang w:bidi="en-US"/>
    </w:rPr>
  </w:style>
  <w:style w:type="paragraph" w:customStyle="1" w:styleId="NumberedList">
    <w:name w:val="Numbered List"/>
    <w:basedOn w:val="ListParagraph"/>
    <w:qFormat/>
    <w:rsid w:val="004577E8"/>
    <w:pPr>
      <w:numPr>
        <w:numId w:val="23"/>
      </w:numPr>
      <w:spacing w:before="0"/>
    </w:pPr>
  </w:style>
  <w:style w:type="character" w:customStyle="1" w:styleId="Heading1Char">
    <w:name w:val="Heading 1 Char"/>
    <w:basedOn w:val="DefaultParagraphFont"/>
    <w:link w:val="Heading1"/>
    <w:uiPriority w:val="9"/>
    <w:rsid w:val="00E73DB8"/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table" w:customStyle="1" w:styleId="PlainTable41">
    <w:name w:val="Plain Table 41"/>
    <w:basedOn w:val="TableNormal"/>
    <w:uiPriority w:val="44"/>
    <w:rsid w:val="00F97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E8"/>
    <w:pPr>
      <w:spacing w:before="20" w:after="120" w:line="240" w:lineRule="auto"/>
    </w:pPr>
    <w:rPr>
      <w:rFonts w:ascii="Calibri" w:hAnsi="Calibri" w:cs="Arial"/>
      <w:bCs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DB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DB8"/>
    <w:pPr>
      <w:spacing w:before="200" w:after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201"/>
    <w:pPr>
      <w:spacing w:before="120" w:after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5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0579"/>
  </w:style>
  <w:style w:type="paragraph" w:styleId="Footer">
    <w:name w:val="footer"/>
    <w:basedOn w:val="Normal"/>
    <w:link w:val="FooterChar"/>
    <w:uiPriority w:val="99"/>
    <w:unhideWhenUsed/>
    <w:rsid w:val="004577E8"/>
    <w:pPr>
      <w:spacing w:before="0" w:after="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577E8"/>
    <w:rPr>
      <w:rFonts w:ascii="Calibri" w:hAnsi="Calibri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79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7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87FEE"/>
    <w:rPr>
      <w:color w:val="0000FF"/>
      <w:u w:val="single"/>
    </w:rPr>
  </w:style>
  <w:style w:type="table" w:styleId="TableGrid">
    <w:name w:val="Table Grid"/>
    <w:basedOn w:val="TableNormal"/>
    <w:uiPriority w:val="59"/>
    <w:rsid w:val="0008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7E8"/>
    <w:pPr>
      <w:numPr>
        <w:numId w:val="22"/>
      </w:numPr>
    </w:pPr>
  </w:style>
  <w:style w:type="paragraph" w:customStyle="1" w:styleId="TableTitles">
    <w:name w:val="Table Titles"/>
    <w:basedOn w:val="Normal"/>
    <w:link w:val="TableTitlesChar"/>
    <w:qFormat/>
    <w:rsid w:val="00C37E57"/>
    <w:pPr>
      <w:spacing w:before="60" w:after="60"/>
    </w:pPr>
    <w:rPr>
      <w:rFonts w:eastAsia="Calibri" w:cs="Times New Roman"/>
      <w:b/>
      <w:i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C37E57"/>
    <w:rPr>
      <w:rFonts w:ascii="Calibri" w:eastAsia="Calibri" w:hAnsi="Calibri" w:cs="Times New Roman"/>
      <w:b/>
      <w:bCs/>
      <w:i/>
      <w:sz w:val="32"/>
      <w:szCs w:val="3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6AE9"/>
    <w:rPr>
      <w:color w:val="800080" w:themeColor="followedHyperlink"/>
      <w:u w:val="single"/>
    </w:rPr>
  </w:style>
  <w:style w:type="paragraph" w:customStyle="1" w:styleId="SlideTitle">
    <w:name w:val="Slide Title"/>
    <w:basedOn w:val="Normal"/>
    <w:qFormat/>
    <w:rsid w:val="00C41B91"/>
    <w:pPr>
      <w:spacing w:before="80" w:after="0"/>
    </w:pPr>
    <w:rPr>
      <w:b/>
      <w:bCs w:val="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6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DC6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DC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74423"/>
  </w:style>
  <w:style w:type="character" w:customStyle="1" w:styleId="Heading2Char">
    <w:name w:val="Heading 2 Char"/>
    <w:basedOn w:val="DefaultParagraphFont"/>
    <w:link w:val="Heading2"/>
    <w:uiPriority w:val="9"/>
    <w:rsid w:val="00E73DB8"/>
    <w:rPr>
      <w:rFonts w:ascii="Calibri" w:hAnsi="Calibri" w:cs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3201"/>
    <w:rPr>
      <w:rFonts w:ascii="Calibri" w:hAnsi="Calibri" w:cs="Arial"/>
      <w:b/>
      <w:bCs/>
      <w:sz w:val="28"/>
    </w:rPr>
  </w:style>
  <w:style w:type="paragraph" w:styleId="Title">
    <w:name w:val="Title"/>
    <w:basedOn w:val="Header"/>
    <w:next w:val="Normal"/>
    <w:link w:val="TitleChar"/>
    <w:uiPriority w:val="10"/>
    <w:qFormat/>
    <w:rsid w:val="00B5242A"/>
    <w:pPr>
      <w:spacing w:before="120"/>
      <w:ind w:left="720"/>
    </w:pPr>
    <w:rPr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242A"/>
    <w:rPr>
      <w:rFonts w:ascii="Calibri" w:hAnsi="Calibri" w:cs="Arial"/>
      <w:bCs/>
      <w:color w:val="000000" w:themeColor="text1"/>
      <w:sz w:val="48"/>
      <w:szCs w:val="48"/>
    </w:rPr>
  </w:style>
  <w:style w:type="paragraph" w:styleId="Subtitle">
    <w:name w:val="Subtitle"/>
    <w:aliases w:val="Program Title"/>
    <w:basedOn w:val="Header"/>
    <w:next w:val="Normal"/>
    <w:link w:val="SubtitleChar"/>
    <w:uiPriority w:val="11"/>
    <w:qFormat/>
    <w:rsid w:val="00B5242A"/>
    <w:pPr>
      <w:jc w:val="center"/>
    </w:pPr>
    <w:rPr>
      <w:b/>
      <w:noProof/>
      <w:color w:val="FFFFFF" w:themeColor="background1"/>
      <w:sz w:val="48"/>
      <w:szCs w:val="48"/>
    </w:rPr>
  </w:style>
  <w:style w:type="character" w:customStyle="1" w:styleId="SubtitleChar">
    <w:name w:val="Subtitle Char"/>
    <w:aliases w:val="Program Title Char"/>
    <w:basedOn w:val="DefaultParagraphFont"/>
    <w:link w:val="Subtitle"/>
    <w:uiPriority w:val="11"/>
    <w:rsid w:val="00B5242A"/>
    <w:rPr>
      <w:rFonts w:ascii="Calibri" w:hAnsi="Calibri" w:cs="Arial"/>
      <w:b/>
      <w:bCs/>
      <w:noProof/>
      <w:color w:val="FFFFFF" w:themeColor="background1"/>
      <w:sz w:val="48"/>
      <w:szCs w:val="48"/>
    </w:rPr>
  </w:style>
  <w:style w:type="character" w:styleId="Emphasis">
    <w:name w:val="Emphasis"/>
    <w:aliases w:val="AHRQ Publication"/>
    <w:uiPriority w:val="20"/>
    <w:qFormat/>
    <w:rsid w:val="007D13A4"/>
  </w:style>
  <w:style w:type="paragraph" w:customStyle="1" w:styleId="Instructions">
    <w:name w:val="Instructions"/>
    <w:basedOn w:val="Normal"/>
    <w:link w:val="InstructionsChar"/>
    <w:qFormat/>
    <w:rsid w:val="00283168"/>
    <w:pPr>
      <w:framePr w:hSpace="180" w:wrap="around" w:vAnchor="text" w:hAnchor="text" w:xAlign="right" w:y="1"/>
      <w:spacing w:before="120" w:after="0"/>
      <w:suppressOverlap/>
    </w:pPr>
    <w:rPr>
      <w:rFonts w:cs="Tahoma"/>
      <w:b/>
      <w:bCs w:val="0"/>
      <w:lang w:bidi="en-US"/>
    </w:rPr>
  </w:style>
  <w:style w:type="paragraph" w:customStyle="1" w:styleId="FooterWhite">
    <w:name w:val="Footer White"/>
    <w:basedOn w:val="Normal"/>
    <w:qFormat/>
    <w:rsid w:val="004577E8"/>
    <w:rPr>
      <w:color w:val="FFFFFF" w:themeColor="background1"/>
      <w:sz w:val="20"/>
    </w:rPr>
  </w:style>
  <w:style w:type="character" w:customStyle="1" w:styleId="InstructionsChar">
    <w:name w:val="Instructions Char"/>
    <w:link w:val="Instructions"/>
    <w:rsid w:val="00283168"/>
    <w:rPr>
      <w:rFonts w:ascii="Calibri" w:hAnsi="Calibri" w:cs="Tahoma"/>
      <w:b/>
      <w:sz w:val="24"/>
      <w:lang w:bidi="en-US"/>
    </w:rPr>
  </w:style>
  <w:style w:type="paragraph" w:customStyle="1" w:styleId="NumberedList">
    <w:name w:val="Numbered List"/>
    <w:basedOn w:val="ListParagraph"/>
    <w:qFormat/>
    <w:rsid w:val="004577E8"/>
    <w:pPr>
      <w:numPr>
        <w:numId w:val="23"/>
      </w:numPr>
      <w:spacing w:before="0"/>
    </w:pPr>
  </w:style>
  <w:style w:type="character" w:customStyle="1" w:styleId="Heading1Char">
    <w:name w:val="Heading 1 Char"/>
    <w:basedOn w:val="DefaultParagraphFont"/>
    <w:link w:val="Heading1"/>
    <w:uiPriority w:val="9"/>
    <w:rsid w:val="00E73DB8"/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table" w:customStyle="1" w:styleId="PlainTable41">
    <w:name w:val="Plain Table 41"/>
    <w:basedOn w:val="TableNormal"/>
    <w:uiPriority w:val="44"/>
    <w:rsid w:val="00F97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2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2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1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07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3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0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3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7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0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2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7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95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5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4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3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76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486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94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10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9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4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12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09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40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2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6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5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6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32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44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77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4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85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119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6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0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9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5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8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1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3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3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9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1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7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7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4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0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946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7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9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4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8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2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3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82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5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5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1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0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44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26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99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1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5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73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324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131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1">
          <w:marLeft w:val="13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843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238">
          <w:marLeft w:val="13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4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73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76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69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911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162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302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5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0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1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9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9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6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1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7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20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9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0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4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12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1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hrq.gov/sites/default/files/wysiwyg/professionals/quality-patient-safety/hais/tools/mvp/modules/vae/data-measures-guide.docx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6B164-074F-464B-AC8C-86CE4928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Facilitator Guide: Build Your SSI Prevention Bundle</vt:lpstr>
    </vt:vector>
  </TitlesOfParts>
  <Manager>Johns Hopkins Medicine | Armstrong Institute for Patient Safety and Quality</Manager>
  <Company>AHRQ | Agency for Healthcare Research and Quality</Company>
  <LinksUpToDate>false</LinksUpToDate>
  <CharactersWithSpaces>1812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Facilitator Guide: Build Your SSI Prevention Bundle</dc:title>
  <dc:subject>AHRQ Safety Program for Mechanically Ventilated Patients</dc:subject>
  <dc:creator>CUSP4MVP-VAP/L&amp;D</dc:creator>
  <cp:keywords>ventilator associated pneumonia, early mobility, ICU, ambulation, sedation management, delirium, SAT, SBT, spontaneous awakening trial, spontaneous breathing trial, low tidal volume ventilation, Berenholtz, Klompas, Needham, Rawat, Winters</cp:keywords>
  <cp:lastModifiedBy>Chris Heidenrich OCKT</cp:lastModifiedBy>
  <cp:revision>2</cp:revision>
  <cp:lastPrinted>2016-08-19T17:12:00Z</cp:lastPrinted>
  <dcterms:created xsi:type="dcterms:W3CDTF">2017-01-10T21:50:00Z</dcterms:created>
  <dcterms:modified xsi:type="dcterms:W3CDTF">2017-01-10T21:50:00Z</dcterms:modified>
  <cp:category>patient safety, CUSP, VAE, VAP, healthcare acquired infections, critical care nursing, mechanical ventilation, ventilator associated events, early mobility, low tidal volume ventilation, daily care</cp:category>
</cp:coreProperties>
</file>