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795"/>
        <w:gridCol w:w="4565"/>
        <w:gridCol w:w="115"/>
      </w:tblGrid>
      <w:tr w:rsidR="00C068AD" w:rsidRPr="00C808E2" w14:paraId="38313B12" w14:textId="77777777" w:rsidTr="000E2DEF">
        <w:trPr>
          <w:gridAfter w:val="1"/>
          <w:wAfter w:w="115" w:type="dxa"/>
          <w:cantSplit/>
        </w:trPr>
        <w:tc>
          <w:tcPr>
            <w:tcW w:w="4795" w:type="dxa"/>
          </w:tcPr>
          <w:p w14:paraId="73468B92" w14:textId="77777777" w:rsidR="00C068AD" w:rsidRPr="00C808E2" w:rsidRDefault="00C068AD" w:rsidP="00FA47C8">
            <w:pPr>
              <w:pStyle w:val="SayThis"/>
            </w:pPr>
            <w:bookmarkStart w:id="0" w:name="_GoBack"/>
            <w:bookmarkEnd w:id="0"/>
            <w:r w:rsidRPr="00C808E2">
              <w:t xml:space="preserve">SAY: </w:t>
            </w:r>
          </w:p>
          <w:p w14:paraId="7465560C" w14:textId="77777777" w:rsidR="00C068AD" w:rsidRPr="00C808E2" w:rsidRDefault="00C068AD" w:rsidP="00925DCF">
            <w:pPr>
              <w:pStyle w:val="BodyText1"/>
            </w:pPr>
            <w:r w:rsidRPr="00C808E2">
              <w:t xml:space="preserve">The </w:t>
            </w:r>
            <w:r w:rsidR="00B52711">
              <w:t xml:space="preserve">Safe Medication Administration bundle provides </w:t>
            </w:r>
            <w:r w:rsidR="00032377">
              <w:t>information</w:t>
            </w:r>
            <w:r w:rsidR="00B52711">
              <w:t xml:space="preserve"> on high-alert medications</w:t>
            </w:r>
            <w:r w:rsidR="00032377">
              <w:t xml:space="preserve"> commonly used in labor and delivery </w:t>
            </w:r>
            <w:r w:rsidR="00DB33E5">
              <w:t xml:space="preserve">(L&amp;D) </w:t>
            </w:r>
            <w:r w:rsidR="00032377">
              <w:t>units,</w:t>
            </w:r>
            <w:r w:rsidR="00B52711">
              <w:t xml:space="preserve"> and discusses the importance of implementing safeguards for their administration, providing an approach to developing those safeguards based on key safety elements. </w:t>
            </w:r>
          </w:p>
        </w:tc>
        <w:tc>
          <w:tcPr>
            <w:tcW w:w="4565" w:type="dxa"/>
          </w:tcPr>
          <w:p w14:paraId="6EA30DDB" w14:textId="77777777" w:rsidR="00C068AD" w:rsidRPr="00C808E2" w:rsidRDefault="00C068AD" w:rsidP="007F3FA2">
            <w:pPr>
              <w:pStyle w:val="SlideNumber"/>
              <w:spacing w:before="40" w:line="240" w:lineRule="auto"/>
              <w:contextualSpacing/>
              <w:rPr>
                <w:rFonts w:asciiTheme="minorBidi" w:hAnsiTheme="minorBidi" w:cstheme="minorBidi"/>
                <w:sz w:val="22"/>
              </w:rPr>
            </w:pPr>
            <w:r w:rsidRPr="00C808E2">
              <w:rPr>
                <w:rFonts w:asciiTheme="minorBidi" w:hAnsiTheme="minorBidi" w:cstheme="minorBidi"/>
                <w:sz w:val="22"/>
              </w:rPr>
              <w:t>Slide 1</w:t>
            </w:r>
          </w:p>
          <w:p w14:paraId="00578260" w14:textId="23DBEECA" w:rsidR="00C068AD" w:rsidRPr="00C808E2" w:rsidRDefault="007E61ED" w:rsidP="0065039E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7E61ED">
              <w:rPr>
                <w:rFonts w:asciiTheme="minorBidi" w:hAnsiTheme="minorBidi" w:cstheme="minorBidi"/>
                <w:noProof/>
              </w:rPr>
              <w:drawing>
                <wp:inline distT="0" distB="0" distL="0" distR="0" wp14:anchorId="47647BBF" wp14:editId="2F80E7A5">
                  <wp:extent cx="2755392" cy="2066544"/>
                  <wp:effectExtent l="0" t="0" r="698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392" cy="206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8AD" w:rsidRPr="00C808E2" w14:paraId="2B30DAD8" w14:textId="77777777" w:rsidTr="000E2DEF">
        <w:trPr>
          <w:gridAfter w:val="1"/>
          <w:wAfter w:w="115" w:type="dxa"/>
          <w:cantSplit/>
        </w:trPr>
        <w:tc>
          <w:tcPr>
            <w:tcW w:w="4795" w:type="dxa"/>
          </w:tcPr>
          <w:p w14:paraId="53B40319" w14:textId="77777777" w:rsidR="00C068AD" w:rsidRPr="00C808E2" w:rsidRDefault="00C068AD" w:rsidP="007F3FA2">
            <w:pPr>
              <w:pStyle w:val="SayThis"/>
              <w:spacing w:before="40" w:line="240" w:lineRule="auto"/>
              <w:contextualSpacing/>
              <w:rPr>
                <w:rFonts w:asciiTheme="minorBidi" w:hAnsiTheme="minorBidi" w:cstheme="minorBidi"/>
                <w:szCs w:val="22"/>
              </w:rPr>
            </w:pPr>
            <w:r w:rsidRPr="00C808E2">
              <w:rPr>
                <w:rFonts w:asciiTheme="minorBidi" w:hAnsiTheme="minorBidi" w:cstheme="minorBidi"/>
                <w:szCs w:val="22"/>
              </w:rPr>
              <w:t>SAY:</w:t>
            </w:r>
          </w:p>
          <w:p w14:paraId="3BE7AAFA" w14:textId="77777777" w:rsidR="00C068AD" w:rsidRPr="00C808E2" w:rsidRDefault="00C068AD" w:rsidP="007F3FA2">
            <w:pPr>
              <w:pStyle w:val="ArielInstructions"/>
              <w:contextualSpacing/>
              <w:rPr>
                <w:rFonts w:asciiTheme="minorBidi" w:hAnsiTheme="minorBidi" w:cstheme="minorBidi"/>
              </w:rPr>
            </w:pPr>
            <w:r w:rsidRPr="00C808E2">
              <w:rPr>
                <w:rFonts w:asciiTheme="minorBidi" w:hAnsiTheme="minorBidi" w:cstheme="minorBidi"/>
              </w:rPr>
              <w:t xml:space="preserve">In this </w:t>
            </w:r>
            <w:r w:rsidR="00DA7DC6" w:rsidRPr="00C808E2">
              <w:rPr>
                <w:rFonts w:asciiTheme="minorBidi" w:hAnsiTheme="minorBidi" w:cstheme="minorBidi"/>
              </w:rPr>
              <w:t>module</w:t>
            </w:r>
            <w:r w:rsidRPr="00C808E2">
              <w:rPr>
                <w:rFonts w:asciiTheme="minorBidi" w:hAnsiTheme="minorBidi" w:cstheme="minorBidi"/>
              </w:rPr>
              <w:t>, we will</w:t>
            </w:r>
            <w:r w:rsidR="00DB33E5">
              <w:rPr>
                <w:rFonts w:asciiTheme="minorBidi" w:hAnsiTheme="minorBidi" w:cstheme="minorBidi"/>
              </w:rPr>
              <w:t xml:space="preserve"> do the following:</w:t>
            </w:r>
          </w:p>
          <w:p w14:paraId="41970AF1" w14:textId="77777777" w:rsidR="00C068AD" w:rsidRDefault="009B2C50" w:rsidP="00FA47C8">
            <w:pPr>
              <w:pStyle w:val="Bullet1"/>
              <w:numPr>
                <w:ilvl w:val="0"/>
                <w:numId w:val="2"/>
              </w:numPr>
            </w:pPr>
            <w:r>
              <w:t>Define high-alert medications</w:t>
            </w:r>
            <w:r w:rsidR="00DB33E5">
              <w:t>.</w:t>
            </w:r>
          </w:p>
          <w:p w14:paraId="5A8B9C63" w14:textId="77777777" w:rsidR="009B2C50" w:rsidRDefault="009B2C50" w:rsidP="00FA47C8">
            <w:pPr>
              <w:pStyle w:val="Bullet1"/>
              <w:numPr>
                <w:ilvl w:val="0"/>
                <w:numId w:val="2"/>
              </w:numPr>
            </w:pPr>
            <w:r>
              <w:t>Identify the key safety elements of safe medication administration for oxytocin</w:t>
            </w:r>
            <w:r w:rsidR="00DB33E5">
              <w:t>.</w:t>
            </w:r>
          </w:p>
          <w:p w14:paraId="38FB5DD4" w14:textId="77777777" w:rsidR="009B2C50" w:rsidRDefault="009B2C50" w:rsidP="00FA47C8">
            <w:pPr>
              <w:pStyle w:val="Bullet1"/>
              <w:numPr>
                <w:ilvl w:val="0"/>
                <w:numId w:val="2"/>
              </w:numPr>
            </w:pPr>
            <w:r>
              <w:t>Identify the key safety elements of safe medication administration for magnesium sulfate</w:t>
            </w:r>
            <w:r w:rsidR="00DB33E5">
              <w:t>.</w:t>
            </w:r>
          </w:p>
          <w:p w14:paraId="1E4B5C05" w14:textId="77777777" w:rsidR="009B2C50" w:rsidRPr="00C808E2" w:rsidRDefault="009B2C50" w:rsidP="007F3951">
            <w:pPr>
              <w:pStyle w:val="Bullet1"/>
              <w:numPr>
                <w:ilvl w:val="0"/>
                <w:numId w:val="2"/>
              </w:numPr>
            </w:pPr>
            <w:r>
              <w:t>Identify ways to apply key safety elements to unit procedures for medication administration</w:t>
            </w:r>
            <w:r w:rsidR="00DB33E5">
              <w:t>.</w:t>
            </w:r>
          </w:p>
        </w:tc>
        <w:tc>
          <w:tcPr>
            <w:tcW w:w="4565" w:type="dxa"/>
          </w:tcPr>
          <w:p w14:paraId="4C15E2AA" w14:textId="77777777" w:rsidR="00C068AD" w:rsidRPr="00C808E2" w:rsidRDefault="00C068AD" w:rsidP="007F3FA2">
            <w:pPr>
              <w:pStyle w:val="SlideNumber"/>
              <w:spacing w:before="40" w:line="240" w:lineRule="auto"/>
              <w:contextualSpacing/>
              <w:rPr>
                <w:rFonts w:asciiTheme="minorBidi" w:hAnsiTheme="minorBidi" w:cstheme="minorBidi"/>
                <w:sz w:val="22"/>
              </w:rPr>
            </w:pPr>
            <w:r w:rsidRPr="00C808E2">
              <w:rPr>
                <w:rFonts w:asciiTheme="minorBidi" w:hAnsiTheme="minorBidi" w:cstheme="minorBidi"/>
                <w:sz w:val="22"/>
              </w:rPr>
              <w:t>Slide 2</w:t>
            </w:r>
          </w:p>
          <w:p w14:paraId="7EA56C18" w14:textId="387DF584" w:rsidR="00C068AD" w:rsidRPr="00C808E2" w:rsidRDefault="007E61ED" w:rsidP="007806AE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7E61ED">
              <w:rPr>
                <w:rFonts w:asciiTheme="minorBidi" w:hAnsiTheme="minorBidi" w:cstheme="minorBidi"/>
                <w:noProof/>
              </w:rPr>
              <w:drawing>
                <wp:inline distT="0" distB="0" distL="0" distR="0" wp14:anchorId="5340A1F8" wp14:editId="178FA25F">
                  <wp:extent cx="2755392" cy="2066544"/>
                  <wp:effectExtent l="0" t="0" r="698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392" cy="206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8AD" w:rsidRPr="00C808E2" w14:paraId="003E10BA" w14:textId="77777777" w:rsidTr="000E2DEF">
        <w:trPr>
          <w:gridAfter w:val="1"/>
          <w:wAfter w:w="115" w:type="dxa"/>
          <w:cantSplit/>
          <w:trHeight w:val="413"/>
        </w:trPr>
        <w:tc>
          <w:tcPr>
            <w:tcW w:w="4795" w:type="dxa"/>
          </w:tcPr>
          <w:p w14:paraId="0C484958" w14:textId="77777777" w:rsidR="00C068AD" w:rsidRPr="00C808E2" w:rsidRDefault="00C068AD" w:rsidP="00FA47C8">
            <w:pPr>
              <w:pStyle w:val="SayThis"/>
            </w:pPr>
            <w:r w:rsidRPr="00C808E2">
              <w:lastRenderedPageBreak/>
              <w:t>SAY:</w:t>
            </w:r>
          </w:p>
          <w:p w14:paraId="4C326346" w14:textId="5545BB58" w:rsidR="009B2C50" w:rsidRDefault="009B2C50" w:rsidP="00FA47C8">
            <w:pPr>
              <w:pStyle w:val="BodyText1"/>
            </w:pPr>
            <w:r>
              <w:t xml:space="preserve">This bundle in the </w:t>
            </w:r>
            <w:r w:rsidR="00E8554D">
              <w:t xml:space="preserve">AHRQ </w:t>
            </w:r>
            <w:r>
              <w:t xml:space="preserve">Safety Program for Perinatal Care </w:t>
            </w:r>
            <w:r w:rsidR="00DB33E5">
              <w:t xml:space="preserve">(SPPC) </w:t>
            </w:r>
            <w:r>
              <w:t xml:space="preserve">focuses on the safe administration of two </w:t>
            </w:r>
            <w:r w:rsidR="00F81633">
              <w:t xml:space="preserve">high-alert medications </w:t>
            </w:r>
            <w:r>
              <w:t>commonly use</w:t>
            </w:r>
            <w:r w:rsidR="00F81633">
              <w:t>d</w:t>
            </w:r>
            <w:r>
              <w:t xml:space="preserve"> in L&amp;D</w:t>
            </w:r>
            <w:r w:rsidR="00DB33E5">
              <w:t xml:space="preserve"> units</w:t>
            </w:r>
            <w:r>
              <w:t xml:space="preserve">: </w:t>
            </w:r>
          </w:p>
          <w:p w14:paraId="44175802" w14:textId="77777777" w:rsidR="009B2C50" w:rsidRDefault="00925DCF" w:rsidP="00FA47C8">
            <w:pPr>
              <w:pStyle w:val="Bullet1"/>
            </w:pPr>
            <w:r>
              <w:t>o</w:t>
            </w:r>
            <w:r w:rsidR="009B2C50">
              <w:t>xytocin</w:t>
            </w:r>
            <w:r w:rsidR="00A438BE">
              <w:t xml:space="preserve"> </w:t>
            </w:r>
          </w:p>
          <w:p w14:paraId="4E982DED" w14:textId="77777777" w:rsidR="009B2C50" w:rsidRDefault="00925DCF" w:rsidP="00FA47C8">
            <w:pPr>
              <w:pStyle w:val="Bullet1"/>
              <w:rPr>
                <w:lang w:bidi="en-US"/>
              </w:rPr>
            </w:pPr>
            <w:r>
              <w:rPr>
                <w:lang w:bidi="en-US"/>
              </w:rPr>
              <w:t>m</w:t>
            </w:r>
            <w:r w:rsidR="009B2C50">
              <w:rPr>
                <w:lang w:bidi="en-US"/>
              </w:rPr>
              <w:t xml:space="preserve">agnesium sulfate </w:t>
            </w:r>
          </w:p>
          <w:p w14:paraId="3F26B7D6" w14:textId="77777777" w:rsidR="00661828" w:rsidRPr="009B2C50" w:rsidRDefault="009B2C50" w:rsidP="00FA47C8">
            <w:pPr>
              <w:pStyle w:val="BodyText1"/>
              <w:rPr>
                <w:lang w:bidi="en-US"/>
              </w:rPr>
            </w:pPr>
            <w:r>
              <w:rPr>
                <w:lang w:bidi="en-US"/>
              </w:rPr>
              <w:t xml:space="preserve">The training materials and tools for this bundle offer key safety elements for safe administration </w:t>
            </w:r>
            <w:r w:rsidR="00A438BE">
              <w:rPr>
                <w:lang w:bidi="en-US"/>
              </w:rPr>
              <w:t>of</w:t>
            </w:r>
            <w:r>
              <w:rPr>
                <w:lang w:bidi="en-US"/>
              </w:rPr>
              <w:t xml:space="preserve"> these medications. These key safety elements provide a starting point for each un</w:t>
            </w:r>
            <w:r w:rsidR="00A438BE">
              <w:rPr>
                <w:lang w:bidi="en-US"/>
              </w:rPr>
              <w:t>it to consider as it establishes</w:t>
            </w:r>
            <w:r>
              <w:rPr>
                <w:lang w:bidi="en-US"/>
              </w:rPr>
              <w:t xml:space="preserve"> processes for ensuring safe medication administration of these drugs. These key safety elements can also be adapted and applied to oth</w:t>
            </w:r>
            <w:r w:rsidR="00A438BE">
              <w:rPr>
                <w:lang w:bidi="en-US"/>
              </w:rPr>
              <w:t>er high-alert medications used i</w:t>
            </w:r>
            <w:r>
              <w:rPr>
                <w:lang w:bidi="en-US"/>
              </w:rPr>
              <w:t>n L&amp;D</w:t>
            </w:r>
            <w:r w:rsidR="00DB33E5">
              <w:rPr>
                <w:lang w:bidi="en-US"/>
              </w:rPr>
              <w:t xml:space="preserve"> units</w:t>
            </w:r>
            <w:r>
              <w:rPr>
                <w:lang w:bidi="en-US"/>
              </w:rPr>
              <w:t xml:space="preserve">. </w:t>
            </w:r>
          </w:p>
        </w:tc>
        <w:tc>
          <w:tcPr>
            <w:tcW w:w="4565" w:type="dxa"/>
          </w:tcPr>
          <w:p w14:paraId="4B67654F" w14:textId="77777777" w:rsidR="00C068AD" w:rsidRPr="00C808E2" w:rsidRDefault="00C068AD" w:rsidP="007F3FA2">
            <w:pPr>
              <w:pStyle w:val="SlideNumber"/>
              <w:spacing w:before="40" w:line="240" w:lineRule="auto"/>
              <w:contextualSpacing/>
              <w:rPr>
                <w:rFonts w:asciiTheme="minorBidi" w:hAnsiTheme="minorBidi" w:cstheme="minorBidi"/>
                <w:sz w:val="22"/>
              </w:rPr>
            </w:pPr>
            <w:r w:rsidRPr="00C808E2">
              <w:rPr>
                <w:rFonts w:asciiTheme="minorBidi" w:hAnsiTheme="minorBidi" w:cstheme="minorBidi"/>
                <w:sz w:val="22"/>
              </w:rPr>
              <w:t>Slide 3</w:t>
            </w:r>
          </w:p>
          <w:p w14:paraId="58A65600" w14:textId="389E90D9" w:rsidR="00C068AD" w:rsidRPr="00C808E2" w:rsidRDefault="007E61ED" w:rsidP="007806AE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7E61ED">
              <w:rPr>
                <w:rFonts w:asciiTheme="minorBidi" w:hAnsiTheme="minorBidi" w:cstheme="minorBidi"/>
                <w:noProof/>
              </w:rPr>
              <w:drawing>
                <wp:inline distT="0" distB="0" distL="0" distR="0" wp14:anchorId="3627A6F4" wp14:editId="32EC889E">
                  <wp:extent cx="2755392" cy="2066544"/>
                  <wp:effectExtent l="0" t="0" r="698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392" cy="206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8AD" w:rsidRPr="00C808E2" w14:paraId="1ABCE365" w14:textId="77777777" w:rsidTr="0025628C">
        <w:trPr>
          <w:gridAfter w:val="1"/>
          <w:wAfter w:w="115" w:type="dxa"/>
        </w:trPr>
        <w:tc>
          <w:tcPr>
            <w:tcW w:w="4795" w:type="dxa"/>
          </w:tcPr>
          <w:p w14:paraId="68145110" w14:textId="77777777" w:rsidR="00C068AD" w:rsidRPr="00C808E2" w:rsidRDefault="00C068AD" w:rsidP="00FA47C8">
            <w:pPr>
              <w:pStyle w:val="SayThis"/>
            </w:pPr>
            <w:r w:rsidRPr="00C808E2">
              <w:t>SAY:</w:t>
            </w:r>
          </w:p>
          <w:p w14:paraId="6E76B412" w14:textId="77777777" w:rsidR="009B2C50" w:rsidRDefault="009B2C50" w:rsidP="00FA47C8">
            <w:pPr>
              <w:pStyle w:val="BodyText1"/>
            </w:pPr>
            <w:r>
              <w:t>High-alert medications are defined by the Institute for Safe Medication Practices as “drugs that bear a heightened risk of causing significant patient harm when they are used in error.”</w:t>
            </w:r>
          </w:p>
          <w:p w14:paraId="5AE6F5EC" w14:textId="77777777" w:rsidR="00C068AD" w:rsidRDefault="00032377" w:rsidP="00FA47C8">
            <w:pPr>
              <w:pStyle w:val="BodyText1"/>
            </w:pPr>
            <w:r>
              <w:t>Although mistakes are not necessarily</w:t>
            </w:r>
            <w:r w:rsidR="009B2C50">
              <w:t xml:space="preserve"> more common </w:t>
            </w:r>
            <w:r>
              <w:t>with these</w:t>
            </w:r>
            <w:r w:rsidR="009B2C50">
              <w:t xml:space="preserve"> drugs, the consequences of errors are more serious for patients.</w:t>
            </w:r>
            <w:r w:rsidR="00A438BE">
              <w:t xml:space="preserve"> To reduce the risk of errors</w:t>
            </w:r>
            <w:r w:rsidR="009B2C50">
              <w:t>, these medications require special safeguards such as</w:t>
            </w:r>
            <w:r w:rsidR="00DB33E5">
              <w:t xml:space="preserve"> the following</w:t>
            </w:r>
            <w:r w:rsidR="009B2C50">
              <w:t>:</w:t>
            </w:r>
          </w:p>
          <w:p w14:paraId="6975416A" w14:textId="77777777" w:rsidR="00102314" w:rsidRPr="00FA47C8" w:rsidRDefault="00102314" w:rsidP="00FA47C8">
            <w:pPr>
              <w:pStyle w:val="Bullet1"/>
            </w:pPr>
            <w:r w:rsidRPr="00FA47C8">
              <w:t>Improving access to information about these drugs</w:t>
            </w:r>
            <w:r w:rsidR="00DB33E5" w:rsidRPr="00FA47C8">
              <w:t>.</w:t>
            </w:r>
          </w:p>
          <w:p w14:paraId="525B61D0" w14:textId="77777777" w:rsidR="00102314" w:rsidRPr="00FA47C8" w:rsidRDefault="00102314" w:rsidP="00FA47C8">
            <w:pPr>
              <w:pStyle w:val="Bullet1"/>
            </w:pPr>
            <w:r w:rsidRPr="00FA47C8">
              <w:t xml:space="preserve">Limiting access to </w:t>
            </w:r>
            <w:r w:rsidR="00032377" w:rsidRPr="00FA47C8">
              <w:t>these</w:t>
            </w:r>
            <w:r w:rsidRPr="00FA47C8">
              <w:t xml:space="preserve"> medications</w:t>
            </w:r>
            <w:r w:rsidR="00DB33E5" w:rsidRPr="00FA47C8">
              <w:t>.</w:t>
            </w:r>
          </w:p>
          <w:p w14:paraId="16C44E65" w14:textId="77777777" w:rsidR="00102314" w:rsidRPr="00FA47C8" w:rsidRDefault="00102314" w:rsidP="00FA47C8">
            <w:pPr>
              <w:pStyle w:val="Bullet1"/>
            </w:pPr>
            <w:r w:rsidRPr="00FA47C8">
              <w:t>Using auxiliary labels and automated alerts</w:t>
            </w:r>
            <w:r w:rsidR="00DB33E5" w:rsidRPr="00FA47C8">
              <w:t>.</w:t>
            </w:r>
          </w:p>
          <w:p w14:paraId="04002667" w14:textId="77777777" w:rsidR="00102314" w:rsidRPr="00FA47C8" w:rsidRDefault="00102314" w:rsidP="00FA47C8">
            <w:pPr>
              <w:pStyle w:val="Bullet1"/>
            </w:pPr>
            <w:r w:rsidRPr="00FA47C8">
              <w:t>Standardizing the ordering, storage, pre</w:t>
            </w:r>
            <w:r w:rsidR="00032377" w:rsidRPr="00FA47C8">
              <w:t>paration, and administration</w:t>
            </w:r>
            <w:r w:rsidR="00DB33E5" w:rsidRPr="00FA47C8">
              <w:t>.</w:t>
            </w:r>
            <w:r w:rsidR="00032377" w:rsidRPr="00FA47C8">
              <w:t xml:space="preserve"> </w:t>
            </w:r>
          </w:p>
          <w:p w14:paraId="14CDE941" w14:textId="77777777" w:rsidR="009B2C50" w:rsidRPr="009B2C50" w:rsidRDefault="00102314" w:rsidP="00FA47C8">
            <w:pPr>
              <w:pStyle w:val="Bullet1"/>
              <w:rPr>
                <w:lang w:bidi="en-US"/>
              </w:rPr>
            </w:pPr>
            <w:r w:rsidRPr="00FA47C8">
              <w:t>Employing redundancies such as automated or independent double checks when necessary.</w:t>
            </w:r>
          </w:p>
        </w:tc>
        <w:tc>
          <w:tcPr>
            <w:tcW w:w="4565" w:type="dxa"/>
          </w:tcPr>
          <w:p w14:paraId="3A7A200E" w14:textId="77777777" w:rsidR="00C068AD" w:rsidRPr="00C808E2" w:rsidRDefault="00C068AD" w:rsidP="007F3FA2">
            <w:pPr>
              <w:pStyle w:val="SlideNumber"/>
              <w:spacing w:before="40" w:line="240" w:lineRule="auto"/>
              <w:contextualSpacing/>
              <w:rPr>
                <w:rFonts w:asciiTheme="minorBidi" w:hAnsiTheme="minorBidi" w:cstheme="minorBidi"/>
                <w:sz w:val="22"/>
              </w:rPr>
            </w:pPr>
            <w:r w:rsidRPr="00C808E2">
              <w:rPr>
                <w:rFonts w:asciiTheme="minorBidi" w:hAnsiTheme="minorBidi" w:cstheme="minorBidi"/>
                <w:sz w:val="22"/>
              </w:rPr>
              <w:t>Slide 4</w:t>
            </w:r>
          </w:p>
          <w:p w14:paraId="7A2C90D3" w14:textId="0EEEA914" w:rsidR="00C068AD" w:rsidRPr="00C808E2" w:rsidRDefault="007E61ED" w:rsidP="007806AE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7E61ED">
              <w:rPr>
                <w:rFonts w:asciiTheme="minorBidi" w:hAnsiTheme="minorBidi" w:cstheme="minorBidi"/>
                <w:noProof/>
              </w:rPr>
              <w:drawing>
                <wp:inline distT="0" distB="0" distL="0" distR="0" wp14:anchorId="74D9235A" wp14:editId="7686F2E6">
                  <wp:extent cx="2755392" cy="2066544"/>
                  <wp:effectExtent l="0" t="0" r="698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392" cy="206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8AD" w:rsidRPr="00C808E2" w14:paraId="63EA8AAC" w14:textId="77777777" w:rsidTr="0025628C">
        <w:trPr>
          <w:cantSplit/>
          <w:trHeight w:val="8963"/>
        </w:trPr>
        <w:tc>
          <w:tcPr>
            <w:tcW w:w="4795" w:type="dxa"/>
          </w:tcPr>
          <w:p w14:paraId="5B6C4D2A" w14:textId="77777777" w:rsidR="00C068AD" w:rsidRPr="00C808E2" w:rsidRDefault="00C068AD" w:rsidP="00FA47C8">
            <w:pPr>
              <w:pStyle w:val="SayThis"/>
            </w:pPr>
            <w:r w:rsidRPr="00C808E2">
              <w:lastRenderedPageBreak/>
              <w:t>SAY:</w:t>
            </w:r>
          </w:p>
          <w:p w14:paraId="64D93C4A" w14:textId="77777777" w:rsidR="009B2C50" w:rsidRPr="009B2C50" w:rsidRDefault="00CD4880" w:rsidP="00FA47C8">
            <w:pPr>
              <w:pStyle w:val="BodyText1"/>
            </w:pPr>
            <w:r>
              <w:t>The purpose of the</w:t>
            </w:r>
            <w:r w:rsidR="00032377">
              <w:t xml:space="preserve"> Safe Medication Administration </w:t>
            </w:r>
            <w:r>
              <w:t>tools</w:t>
            </w:r>
            <w:r w:rsidR="00032377">
              <w:t xml:space="preserve"> </w:t>
            </w:r>
            <w:r w:rsidR="007F3951">
              <w:t>are</w:t>
            </w:r>
            <w:r w:rsidR="00032377">
              <w:t xml:space="preserve"> </w:t>
            </w:r>
            <w:r>
              <w:t>to provide</w:t>
            </w:r>
            <w:r w:rsidR="009B2C50" w:rsidRPr="009B2C50">
              <w:t xml:space="preserve"> a framework for safely administering oxytocin and magnesium sulfate</w:t>
            </w:r>
            <w:r w:rsidR="00A438BE">
              <w:t>. This framework is</w:t>
            </w:r>
            <w:r w:rsidR="009B2C50" w:rsidRPr="009B2C50">
              <w:t xml:space="preserve"> ba</w:t>
            </w:r>
            <w:r w:rsidR="00A438BE">
              <w:t>sed on SPPC Key Safety Elements that describe</w:t>
            </w:r>
            <w:r w:rsidR="009B2C50" w:rsidRPr="009B2C50">
              <w:t xml:space="preserve"> what should be included to create a unit-specific procedure for oxytocin or magnesium sulfate administration.</w:t>
            </w:r>
          </w:p>
          <w:p w14:paraId="7CEAE2A2" w14:textId="77777777" w:rsidR="009B2C50" w:rsidRDefault="009B2C50" w:rsidP="00FA47C8">
            <w:pPr>
              <w:pStyle w:val="BodyText1"/>
            </w:pPr>
            <w:r w:rsidRPr="009B2C50">
              <w:t>Nurses, physicians, midwives, pharmacists, and other L&amp;D unit staff involved in the preparation and administration of oxytocin and/or magnesium sulfate</w:t>
            </w:r>
            <w:r w:rsidR="00CD4880">
              <w:t xml:space="preserve"> should use these tools. </w:t>
            </w:r>
          </w:p>
          <w:p w14:paraId="5A055570" w14:textId="77777777" w:rsidR="009B2C50" w:rsidRDefault="00CD4880" w:rsidP="00FA47C8">
            <w:pPr>
              <w:pStyle w:val="BodyText1"/>
            </w:pPr>
            <w:r>
              <w:rPr>
                <w:bCs/>
                <w:iCs/>
              </w:rPr>
              <w:t>To use these tools, review</w:t>
            </w:r>
            <w:r w:rsidR="009B2C50" w:rsidRPr="009B2C50">
              <w:t xml:space="preserve"> the key safety elements with L&amp;D leadership and unit staff, determine how to implement elements </w:t>
            </w:r>
            <w:r w:rsidR="00A438BE">
              <w:t>within</w:t>
            </w:r>
            <w:r w:rsidR="009B2C50" w:rsidRPr="009B2C50">
              <w:t xml:space="preserve"> </w:t>
            </w:r>
            <w:r w:rsidR="007F3951">
              <w:t xml:space="preserve">the </w:t>
            </w:r>
            <w:r w:rsidR="009B2C50" w:rsidRPr="009B2C50">
              <w:t>unit, considering</w:t>
            </w:r>
            <w:r w:rsidR="00A438BE">
              <w:t xml:space="preserve"> </w:t>
            </w:r>
            <w:r w:rsidR="009B2C50" w:rsidRPr="009B2C50">
              <w:t xml:space="preserve">existing facility processes or policies related to oxytocin or magnesium use. Consider using preprinted orders, standing orders, and staff simulation training to support implementation. </w:t>
            </w:r>
          </w:p>
          <w:p w14:paraId="19AB9BCE" w14:textId="77777777" w:rsidR="0070154A" w:rsidRPr="009B2C50" w:rsidRDefault="0070154A" w:rsidP="0070154A">
            <w:pPr>
              <w:pStyle w:val="BodyText1"/>
            </w:pPr>
            <w:r>
              <w:rPr>
                <w:bCs/>
                <w:iCs/>
              </w:rPr>
              <w:t>The key safety elements</w:t>
            </w:r>
            <w:r w:rsidRPr="009B2C50">
              <w:rPr>
                <w:b/>
                <w:bCs/>
                <w:i/>
                <w:iCs/>
              </w:rPr>
              <w:t xml:space="preserve"> </w:t>
            </w:r>
            <w:r w:rsidRPr="009B2C50">
              <w:t>will be reviewed in subsequent slides in more detail</w:t>
            </w:r>
            <w:r>
              <w:t>.</w:t>
            </w:r>
          </w:p>
          <w:p w14:paraId="73708171" w14:textId="09BD4E6A" w:rsidR="00032377" w:rsidRPr="00032377" w:rsidRDefault="00CD4880" w:rsidP="00FA47C8">
            <w:pPr>
              <w:pStyle w:val="BodyText1"/>
            </w:pPr>
            <w:r>
              <w:rPr>
                <w:bCs/>
              </w:rPr>
              <w:t>The sample procedure for each tool</w:t>
            </w:r>
            <w:r w:rsidR="00032377">
              <w:rPr>
                <w:b/>
                <w:bCs/>
              </w:rPr>
              <w:t xml:space="preserve">, </w:t>
            </w:r>
            <w:r w:rsidR="00032377" w:rsidRPr="00032377">
              <w:rPr>
                <w:bCs/>
              </w:rPr>
              <w:t xml:space="preserve">located as an appendix with each tool, </w:t>
            </w:r>
            <w:r w:rsidR="009B2C50" w:rsidRPr="009B2C50">
              <w:t>can be used as an example of how safety elements can be customized and operationalized into a unit’s procedure</w:t>
            </w:r>
            <w:r w:rsidR="007F3951">
              <w:t xml:space="preserve"> for medication administration; units can customize and adapt this example based on unit preferences.</w:t>
            </w:r>
          </w:p>
        </w:tc>
        <w:tc>
          <w:tcPr>
            <w:tcW w:w="4680" w:type="dxa"/>
            <w:gridSpan w:val="2"/>
          </w:tcPr>
          <w:p w14:paraId="3E22C6EF" w14:textId="77777777" w:rsidR="00C068AD" w:rsidRPr="00C808E2" w:rsidRDefault="00C068AD" w:rsidP="007F3FA2">
            <w:pPr>
              <w:pStyle w:val="SlideNumber"/>
              <w:spacing w:before="40" w:line="240" w:lineRule="auto"/>
              <w:contextualSpacing/>
              <w:rPr>
                <w:rFonts w:asciiTheme="minorBidi" w:hAnsiTheme="minorBidi" w:cstheme="minorBidi"/>
                <w:sz w:val="22"/>
              </w:rPr>
            </w:pPr>
            <w:r w:rsidRPr="00C808E2">
              <w:rPr>
                <w:rFonts w:asciiTheme="minorBidi" w:hAnsiTheme="minorBidi" w:cstheme="minorBidi"/>
                <w:sz w:val="22"/>
              </w:rPr>
              <w:t>Slide 5</w:t>
            </w:r>
          </w:p>
          <w:p w14:paraId="57369477" w14:textId="75C9DA63" w:rsidR="00C068AD" w:rsidRPr="00C808E2" w:rsidRDefault="007E61ED" w:rsidP="007806AE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7E61ED">
              <w:rPr>
                <w:rFonts w:asciiTheme="minorBidi" w:hAnsiTheme="minorBidi" w:cstheme="minorBidi"/>
                <w:noProof/>
              </w:rPr>
              <w:drawing>
                <wp:inline distT="0" distB="0" distL="0" distR="0" wp14:anchorId="5BCBF954" wp14:editId="2EF603F2">
                  <wp:extent cx="2755392" cy="2066544"/>
                  <wp:effectExtent l="0" t="0" r="698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392" cy="206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8AD" w:rsidRPr="00C808E2" w14:paraId="05DDDC5B" w14:textId="77777777" w:rsidTr="000E2DEF">
        <w:trPr>
          <w:cantSplit/>
        </w:trPr>
        <w:tc>
          <w:tcPr>
            <w:tcW w:w="4795" w:type="dxa"/>
          </w:tcPr>
          <w:p w14:paraId="37D6C279" w14:textId="77777777" w:rsidR="00C068AD" w:rsidRPr="00C808E2" w:rsidRDefault="00C068AD" w:rsidP="00FA47C8">
            <w:pPr>
              <w:pStyle w:val="SayThis"/>
            </w:pPr>
            <w:r w:rsidRPr="00C808E2">
              <w:lastRenderedPageBreak/>
              <w:t>SAY:</w:t>
            </w:r>
          </w:p>
          <w:p w14:paraId="44EF7B91" w14:textId="77777777" w:rsidR="00CE11CE" w:rsidRDefault="00CE11CE" w:rsidP="00FA47C8">
            <w:pPr>
              <w:pStyle w:val="BodyText1"/>
            </w:pPr>
            <w:r w:rsidRPr="00CE11CE">
              <w:t xml:space="preserve">As in the other customizable bundles available through the </w:t>
            </w:r>
            <w:r w:rsidR="00DB33E5">
              <w:t>SPPC</w:t>
            </w:r>
            <w:r w:rsidRPr="00CE11CE">
              <w:t>, the key safety elements for safe medication administration are organized into the following six overarching principles of patient safety derived from the Comprehensive Unit-based Safety Program</w:t>
            </w:r>
            <w:r w:rsidR="00925DCF">
              <w:t xml:space="preserve">, or </w:t>
            </w:r>
            <w:r w:rsidR="00DB33E5">
              <w:t>CUSP</w:t>
            </w:r>
            <w:r w:rsidRPr="00CE11CE">
              <w:t xml:space="preserve">, </w:t>
            </w:r>
            <w:r w:rsidR="00925DCF">
              <w:t xml:space="preserve">and </w:t>
            </w:r>
            <w:r w:rsidRPr="00CE11CE">
              <w:t>the TeamSTEPPS</w:t>
            </w:r>
            <w:r w:rsidR="007B003C">
              <w:sym w:font="Symbol" w:char="F0E2"/>
            </w:r>
            <w:r w:rsidRPr="00CE11CE">
              <w:t xml:space="preserve"> tea</w:t>
            </w:r>
            <w:r w:rsidR="007F3951">
              <w:t xml:space="preserve">mwork and communication system. </w:t>
            </w:r>
            <w:r w:rsidR="00B57025">
              <w:t>The</w:t>
            </w:r>
            <w:r w:rsidR="007F3951">
              <w:t>y</w:t>
            </w:r>
            <w:r w:rsidR="00B57025">
              <w:t xml:space="preserve"> include</w:t>
            </w:r>
            <w:r w:rsidR="00DB33E5">
              <w:t xml:space="preserve"> the following</w:t>
            </w:r>
            <w:r w:rsidR="00B57025">
              <w:t>:</w:t>
            </w:r>
          </w:p>
          <w:p w14:paraId="32643AD3" w14:textId="77777777" w:rsidR="00102314" w:rsidRPr="00CE11CE" w:rsidRDefault="00CE11CE" w:rsidP="00FA47C8">
            <w:pPr>
              <w:pStyle w:val="Bullet1"/>
            </w:pPr>
            <w:r>
              <w:t xml:space="preserve">Standardize When Possible </w:t>
            </w:r>
          </w:p>
          <w:p w14:paraId="4A317FA0" w14:textId="77777777" w:rsidR="00102314" w:rsidRPr="00CE11CE" w:rsidRDefault="00102314" w:rsidP="00FA47C8">
            <w:pPr>
              <w:pStyle w:val="Bullet1"/>
            </w:pPr>
            <w:r w:rsidRPr="00CE11CE">
              <w:t xml:space="preserve">Create Independent Checks </w:t>
            </w:r>
          </w:p>
          <w:p w14:paraId="67FA0832" w14:textId="49075DDB" w:rsidR="00102314" w:rsidRPr="00CE11CE" w:rsidRDefault="00102314" w:rsidP="00FA47C8">
            <w:pPr>
              <w:pStyle w:val="Bullet1"/>
            </w:pPr>
            <w:r w:rsidRPr="00CE11CE">
              <w:t xml:space="preserve">Learn </w:t>
            </w:r>
            <w:r w:rsidR="00E8554D">
              <w:t>F</w:t>
            </w:r>
            <w:r w:rsidR="00DB33E5" w:rsidRPr="00CE11CE">
              <w:t xml:space="preserve">rom </w:t>
            </w:r>
            <w:r w:rsidRPr="00CE11CE">
              <w:t xml:space="preserve">Defects </w:t>
            </w:r>
          </w:p>
          <w:p w14:paraId="7E1955A7" w14:textId="77777777" w:rsidR="00102314" w:rsidRPr="00CE11CE" w:rsidRDefault="00102314" w:rsidP="00FA47C8">
            <w:pPr>
              <w:pStyle w:val="Bullet1"/>
            </w:pPr>
            <w:r w:rsidRPr="00CE11CE">
              <w:t xml:space="preserve">Simulation </w:t>
            </w:r>
          </w:p>
          <w:p w14:paraId="2CF7F2A9" w14:textId="77777777" w:rsidR="00102314" w:rsidRPr="00CE11CE" w:rsidRDefault="00CE11CE" w:rsidP="00FA47C8">
            <w:pPr>
              <w:pStyle w:val="Bullet1"/>
            </w:pPr>
            <w:r>
              <w:t>Teamwork Training</w:t>
            </w:r>
            <w:r w:rsidR="00A438BE">
              <w:t xml:space="preserve"> </w:t>
            </w:r>
          </w:p>
          <w:p w14:paraId="3F251523" w14:textId="77777777" w:rsidR="00CE11CE" w:rsidRPr="00CE11CE" w:rsidRDefault="00102314" w:rsidP="00FA47C8">
            <w:pPr>
              <w:pStyle w:val="Bullet1"/>
            </w:pPr>
            <w:r w:rsidRPr="00CE11CE">
              <w:t xml:space="preserve">Patient and Family Engagement </w:t>
            </w:r>
          </w:p>
          <w:p w14:paraId="0CA8AE18" w14:textId="2AFE0765" w:rsidR="00C068AD" w:rsidRPr="00CE11CE" w:rsidRDefault="00E22AF9" w:rsidP="004B4B36">
            <w:pPr>
              <w:pStyle w:val="BodyText1"/>
            </w:pPr>
            <w:r w:rsidRPr="00CE11CE">
              <w:t xml:space="preserve">In the rest of this presentation, we will highlight each key safety element and how </w:t>
            </w:r>
            <w:r>
              <w:t>it applies</w:t>
            </w:r>
            <w:r w:rsidRPr="00CE11CE">
              <w:t xml:space="preserve"> to the administration of oxytocin and magnesium sulfate.</w:t>
            </w:r>
          </w:p>
        </w:tc>
        <w:tc>
          <w:tcPr>
            <w:tcW w:w="4680" w:type="dxa"/>
            <w:gridSpan w:val="2"/>
          </w:tcPr>
          <w:p w14:paraId="3E2B820C" w14:textId="77777777" w:rsidR="00C068AD" w:rsidRPr="00C808E2" w:rsidRDefault="00C068AD" w:rsidP="007F3FA2">
            <w:pPr>
              <w:pStyle w:val="SlideNumber"/>
              <w:spacing w:before="40" w:line="240" w:lineRule="auto"/>
              <w:contextualSpacing/>
              <w:rPr>
                <w:rFonts w:asciiTheme="minorBidi" w:hAnsiTheme="minorBidi" w:cstheme="minorBidi"/>
                <w:sz w:val="22"/>
              </w:rPr>
            </w:pPr>
            <w:r w:rsidRPr="00C808E2">
              <w:rPr>
                <w:rFonts w:asciiTheme="minorBidi" w:hAnsiTheme="minorBidi" w:cstheme="minorBidi"/>
                <w:sz w:val="22"/>
              </w:rPr>
              <w:t>Slide 6</w:t>
            </w:r>
          </w:p>
          <w:p w14:paraId="2628CA19" w14:textId="0A3C7331" w:rsidR="00C068AD" w:rsidRPr="00C808E2" w:rsidRDefault="007E61ED" w:rsidP="007806AE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7E61ED">
              <w:rPr>
                <w:rFonts w:asciiTheme="minorBidi" w:hAnsiTheme="minorBidi" w:cstheme="minorBidi"/>
                <w:noProof/>
              </w:rPr>
              <w:drawing>
                <wp:inline distT="0" distB="0" distL="0" distR="0" wp14:anchorId="4C1BC4A4" wp14:editId="52AC6E82">
                  <wp:extent cx="2755392" cy="2066544"/>
                  <wp:effectExtent l="0" t="0" r="698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392" cy="206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1CE" w:rsidRPr="00C808E2" w14:paraId="658FEFBC" w14:textId="77777777" w:rsidTr="000E2DEF">
        <w:trPr>
          <w:cantSplit/>
        </w:trPr>
        <w:tc>
          <w:tcPr>
            <w:tcW w:w="4795" w:type="dxa"/>
          </w:tcPr>
          <w:p w14:paraId="2B5B362C" w14:textId="77777777" w:rsidR="00CE11CE" w:rsidRDefault="00CE11CE" w:rsidP="00FA47C8">
            <w:pPr>
              <w:pStyle w:val="SayThis"/>
              <w:rPr>
                <w:b w:val="0"/>
              </w:rPr>
            </w:pPr>
            <w:r>
              <w:t>SAY:</w:t>
            </w:r>
          </w:p>
          <w:p w14:paraId="653A08C7" w14:textId="77777777" w:rsidR="00CE11CE" w:rsidRPr="00331A84" w:rsidRDefault="00CE11CE" w:rsidP="00FA47C8">
            <w:pPr>
              <w:pStyle w:val="BodyText1"/>
              <w:rPr>
                <w:b/>
                <w:sz w:val="24"/>
                <w:szCs w:val="24"/>
              </w:rPr>
            </w:pPr>
            <w:r w:rsidRPr="00CE11CE">
              <w:t xml:space="preserve">First, we will highlight some of the key safety elements from the tool for oxytocin, </w:t>
            </w:r>
            <w:r w:rsidR="00925DCF">
              <w:t xml:space="preserve">and </w:t>
            </w:r>
            <w:r w:rsidRPr="00CE11CE">
              <w:t>then we will highlight some of the key safety elements from the tools for magnesium</w:t>
            </w:r>
            <w:r w:rsidR="00B57025">
              <w:t xml:space="preserve"> sulfate</w:t>
            </w:r>
            <w:r w:rsidRPr="00CE11CE">
              <w:t xml:space="preserve">. </w:t>
            </w:r>
          </w:p>
        </w:tc>
        <w:tc>
          <w:tcPr>
            <w:tcW w:w="4680" w:type="dxa"/>
            <w:gridSpan w:val="2"/>
          </w:tcPr>
          <w:p w14:paraId="7E6FAF7A" w14:textId="77777777" w:rsidR="00CE11CE" w:rsidRDefault="000E2DEF" w:rsidP="007F3FA2">
            <w:pPr>
              <w:pStyle w:val="SlideNumber"/>
              <w:spacing w:before="40" w:line="240" w:lineRule="auto"/>
              <w:contextualSpacing/>
              <w:rPr>
                <w:rFonts w:asciiTheme="minorBidi" w:hAnsiTheme="minorBidi" w:cstheme="minorBidi"/>
                <w:sz w:val="22"/>
              </w:rPr>
            </w:pPr>
            <w:r>
              <w:rPr>
                <w:rFonts w:asciiTheme="minorBidi" w:hAnsiTheme="minorBidi" w:cstheme="minorBidi"/>
                <w:sz w:val="22"/>
              </w:rPr>
              <w:t>Slide 7</w:t>
            </w:r>
          </w:p>
          <w:p w14:paraId="1DABDED2" w14:textId="66B22C49" w:rsidR="00CE11CE" w:rsidRPr="00C808E2" w:rsidRDefault="007E61ED" w:rsidP="007806AE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7E61ED">
              <w:rPr>
                <w:rFonts w:asciiTheme="minorBidi" w:hAnsiTheme="minorBidi" w:cstheme="minorBidi"/>
                <w:noProof/>
              </w:rPr>
              <w:drawing>
                <wp:inline distT="0" distB="0" distL="0" distR="0" wp14:anchorId="5C59E11B" wp14:editId="7C3A9A89">
                  <wp:extent cx="2755392" cy="2066544"/>
                  <wp:effectExtent l="0" t="0" r="698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392" cy="206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1CE" w:rsidRPr="00C808E2" w14:paraId="7321A728" w14:textId="77777777" w:rsidTr="0025628C">
        <w:trPr>
          <w:cantSplit/>
          <w:trHeight w:val="6713"/>
        </w:trPr>
        <w:tc>
          <w:tcPr>
            <w:tcW w:w="4795" w:type="dxa"/>
          </w:tcPr>
          <w:p w14:paraId="5DECEA25" w14:textId="77777777" w:rsidR="00CE11CE" w:rsidRDefault="00CE11CE" w:rsidP="000E2DEF">
            <w:pPr>
              <w:pStyle w:val="SayThis"/>
            </w:pPr>
            <w:r w:rsidRPr="00CE11CE">
              <w:lastRenderedPageBreak/>
              <w:t>SAY:</w:t>
            </w:r>
          </w:p>
          <w:p w14:paraId="64DF6807" w14:textId="77777777" w:rsidR="00D527C9" w:rsidRPr="006C1B03" w:rsidRDefault="00CE11CE" w:rsidP="00FA47C8">
            <w:pPr>
              <w:pStyle w:val="BodyText1"/>
              <w:rPr>
                <w:b/>
              </w:rPr>
            </w:pPr>
            <w:r w:rsidRPr="00D527C9">
              <w:t xml:space="preserve">The </w:t>
            </w:r>
            <w:r w:rsidRPr="006C1B03">
              <w:t xml:space="preserve">safe medication administration of oxytocin is important </w:t>
            </w:r>
            <w:r w:rsidR="00D527C9" w:rsidRPr="006C1B03">
              <w:t xml:space="preserve">for a few reasons: </w:t>
            </w:r>
          </w:p>
          <w:p w14:paraId="69A6C588" w14:textId="77777777" w:rsidR="00102314" w:rsidRPr="006C1B03" w:rsidRDefault="00D527C9" w:rsidP="00FA47C8">
            <w:pPr>
              <w:pStyle w:val="Bullet1"/>
              <w:rPr>
                <w:b/>
              </w:rPr>
            </w:pPr>
            <w:r w:rsidRPr="006C1B03">
              <w:t>O</w:t>
            </w:r>
            <w:r w:rsidR="00102314" w:rsidRPr="006C1B03">
              <w:t>xytocin is a high-alert medication</w:t>
            </w:r>
            <w:r w:rsidR="00622F9D">
              <w:t>.</w:t>
            </w:r>
          </w:p>
          <w:p w14:paraId="3DF4EF50" w14:textId="77777777" w:rsidR="00102314" w:rsidRPr="006C1B03" w:rsidRDefault="00102314" w:rsidP="00FA47C8">
            <w:pPr>
              <w:pStyle w:val="Bullet1"/>
              <w:rPr>
                <w:b/>
              </w:rPr>
            </w:pPr>
            <w:r w:rsidRPr="006C1B03">
              <w:t xml:space="preserve">Oxytocin is commonly used on L&amp;D units, but administration procedures vary greatly </w:t>
            </w:r>
            <w:r w:rsidR="00622F9D">
              <w:t>because of</w:t>
            </w:r>
            <w:r w:rsidRPr="006C1B03">
              <w:t xml:space="preserve"> lack of standardization, local culture, and individual provider training and preferences.</w:t>
            </w:r>
          </w:p>
          <w:p w14:paraId="788DA208" w14:textId="77777777" w:rsidR="00102314" w:rsidRPr="006C1B03" w:rsidRDefault="00102314" w:rsidP="00FA47C8">
            <w:pPr>
              <w:pStyle w:val="Bullet1"/>
              <w:rPr>
                <w:b/>
              </w:rPr>
            </w:pPr>
            <w:r w:rsidRPr="006C1B03">
              <w:t>Inappropriate use of oxytocin is one of the top areas of preventable perinatal harm.</w:t>
            </w:r>
            <w:r w:rsidRPr="006C1B03">
              <w:rPr>
                <w:vertAlign w:val="superscript"/>
              </w:rPr>
              <w:t>2,3</w:t>
            </w:r>
          </w:p>
          <w:p w14:paraId="6C8E022B" w14:textId="77777777" w:rsidR="00D527C9" w:rsidRPr="006C1B03" w:rsidRDefault="00D527C9" w:rsidP="00FA47C8">
            <w:pPr>
              <w:pStyle w:val="Bullet1"/>
              <w:rPr>
                <w:b/>
              </w:rPr>
            </w:pPr>
            <w:r w:rsidRPr="006C1B03">
              <w:t>Common inappropriate uses of oxytocin include</w:t>
            </w:r>
            <w:r w:rsidR="00622F9D">
              <w:t xml:space="preserve"> the following</w:t>
            </w:r>
            <w:r w:rsidRPr="006C1B03">
              <w:t xml:space="preserve">: </w:t>
            </w:r>
          </w:p>
          <w:p w14:paraId="1EF60FCD" w14:textId="77777777" w:rsidR="00102314" w:rsidRPr="006C1B03" w:rsidRDefault="00102314" w:rsidP="00FA47C8">
            <w:pPr>
              <w:pStyle w:val="Bullet2"/>
              <w:rPr>
                <w:b/>
              </w:rPr>
            </w:pPr>
            <w:r w:rsidRPr="006C1B03">
              <w:t>Use of oxytocin when contraindicated (i.e., early elective inductions)</w:t>
            </w:r>
            <w:r w:rsidR="00622F9D">
              <w:t>.</w:t>
            </w:r>
          </w:p>
          <w:p w14:paraId="60C8FFC4" w14:textId="77777777" w:rsidR="00B57025" w:rsidRPr="006C1B03" w:rsidRDefault="00CE11CE" w:rsidP="00FA47C8">
            <w:pPr>
              <w:pStyle w:val="Bullet2"/>
              <w:rPr>
                <w:b/>
              </w:rPr>
            </w:pPr>
            <w:r w:rsidRPr="006C1B03">
              <w:t xml:space="preserve">Errors and slips in medication administration, fetal and maternal monitoring, and delays in responding to oxytocin-induced complications (e.g., </w:t>
            </w:r>
            <w:r w:rsidR="007F3951">
              <w:t xml:space="preserve">uterine </w:t>
            </w:r>
            <w:r w:rsidRPr="006C1B03">
              <w:t>tachysystole)</w:t>
            </w:r>
            <w:r w:rsidR="00622F9D">
              <w:t>.</w:t>
            </w:r>
          </w:p>
        </w:tc>
        <w:tc>
          <w:tcPr>
            <w:tcW w:w="4680" w:type="dxa"/>
            <w:gridSpan w:val="2"/>
          </w:tcPr>
          <w:p w14:paraId="1A08E94F" w14:textId="77777777" w:rsidR="00CE11CE" w:rsidRPr="00C808E2" w:rsidRDefault="00CE11CE" w:rsidP="007F3FA2">
            <w:pPr>
              <w:pStyle w:val="SlideNumber"/>
              <w:spacing w:before="40" w:line="240" w:lineRule="auto"/>
              <w:contextualSpacing/>
              <w:rPr>
                <w:rFonts w:asciiTheme="minorBidi" w:hAnsiTheme="minorBidi" w:cstheme="minorBidi"/>
                <w:sz w:val="22"/>
              </w:rPr>
            </w:pPr>
            <w:r w:rsidRPr="00C808E2">
              <w:rPr>
                <w:rFonts w:asciiTheme="minorBidi" w:hAnsiTheme="minorBidi" w:cstheme="minorBidi"/>
                <w:sz w:val="22"/>
              </w:rPr>
              <w:t>Slide 8</w:t>
            </w:r>
          </w:p>
          <w:p w14:paraId="62EB2CC7" w14:textId="49C25330" w:rsidR="00CE11CE" w:rsidRPr="00C808E2" w:rsidRDefault="007E61ED" w:rsidP="007806AE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7E61ED">
              <w:rPr>
                <w:rFonts w:asciiTheme="minorBidi" w:hAnsiTheme="minorBidi" w:cstheme="minorBidi"/>
                <w:noProof/>
              </w:rPr>
              <w:drawing>
                <wp:inline distT="0" distB="0" distL="0" distR="0" wp14:anchorId="3EFE3533" wp14:editId="6AF6BB0D">
                  <wp:extent cx="2755392" cy="2066544"/>
                  <wp:effectExtent l="0" t="0" r="698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392" cy="206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1CE" w:rsidRPr="00C808E2" w14:paraId="0439279F" w14:textId="77777777" w:rsidTr="0025628C">
        <w:tc>
          <w:tcPr>
            <w:tcW w:w="4795" w:type="dxa"/>
          </w:tcPr>
          <w:p w14:paraId="6D1693B4" w14:textId="77777777" w:rsidR="00D527C9" w:rsidRDefault="00D527C9" w:rsidP="00FA47C8">
            <w:pPr>
              <w:pStyle w:val="SayThis"/>
            </w:pPr>
            <w:r>
              <w:t xml:space="preserve">SAY: </w:t>
            </w:r>
          </w:p>
          <w:p w14:paraId="162D4911" w14:textId="77777777" w:rsidR="00D527C9" w:rsidRPr="006C1B03" w:rsidRDefault="00D527C9" w:rsidP="00FA47C8">
            <w:pPr>
              <w:pStyle w:val="BodyText1"/>
              <w:rPr>
                <w:b/>
              </w:rPr>
            </w:pPr>
            <w:r w:rsidRPr="006C1B03">
              <w:t xml:space="preserve">The first </w:t>
            </w:r>
            <w:r w:rsidR="00B57025" w:rsidRPr="006C1B03">
              <w:t>consideration for</w:t>
            </w:r>
            <w:r w:rsidRPr="006C1B03">
              <w:t xml:space="preserve"> Safe Medication Administration of Oxytocin is</w:t>
            </w:r>
            <w:r w:rsidRPr="006C1B03">
              <w:rPr>
                <w:i/>
              </w:rPr>
              <w:t xml:space="preserve"> </w:t>
            </w:r>
            <w:r w:rsidR="006C1B03">
              <w:rPr>
                <w:i/>
              </w:rPr>
              <w:t xml:space="preserve">to </w:t>
            </w:r>
            <w:r w:rsidRPr="006C1B03">
              <w:rPr>
                <w:i/>
              </w:rPr>
              <w:t>standardize when possible.</w:t>
            </w:r>
            <w:r w:rsidRPr="006C1B03">
              <w:t xml:space="preserve"> </w:t>
            </w:r>
          </w:p>
          <w:p w14:paraId="06D29A6D" w14:textId="4EA62C57" w:rsidR="004A0DFF" w:rsidRPr="006C1B03" w:rsidRDefault="00D527C9" w:rsidP="00E8554D">
            <w:pPr>
              <w:pStyle w:val="BodyText1"/>
              <w:rPr>
                <w:b/>
              </w:rPr>
            </w:pPr>
            <w:r w:rsidRPr="006C1B03">
              <w:t xml:space="preserve">This is a core principle from the CUSP Science of Safety </w:t>
            </w:r>
            <w:r w:rsidR="00925DCF">
              <w:t>m</w:t>
            </w:r>
            <w:r w:rsidRPr="006C1B03">
              <w:t>odule. Standardizing procedures reduces and alleviates duplication of labor and resources, reduces unwarranted variation among providers and staff, and offers a predictable approach that encourages a shared mental model across the unit.</w:t>
            </w:r>
          </w:p>
          <w:p w14:paraId="5061EBEF" w14:textId="77777777" w:rsidR="00DE5728" w:rsidRDefault="00DE5728" w:rsidP="001E571E">
            <w:pPr>
              <w:pStyle w:val="Bullet1"/>
              <w:numPr>
                <w:ilvl w:val="0"/>
                <w:numId w:val="0"/>
              </w:numPr>
            </w:pPr>
          </w:p>
          <w:p w14:paraId="47AAB63D" w14:textId="77777777" w:rsidR="00E8554D" w:rsidRDefault="00E8554D" w:rsidP="001E571E">
            <w:pPr>
              <w:pStyle w:val="Bullet1"/>
              <w:numPr>
                <w:ilvl w:val="0"/>
                <w:numId w:val="0"/>
              </w:numPr>
            </w:pPr>
          </w:p>
          <w:p w14:paraId="57FFF639" w14:textId="77777777" w:rsidR="00E8554D" w:rsidRDefault="00E8554D" w:rsidP="001E571E">
            <w:pPr>
              <w:pStyle w:val="Bullet1"/>
              <w:numPr>
                <w:ilvl w:val="0"/>
                <w:numId w:val="0"/>
              </w:numPr>
            </w:pPr>
          </w:p>
          <w:p w14:paraId="57A5125B" w14:textId="77777777" w:rsidR="001E571E" w:rsidRDefault="001E571E" w:rsidP="001E571E">
            <w:pPr>
              <w:pStyle w:val="Bullet1"/>
              <w:numPr>
                <w:ilvl w:val="0"/>
                <w:numId w:val="0"/>
              </w:numPr>
            </w:pPr>
          </w:p>
          <w:p w14:paraId="4A9D458E" w14:textId="77777777" w:rsidR="001E571E" w:rsidRDefault="001E571E" w:rsidP="001E571E">
            <w:pPr>
              <w:pStyle w:val="Bullet1"/>
              <w:numPr>
                <w:ilvl w:val="0"/>
                <w:numId w:val="0"/>
              </w:numPr>
            </w:pPr>
          </w:p>
          <w:p w14:paraId="54A78992" w14:textId="72119900" w:rsidR="00B42600" w:rsidRPr="00F40575" w:rsidRDefault="00B42600" w:rsidP="001E571E">
            <w:pPr>
              <w:pStyle w:val="Bullet1"/>
              <w:numPr>
                <w:ilvl w:val="0"/>
                <w:numId w:val="0"/>
              </w:numPr>
            </w:pPr>
          </w:p>
        </w:tc>
        <w:tc>
          <w:tcPr>
            <w:tcW w:w="4680" w:type="dxa"/>
            <w:gridSpan w:val="2"/>
          </w:tcPr>
          <w:p w14:paraId="3A55880C" w14:textId="77777777" w:rsidR="00CE11CE" w:rsidRPr="00C808E2" w:rsidRDefault="00CE11CE" w:rsidP="007E61ED">
            <w:pPr>
              <w:pStyle w:val="SlideNumber"/>
              <w:spacing w:before="40" w:line="240" w:lineRule="auto"/>
              <w:contextualSpacing/>
              <w:rPr>
                <w:rFonts w:asciiTheme="minorBidi" w:hAnsiTheme="minorBidi" w:cstheme="minorBidi"/>
                <w:sz w:val="22"/>
              </w:rPr>
            </w:pPr>
            <w:r w:rsidRPr="00C808E2">
              <w:rPr>
                <w:rFonts w:asciiTheme="minorBidi" w:hAnsiTheme="minorBidi" w:cstheme="minorBidi"/>
                <w:sz w:val="22"/>
              </w:rPr>
              <w:t>Slide 9</w:t>
            </w:r>
          </w:p>
          <w:p w14:paraId="7E50FE4F" w14:textId="425452E4" w:rsidR="00CE11CE" w:rsidRPr="00C808E2" w:rsidRDefault="007E61ED" w:rsidP="007806AE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7E61ED">
              <w:rPr>
                <w:rFonts w:asciiTheme="minorBidi" w:hAnsiTheme="minorBidi" w:cstheme="minorBidi"/>
                <w:noProof/>
              </w:rPr>
              <w:drawing>
                <wp:inline distT="0" distB="0" distL="0" distR="0" wp14:anchorId="37FCDF27" wp14:editId="71FBCA5A">
                  <wp:extent cx="2755392" cy="2066544"/>
                  <wp:effectExtent l="0" t="0" r="698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392" cy="206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C41" w:rsidRPr="00C808E2" w14:paraId="4233FBAE" w14:textId="77777777" w:rsidTr="0025628C">
        <w:tc>
          <w:tcPr>
            <w:tcW w:w="4795" w:type="dxa"/>
          </w:tcPr>
          <w:p w14:paraId="395DE625" w14:textId="77777777" w:rsidR="00E8554D" w:rsidRDefault="00E8554D" w:rsidP="00E8554D">
            <w:pPr>
              <w:pStyle w:val="SayThis"/>
            </w:pPr>
            <w:r>
              <w:lastRenderedPageBreak/>
              <w:t xml:space="preserve">SAY: </w:t>
            </w:r>
          </w:p>
          <w:p w14:paraId="6D1E6C5C" w14:textId="77777777" w:rsidR="00E8554D" w:rsidRPr="006C1B03" w:rsidRDefault="00E8554D" w:rsidP="00E8554D">
            <w:pPr>
              <w:pStyle w:val="BodyText1"/>
              <w:rPr>
                <w:b/>
              </w:rPr>
            </w:pPr>
            <w:r w:rsidRPr="006C1B03">
              <w:t>The key safety elements of standardizing when possible are</w:t>
            </w:r>
            <w:r>
              <w:t xml:space="preserve"> the following</w:t>
            </w:r>
            <w:r w:rsidRPr="006C1B03">
              <w:t>:</w:t>
            </w:r>
          </w:p>
          <w:p w14:paraId="285F6ABB" w14:textId="76AB2216" w:rsidR="00632C41" w:rsidRPr="006C1B03" w:rsidRDefault="00E22AF9" w:rsidP="00632C41">
            <w:pPr>
              <w:pStyle w:val="Bullet1"/>
              <w:rPr>
                <w:b/>
              </w:rPr>
            </w:pPr>
            <w:r w:rsidRPr="006C1B03">
              <w:t xml:space="preserve">Having standard criteria </w:t>
            </w:r>
            <w:r>
              <w:t xml:space="preserve">established </w:t>
            </w:r>
            <w:r w:rsidRPr="006C1B03">
              <w:t>for oxytocin</w:t>
            </w:r>
            <w:r w:rsidR="00A54A76">
              <w:t xml:space="preserve"> use</w:t>
            </w:r>
            <w:r>
              <w:t>,</w:t>
            </w:r>
            <w:r w:rsidRPr="006C1B03">
              <w:t xml:space="preserve"> </w:t>
            </w:r>
            <w:r>
              <w:t>such as making</w:t>
            </w:r>
            <w:r w:rsidRPr="006C1B03">
              <w:t xml:space="preserve"> sure that the criteria for </w:t>
            </w:r>
            <w:r>
              <w:t>use in labor</w:t>
            </w:r>
            <w:r w:rsidRPr="006C1B03">
              <w:t xml:space="preserve"> induction </w:t>
            </w:r>
            <w:r>
              <w:t xml:space="preserve">or augmentation </w:t>
            </w:r>
            <w:r w:rsidRPr="006C1B03">
              <w:t>are met</w:t>
            </w:r>
            <w:r>
              <w:t>,</w:t>
            </w:r>
            <w:r w:rsidRPr="006C1B03">
              <w:t xml:space="preserve"> and the lack of contraindications for use is verified and documented. </w:t>
            </w:r>
            <w:r>
              <w:t>An example of this element is “hard-stop” policies against the use of oxytocin for elective inductions prior to 39 completed weeks of gestation.</w:t>
            </w:r>
          </w:p>
          <w:p w14:paraId="6F8E5495" w14:textId="77777777" w:rsidR="00632C41" w:rsidRPr="006C1B03" w:rsidRDefault="00632C41" w:rsidP="00632C41">
            <w:pPr>
              <w:pStyle w:val="Bullet1"/>
              <w:rPr>
                <w:b/>
              </w:rPr>
            </w:pPr>
            <w:r w:rsidRPr="006C1B03">
              <w:t>A uniform mixed preparation of oxytocin for infusion is established and consistently used for all patients, for example 10 Units/L.</w:t>
            </w:r>
          </w:p>
          <w:p w14:paraId="424FD15D" w14:textId="77777777" w:rsidR="00632C41" w:rsidRDefault="00632C41" w:rsidP="00632C41">
            <w:pPr>
              <w:pStyle w:val="Bullet1"/>
              <w:rPr>
                <w:b/>
              </w:rPr>
            </w:pPr>
            <w:r w:rsidRPr="006C1B03">
              <w:t>A standard dosing protocol (</w:t>
            </w:r>
            <w:r>
              <w:t xml:space="preserve">that is, </w:t>
            </w:r>
            <w:r w:rsidRPr="006C1B03">
              <w:t>starting dose, incremental dose increase, frequency of increase, and maintenance dose) should be used consistently for all patients to reduce variability and risk of error. Both low</w:t>
            </w:r>
            <w:r>
              <w:t>-</w:t>
            </w:r>
            <w:r w:rsidRPr="006C1B03">
              <w:t xml:space="preserve"> and high</w:t>
            </w:r>
            <w:r>
              <w:t>-</w:t>
            </w:r>
            <w:r w:rsidRPr="006C1B03">
              <w:t>dose protocols may be appropriate</w:t>
            </w:r>
            <w:r>
              <w:t>;</w:t>
            </w:r>
            <w:r w:rsidRPr="006C1B03">
              <w:t xml:space="preserve"> thus, two standard dosing protocols may need to be defined</w:t>
            </w:r>
            <w:r>
              <w:t>:</w:t>
            </w:r>
            <w:r w:rsidRPr="006C1B03">
              <w:t xml:space="preserve"> one for low-dose </w:t>
            </w:r>
            <w:r>
              <w:t xml:space="preserve">oxytocin </w:t>
            </w:r>
            <w:r w:rsidRPr="006C1B03">
              <w:t>and one for high-dose oxytocin.</w:t>
            </w:r>
          </w:p>
          <w:p w14:paraId="1C661EC2" w14:textId="0B1FB295" w:rsidR="00632C41" w:rsidRDefault="00632C41" w:rsidP="00632C41">
            <w:pPr>
              <w:pStyle w:val="Bullet1"/>
            </w:pPr>
            <w:r w:rsidRPr="00F40575">
              <w:t xml:space="preserve">Other key elements for standardizing include use of a calibrated infusion pump, uniform parameters for maternal and fetal monitoring and provider notification, </w:t>
            </w:r>
            <w:r>
              <w:t>a</w:t>
            </w:r>
            <w:r w:rsidRPr="00F40575">
              <w:t xml:space="preserve">nd use of standard National Institute for Child Health and Human Development </w:t>
            </w:r>
            <w:r>
              <w:t xml:space="preserve">(NICHD) </w:t>
            </w:r>
            <w:r w:rsidRPr="00F40575">
              <w:t xml:space="preserve">nomenclature to document and communicate </w:t>
            </w:r>
            <w:r>
              <w:t xml:space="preserve">electronic </w:t>
            </w:r>
            <w:r w:rsidRPr="00F40575">
              <w:t>fetal monitoring findings.</w:t>
            </w:r>
          </w:p>
        </w:tc>
        <w:tc>
          <w:tcPr>
            <w:tcW w:w="4680" w:type="dxa"/>
            <w:gridSpan w:val="2"/>
          </w:tcPr>
          <w:p w14:paraId="69FAAD47" w14:textId="50D663AB" w:rsidR="00632C41" w:rsidRPr="00C808E2" w:rsidRDefault="00632C41" w:rsidP="007E61ED">
            <w:pPr>
              <w:pStyle w:val="SlideNumber"/>
              <w:spacing w:before="40" w:line="240" w:lineRule="auto"/>
              <w:rPr>
                <w:rFonts w:asciiTheme="minorBidi" w:hAnsiTheme="minorBidi" w:cstheme="minorBidi"/>
                <w:sz w:val="22"/>
              </w:rPr>
            </w:pPr>
            <w:r w:rsidRPr="00C808E2">
              <w:rPr>
                <w:rFonts w:asciiTheme="minorBidi" w:hAnsiTheme="minorBidi" w:cstheme="minorBidi"/>
                <w:sz w:val="22"/>
              </w:rPr>
              <w:t>Slide 9</w:t>
            </w:r>
            <w:r>
              <w:rPr>
                <w:rFonts w:asciiTheme="minorBidi" w:hAnsiTheme="minorBidi" w:cstheme="minorBidi"/>
                <w:sz w:val="22"/>
              </w:rPr>
              <w:t xml:space="preserve"> (continued)</w:t>
            </w:r>
          </w:p>
          <w:p w14:paraId="14B6C1C2" w14:textId="6469D97F" w:rsidR="00632C41" w:rsidRPr="00C808E2" w:rsidRDefault="007E61ED" w:rsidP="007F3FA2">
            <w:pPr>
              <w:pStyle w:val="SlideNumber"/>
              <w:spacing w:before="40" w:line="240" w:lineRule="auto"/>
              <w:contextualSpacing/>
              <w:rPr>
                <w:rFonts w:asciiTheme="minorBidi" w:hAnsiTheme="minorBidi" w:cstheme="minorBidi"/>
                <w:sz w:val="22"/>
              </w:rPr>
            </w:pPr>
            <w:r w:rsidRPr="007E61ED">
              <w:rPr>
                <w:rFonts w:asciiTheme="minorBidi" w:hAnsiTheme="minorBidi" w:cstheme="minorBidi"/>
                <w:noProof/>
              </w:rPr>
              <w:drawing>
                <wp:inline distT="0" distB="0" distL="0" distR="0" wp14:anchorId="4BC9D6BF" wp14:editId="19402FA9">
                  <wp:extent cx="2755392" cy="2066544"/>
                  <wp:effectExtent l="0" t="0" r="698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392" cy="206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E18" w:rsidRPr="00C808E2" w14:paraId="6CBD423F" w14:textId="77777777" w:rsidTr="000E2DEF">
        <w:trPr>
          <w:cantSplit/>
        </w:trPr>
        <w:tc>
          <w:tcPr>
            <w:tcW w:w="4795" w:type="dxa"/>
          </w:tcPr>
          <w:p w14:paraId="206F50B5" w14:textId="77777777" w:rsidR="00421E18" w:rsidRDefault="00421E18" w:rsidP="00421E18">
            <w:pPr>
              <w:pStyle w:val="SayThis"/>
            </w:pPr>
            <w:r>
              <w:lastRenderedPageBreak/>
              <w:t xml:space="preserve">SAY: </w:t>
            </w:r>
          </w:p>
          <w:p w14:paraId="7329E8B2" w14:textId="77777777" w:rsidR="00421E18" w:rsidRPr="00F40575" w:rsidRDefault="00421E18" w:rsidP="00421E18">
            <w:pPr>
              <w:pStyle w:val="BodyText1"/>
              <w:rPr>
                <w:b/>
              </w:rPr>
            </w:pPr>
            <w:r w:rsidRPr="00F40575">
              <w:t xml:space="preserve">The second consideration for Safe Medication Administration of Oxytocin is to </w:t>
            </w:r>
            <w:r w:rsidRPr="00F40575">
              <w:rPr>
                <w:i/>
              </w:rPr>
              <w:t>create independent checks</w:t>
            </w:r>
            <w:r w:rsidRPr="00F40575">
              <w:t xml:space="preserve">. </w:t>
            </w:r>
          </w:p>
          <w:p w14:paraId="29D0F086" w14:textId="77777777" w:rsidR="00421E18" w:rsidRPr="00F40575" w:rsidRDefault="00421E18" w:rsidP="00421E18">
            <w:pPr>
              <w:pStyle w:val="BodyText1"/>
              <w:rPr>
                <w:b/>
              </w:rPr>
            </w:pPr>
            <w:r w:rsidRPr="00F40575">
              <w:t xml:space="preserve">This is also a core principle from the CUSP Science of Safety </w:t>
            </w:r>
            <w:r>
              <w:t>m</w:t>
            </w:r>
            <w:r w:rsidRPr="00F40575">
              <w:t xml:space="preserve">odule. Independent checks help guarantee </w:t>
            </w:r>
            <w:r>
              <w:t xml:space="preserve">that </w:t>
            </w:r>
            <w:r w:rsidRPr="00F40575">
              <w:t xml:space="preserve">the patient receives the highest quality of care possible. Independent checks can include checklists, protocols, and briefings with other staff. L&amp;D unit staff are able to focus on patient care and have confidence that untoward events (change in patient condition, errors in dosing, etc.) will be caught by a check or team alert when </w:t>
            </w:r>
            <w:r>
              <w:t>they</w:t>
            </w:r>
            <w:r w:rsidRPr="00F40575">
              <w:t xml:space="preserve"> occur. </w:t>
            </w:r>
            <w:r>
              <w:t>For oxytocin administration, these may include</w:t>
            </w:r>
            <w:r>
              <w:rPr>
                <w:rFonts w:cs="Arial"/>
              </w:rPr>
              <w:t>—</w:t>
            </w:r>
            <w:r w:rsidRPr="00F40575">
              <w:t xml:space="preserve"> </w:t>
            </w:r>
          </w:p>
          <w:p w14:paraId="4FA801E5" w14:textId="77777777" w:rsidR="00421E18" w:rsidRPr="00F40575" w:rsidRDefault="00421E18" w:rsidP="00421E18">
            <w:pPr>
              <w:pStyle w:val="Bullet1"/>
              <w:rPr>
                <w:b/>
              </w:rPr>
            </w:pPr>
            <w:r w:rsidRPr="00F40575">
              <w:t xml:space="preserve">Assessing appropriateness of patient medication use by staff other than the ordering provider—an independent verification of indications and maternal and fetal status per unit-established standard criteria is recommended to minimize use in cases where risk may exceed benefit. </w:t>
            </w:r>
            <w:r>
              <w:t>Considerations include—</w:t>
            </w:r>
          </w:p>
          <w:p w14:paraId="7B5D9763" w14:textId="77777777" w:rsidR="00421E18" w:rsidRPr="00F40575" w:rsidRDefault="00421E18" w:rsidP="00421E18">
            <w:pPr>
              <w:pStyle w:val="Bullet2"/>
              <w:rPr>
                <w:b/>
              </w:rPr>
            </w:pPr>
            <w:r w:rsidRPr="00F40575">
              <w:t>Indications for use (e.g.</w:t>
            </w:r>
            <w:r>
              <w:t>,</w:t>
            </w:r>
            <w:r w:rsidRPr="00F40575">
              <w:t xml:space="preserve"> medical induction, labor augmentation)</w:t>
            </w:r>
            <w:r>
              <w:t>.</w:t>
            </w:r>
          </w:p>
          <w:p w14:paraId="5085B211" w14:textId="77777777" w:rsidR="00421E18" w:rsidRPr="00F40575" w:rsidRDefault="00421E18" w:rsidP="00421E18">
            <w:pPr>
              <w:pStyle w:val="Bullet2"/>
              <w:rPr>
                <w:b/>
              </w:rPr>
            </w:pPr>
            <w:r w:rsidRPr="00F40575">
              <w:t>Contraindications for use</w:t>
            </w:r>
            <w:r>
              <w:t>.</w:t>
            </w:r>
          </w:p>
          <w:p w14:paraId="6DB4B1A7" w14:textId="77777777" w:rsidR="00E22AF9" w:rsidRPr="00F40575" w:rsidRDefault="00E22AF9" w:rsidP="00E22AF9">
            <w:pPr>
              <w:pStyle w:val="Bullet2"/>
              <w:rPr>
                <w:b/>
              </w:rPr>
            </w:pPr>
            <w:r w:rsidRPr="00F40575">
              <w:t>Maternal status prior to initiation</w:t>
            </w:r>
            <w:r>
              <w:t xml:space="preserve">. For example, cervical status. </w:t>
            </w:r>
          </w:p>
          <w:p w14:paraId="73FE3D31" w14:textId="48104E7A" w:rsidR="00421E18" w:rsidRPr="00F40575" w:rsidRDefault="00E22AF9" w:rsidP="00E22AF9">
            <w:pPr>
              <w:pStyle w:val="Bullet2"/>
              <w:rPr>
                <w:b/>
              </w:rPr>
            </w:pPr>
            <w:r w:rsidRPr="00F40575">
              <w:t>Fetal status prior to initiation</w:t>
            </w:r>
            <w:r>
              <w:t>. For example, fetal presentation and station, and baseline fetal heart rate.</w:t>
            </w:r>
          </w:p>
          <w:p w14:paraId="6D01B761" w14:textId="77777777" w:rsidR="00421E18" w:rsidRDefault="00421E18" w:rsidP="00FA47C8">
            <w:pPr>
              <w:pStyle w:val="SayThis"/>
            </w:pPr>
          </w:p>
        </w:tc>
        <w:tc>
          <w:tcPr>
            <w:tcW w:w="4680" w:type="dxa"/>
            <w:gridSpan w:val="2"/>
          </w:tcPr>
          <w:p w14:paraId="365CC38C" w14:textId="77777777" w:rsidR="00421E18" w:rsidRPr="00C808E2" w:rsidRDefault="00421E18" w:rsidP="00421E18">
            <w:pPr>
              <w:pStyle w:val="SlideNumber"/>
              <w:spacing w:before="40" w:line="240" w:lineRule="auto"/>
              <w:contextualSpacing/>
              <w:rPr>
                <w:rFonts w:asciiTheme="minorBidi" w:hAnsiTheme="minorBidi" w:cstheme="minorBidi"/>
                <w:sz w:val="22"/>
              </w:rPr>
            </w:pPr>
            <w:r w:rsidRPr="00C808E2">
              <w:rPr>
                <w:rFonts w:asciiTheme="minorBidi" w:hAnsiTheme="minorBidi" w:cstheme="minorBidi"/>
                <w:sz w:val="22"/>
              </w:rPr>
              <w:t>Slide 10</w:t>
            </w:r>
          </w:p>
          <w:p w14:paraId="75E4FCA5" w14:textId="4E59DA0C" w:rsidR="00421E18" w:rsidRPr="00C808E2" w:rsidRDefault="007E61ED" w:rsidP="00421E18">
            <w:pPr>
              <w:pStyle w:val="SlideNumber"/>
              <w:spacing w:before="40" w:line="240" w:lineRule="auto"/>
              <w:contextualSpacing/>
              <w:rPr>
                <w:rFonts w:asciiTheme="minorBidi" w:hAnsiTheme="minorBidi" w:cstheme="minorBidi"/>
                <w:sz w:val="22"/>
              </w:rPr>
            </w:pPr>
            <w:r w:rsidRPr="007E61ED">
              <w:rPr>
                <w:rFonts w:asciiTheme="minorBidi" w:hAnsiTheme="minorBidi" w:cstheme="minorBidi"/>
                <w:noProof/>
                <w:sz w:val="22"/>
              </w:rPr>
              <w:drawing>
                <wp:inline distT="0" distB="0" distL="0" distR="0" wp14:anchorId="680ECB4F" wp14:editId="013EA1DF">
                  <wp:extent cx="2755392" cy="2066544"/>
                  <wp:effectExtent l="0" t="0" r="698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392" cy="206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E18" w:rsidRPr="00C808E2" w14:paraId="139A48B1" w14:textId="77777777" w:rsidTr="00421E18">
        <w:trPr>
          <w:cantSplit/>
        </w:trPr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C8B9" w14:textId="77777777" w:rsidR="00421E18" w:rsidRDefault="00421E18" w:rsidP="008A23F4">
            <w:pPr>
              <w:pStyle w:val="SayThis"/>
            </w:pPr>
            <w:r>
              <w:lastRenderedPageBreak/>
              <w:t xml:space="preserve">SAY: </w:t>
            </w:r>
          </w:p>
          <w:p w14:paraId="650D4C34" w14:textId="77777777" w:rsidR="00421E18" w:rsidRPr="00421E18" w:rsidRDefault="00421E18" w:rsidP="008A23F4">
            <w:pPr>
              <w:pStyle w:val="Bullet1"/>
              <w:rPr>
                <w:rFonts w:ascii="Arial" w:hAnsi="Arial" w:cs="Arial"/>
                <w:bCs w:val="0"/>
                <w:szCs w:val="24"/>
              </w:rPr>
            </w:pPr>
            <w:r w:rsidRPr="00421E18">
              <w:rPr>
                <w:rFonts w:ascii="Arial" w:hAnsi="Arial" w:cs="Arial"/>
                <w:bCs w:val="0"/>
                <w:szCs w:val="24"/>
              </w:rPr>
              <w:t>Maternal and fetal monitoring using uniform parameters at regular intervals.</w:t>
            </w:r>
          </w:p>
          <w:p w14:paraId="4A314F6A" w14:textId="77777777" w:rsidR="00421E18" w:rsidRPr="00421E18" w:rsidRDefault="00421E18" w:rsidP="008A23F4">
            <w:pPr>
              <w:pStyle w:val="Bullet1"/>
              <w:rPr>
                <w:rFonts w:ascii="Arial" w:hAnsi="Arial" w:cs="Arial"/>
                <w:bCs w:val="0"/>
                <w:szCs w:val="24"/>
              </w:rPr>
            </w:pPr>
            <w:r w:rsidRPr="00421E18">
              <w:rPr>
                <w:rFonts w:ascii="Arial" w:hAnsi="Arial" w:cs="Arial"/>
                <w:bCs w:val="0"/>
                <w:szCs w:val="24"/>
              </w:rPr>
              <w:t>Maternal and fetal parameters for provider notification.</w:t>
            </w:r>
          </w:p>
          <w:p w14:paraId="60C07E42" w14:textId="77777777" w:rsidR="00421E18" w:rsidRPr="00421E18" w:rsidRDefault="00421E18" w:rsidP="008A23F4">
            <w:pPr>
              <w:pStyle w:val="Bullet1"/>
              <w:rPr>
                <w:rFonts w:ascii="Arial" w:hAnsi="Arial" w:cs="Arial"/>
                <w:b/>
                <w:szCs w:val="24"/>
              </w:rPr>
            </w:pPr>
            <w:r w:rsidRPr="00421E18">
              <w:rPr>
                <w:rFonts w:ascii="Arial" w:hAnsi="Arial" w:cs="Arial"/>
                <w:bCs w:val="0"/>
                <w:szCs w:val="24"/>
              </w:rPr>
              <w:t>Standing orders for nurses to respond to tachysystole and for reducing, stopping, and restarting oxytocin infusion.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88144" w14:textId="5A40E2CE" w:rsidR="00421E18" w:rsidRPr="00C808E2" w:rsidRDefault="00421E18" w:rsidP="008A23F4">
            <w:pPr>
              <w:pStyle w:val="SlideNumber"/>
              <w:spacing w:before="40" w:line="240" w:lineRule="auto"/>
              <w:contextualSpacing/>
              <w:rPr>
                <w:rFonts w:asciiTheme="minorBidi" w:hAnsiTheme="minorBidi" w:cstheme="minorBidi"/>
                <w:sz w:val="22"/>
              </w:rPr>
            </w:pPr>
            <w:r w:rsidRPr="00C808E2">
              <w:rPr>
                <w:rFonts w:asciiTheme="minorBidi" w:hAnsiTheme="minorBidi" w:cstheme="minorBidi"/>
                <w:sz w:val="22"/>
              </w:rPr>
              <w:t>Slide 10</w:t>
            </w:r>
            <w:r w:rsidR="00EB1AA5">
              <w:rPr>
                <w:rFonts w:asciiTheme="minorBidi" w:hAnsiTheme="minorBidi" w:cstheme="minorBidi"/>
                <w:sz w:val="22"/>
              </w:rPr>
              <w:t xml:space="preserve"> (continued)</w:t>
            </w:r>
          </w:p>
          <w:p w14:paraId="6843FEFE" w14:textId="77777777" w:rsidR="00421E18" w:rsidRPr="00421E18" w:rsidRDefault="00421E18" w:rsidP="00421E18">
            <w:pPr>
              <w:pStyle w:val="SlideNumber"/>
              <w:spacing w:before="40"/>
              <w:contextualSpacing/>
              <w:rPr>
                <w:rFonts w:asciiTheme="minorBidi" w:hAnsiTheme="minorBidi" w:cstheme="minorBidi"/>
                <w:sz w:val="22"/>
              </w:rPr>
            </w:pPr>
          </w:p>
        </w:tc>
      </w:tr>
      <w:tr w:rsidR="00CE11CE" w:rsidRPr="00C808E2" w14:paraId="32D06451" w14:textId="77777777" w:rsidTr="00073F3E">
        <w:tc>
          <w:tcPr>
            <w:tcW w:w="4795" w:type="dxa"/>
          </w:tcPr>
          <w:p w14:paraId="0D9F6C29" w14:textId="77777777" w:rsidR="00CE11CE" w:rsidRPr="000C759E" w:rsidRDefault="002962DA" w:rsidP="00D106E4">
            <w:pPr>
              <w:pStyle w:val="SayThis"/>
              <w:rPr>
                <w:b w:val="0"/>
                <w:color w:val="auto"/>
              </w:rPr>
            </w:pPr>
            <w:r w:rsidRPr="000C759E">
              <w:rPr>
                <w:color w:val="auto"/>
              </w:rPr>
              <w:t>SAY:</w:t>
            </w:r>
          </w:p>
          <w:p w14:paraId="380514BF" w14:textId="77777777" w:rsidR="002962DA" w:rsidRPr="000C759E" w:rsidRDefault="002962DA" w:rsidP="000C759E">
            <w:pPr>
              <w:pStyle w:val="BodyText1"/>
              <w:spacing w:after="0"/>
              <w:rPr>
                <w:b/>
              </w:rPr>
            </w:pPr>
            <w:r w:rsidRPr="000C759E">
              <w:t xml:space="preserve">The third </w:t>
            </w:r>
            <w:r w:rsidR="00B57025" w:rsidRPr="000C759E">
              <w:t xml:space="preserve">consideration for </w:t>
            </w:r>
            <w:r w:rsidRPr="000C759E">
              <w:t xml:space="preserve">Safe Medication Administration of Oxytocin is to </w:t>
            </w:r>
            <w:r w:rsidR="00622F9D" w:rsidRPr="000C759E">
              <w:rPr>
                <w:i/>
              </w:rPr>
              <w:t xml:space="preserve">learn </w:t>
            </w:r>
            <w:r w:rsidRPr="000C759E">
              <w:rPr>
                <w:i/>
              </w:rPr>
              <w:t xml:space="preserve">from </w:t>
            </w:r>
            <w:r w:rsidR="00622F9D" w:rsidRPr="000C759E">
              <w:rPr>
                <w:i/>
              </w:rPr>
              <w:t>defects</w:t>
            </w:r>
            <w:r w:rsidRPr="000C759E">
              <w:rPr>
                <w:i/>
              </w:rPr>
              <w:t>.</w:t>
            </w:r>
          </w:p>
          <w:p w14:paraId="61728AD0" w14:textId="431CEECA" w:rsidR="002962DA" w:rsidRPr="000C759E" w:rsidRDefault="002962DA" w:rsidP="000C759E">
            <w:pPr>
              <w:pStyle w:val="BodyText1"/>
              <w:spacing w:after="0"/>
              <w:rPr>
                <w:b/>
              </w:rPr>
            </w:pPr>
            <w:r w:rsidRPr="000C759E">
              <w:t xml:space="preserve">The key </w:t>
            </w:r>
            <w:r w:rsidR="00B57025" w:rsidRPr="000C759E">
              <w:t>safety elements</w:t>
            </w:r>
            <w:r w:rsidRPr="000C759E">
              <w:t xml:space="preserve"> </w:t>
            </w:r>
            <w:r w:rsidR="00764609" w:rsidRPr="000C759E">
              <w:t xml:space="preserve">related to learning from defects </w:t>
            </w:r>
            <w:r w:rsidR="007F3951" w:rsidRPr="000C759E">
              <w:t xml:space="preserve">for oxytocin administration </w:t>
            </w:r>
            <w:r w:rsidR="000C759E" w:rsidRPr="000C759E">
              <w:t>include</w:t>
            </w:r>
            <w:r w:rsidR="000C759E" w:rsidRPr="000C759E">
              <w:rPr>
                <w:rFonts w:cs="Arial"/>
              </w:rPr>
              <w:t>—</w:t>
            </w:r>
          </w:p>
          <w:p w14:paraId="0244393D" w14:textId="77777777" w:rsidR="002962DA" w:rsidRPr="000C759E" w:rsidRDefault="00B57025" w:rsidP="00FA47C8">
            <w:pPr>
              <w:pStyle w:val="Bullet1"/>
              <w:rPr>
                <w:b/>
                <w:color w:val="auto"/>
              </w:rPr>
            </w:pPr>
            <w:r w:rsidRPr="000C759E">
              <w:rPr>
                <w:color w:val="auto"/>
              </w:rPr>
              <w:t>Debrief</w:t>
            </w:r>
            <w:r w:rsidR="002962DA" w:rsidRPr="000C759E">
              <w:rPr>
                <w:color w:val="auto"/>
              </w:rPr>
              <w:t>ing and analyzing near misses and adverse events related to oxytocin use</w:t>
            </w:r>
          </w:p>
          <w:p w14:paraId="0E548D50" w14:textId="77777777" w:rsidR="002245BC" w:rsidRPr="000C759E" w:rsidRDefault="002245BC" w:rsidP="00FA47C8">
            <w:pPr>
              <w:pStyle w:val="Bullet1"/>
              <w:rPr>
                <w:b/>
                <w:color w:val="auto"/>
              </w:rPr>
            </w:pPr>
            <w:r w:rsidRPr="000C759E">
              <w:rPr>
                <w:color w:val="auto"/>
              </w:rPr>
              <w:t xml:space="preserve">Having a process in place to review inductions </w:t>
            </w:r>
            <w:r w:rsidR="00E2791E" w:rsidRPr="000C759E">
              <w:rPr>
                <w:color w:val="auto"/>
              </w:rPr>
              <w:t xml:space="preserve">that occur </w:t>
            </w:r>
            <w:r w:rsidRPr="000C759E">
              <w:rPr>
                <w:color w:val="auto"/>
              </w:rPr>
              <w:t xml:space="preserve">outside of </w:t>
            </w:r>
            <w:r w:rsidR="009D4BA1" w:rsidRPr="000C759E">
              <w:rPr>
                <w:color w:val="auto"/>
              </w:rPr>
              <w:t>policy-defined</w:t>
            </w:r>
            <w:r w:rsidRPr="000C759E">
              <w:rPr>
                <w:color w:val="auto"/>
              </w:rPr>
              <w:t xml:space="preserve"> indications. Each unit can decide its approach to reviewing </w:t>
            </w:r>
            <w:r w:rsidR="00E2791E" w:rsidRPr="000C759E">
              <w:rPr>
                <w:color w:val="auto"/>
              </w:rPr>
              <w:t xml:space="preserve">these </w:t>
            </w:r>
            <w:r w:rsidRPr="000C759E">
              <w:rPr>
                <w:color w:val="auto"/>
              </w:rPr>
              <w:t>cases</w:t>
            </w:r>
            <w:r w:rsidR="00E2791E" w:rsidRPr="000C759E">
              <w:rPr>
                <w:color w:val="auto"/>
              </w:rPr>
              <w:t>.</w:t>
            </w:r>
            <w:r w:rsidRPr="000C759E">
              <w:rPr>
                <w:color w:val="auto"/>
              </w:rPr>
              <w:t xml:space="preserve"> </w:t>
            </w:r>
            <w:r w:rsidR="00E2791E" w:rsidRPr="000C759E">
              <w:rPr>
                <w:color w:val="auto"/>
              </w:rPr>
              <w:t>T</w:t>
            </w:r>
            <w:r w:rsidRPr="000C759E">
              <w:rPr>
                <w:color w:val="auto"/>
              </w:rPr>
              <w:t xml:space="preserve">his might </w:t>
            </w:r>
            <w:r w:rsidR="00E2791E" w:rsidRPr="000C759E">
              <w:rPr>
                <w:color w:val="auto"/>
              </w:rPr>
              <w:t>incorporate</w:t>
            </w:r>
            <w:r w:rsidRPr="000C759E">
              <w:rPr>
                <w:color w:val="auto"/>
              </w:rPr>
              <w:t xml:space="preserve"> an existing medical peer</w:t>
            </w:r>
            <w:r w:rsidR="00576167" w:rsidRPr="000C759E">
              <w:rPr>
                <w:color w:val="auto"/>
              </w:rPr>
              <w:t>-</w:t>
            </w:r>
            <w:r w:rsidRPr="000C759E">
              <w:rPr>
                <w:color w:val="auto"/>
              </w:rPr>
              <w:t>review process or review by a perinatal safety or quality committee.</w:t>
            </w:r>
          </w:p>
          <w:p w14:paraId="5CBDF9B9" w14:textId="77777777" w:rsidR="002245BC" w:rsidRPr="000C759E" w:rsidRDefault="002245BC" w:rsidP="00FA47C8">
            <w:pPr>
              <w:pStyle w:val="Bullet1"/>
              <w:rPr>
                <w:b/>
                <w:color w:val="auto"/>
              </w:rPr>
            </w:pPr>
            <w:r w:rsidRPr="000C759E">
              <w:rPr>
                <w:color w:val="auto"/>
              </w:rPr>
              <w:t xml:space="preserve">Having a process in place to review severe maternal or neonatal morbidity and mortality events. Each unit can decide its approach to reviewing </w:t>
            </w:r>
            <w:r w:rsidR="00E2791E" w:rsidRPr="000C759E">
              <w:rPr>
                <w:color w:val="auto"/>
              </w:rPr>
              <w:t xml:space="preserve">these </w:t>
            </w:r>
            <w:r w:rsidRPr="000C759E">
              <w:rPr>
                <w:color w:val="auto"/>
              </w:rPr>
              <w:t>cases.</w:t>
            </w:r>
            <w:r w:rsidR="00A438BE" w:rsidRPr="000C759E">
              <w:rPr>
                <w:color w:val="auto"/>
              </w:rPr>
              <w:t xml:space="preserve"> </w:t>
            </w:r>
            <w:r w:rsidR="006E6531" w:rsidRPr="000C759E">
              <w:rPr>
                <w:color w:val="auto"/>
              </w:rPr>
              <w:t>A resource for a sample process and review forms are available in the tool that accompanies this presentation.</w:t>
            </w:r>
          </w:p>
          <w:p w14:paraId="5E00B667" w14:textId="77777777" w:rsidR="002962DA" w:rsidRPr="007E61ED" w:rsidRDefault="00102314" w:rsidP="00FA47C8">
            <w:pPr>
              <w:pStyle w:val="Bullet1"/>
              <w:rPr>
                <w:b/>
                <w:color w:val="auto"/>
              </w:rPr>
            </w:pPr>
            <w:r w:rsidRPr="000C759E">
              <w:rPr>
                <w:color w:val="auto"/>
              </w:rPr>
              <w:t>Share outcomes of process improvement from informal and formal analysis with staff to achieve transparency and organizational learning</w:t>
            </w:r>
            <w:r w:rsidR="00576167" w:rsidRPr="000C759E">
              <w:rPr>
                <w:color w:val="auto"/>
              </w:rPr>
              <w:t>.</w:t>
            </w:r>
          </w:p>
          <w:p w14:paraId="7F221FDF" w14:textId="77777777" w:rsidR="007E61ED" w:rsidRPr="000C759E" w:rsidRDefault="007E61ED" w:rsidP="007E61ED">
            <w:pPr>
              <w:pStyle w:val="Bullet1"/>
              <w:numPr>
                <w:ilvl w:val="0"/>
                <w:numId w:val="0"/>
              </w:numPr>
              <w:ind w:left="547"/>
              <w:rPr>
                <w:b/>
                <w:color w:val="auto"/>
              </w:rPr>
            </w:pPr>
          </w:p>
        </w:tc>
        <w:tc>
          <w:tcPr>
            <w:tcW w:w="4680" w:type="dxa"/>
            <w:gridSpan w:val="2"/>
          </w:tcPr>
          <w:p w14:paraId="5B2D9CE7" w14:textId="77777777" w:rsidR="00CE11CE" w:rsidRPr="00C808E2" w:rsidRDefault="00CE11CE" w:rsidP="007F3FA2">
            <w:pPr>
              <w:pStyle w:val="SlideNumber"/>
              <w:spacing w:before="40" w:line="240" w:lineRule="auto"/>
              <w:contextualSpacing/>
              <w:rPr>
                <w:rFonts w:asciiTheme="minorBidi" w:hAnsiTheme="minorBidi" w:cstheme="minorBidi"/>
                <w:sz w:val="22"/>
              </w:rPr>
            </w:pPr>
            <w:r w:rsidRPr="00C808E2">
              <w:rPr>
                <w:rFonts w:asciiTheme="minorBidi" w:hAnsiTheme="minorBidi" w:cstheme="minorBidi"/>
                <w:sz w:val="22"/>
              </w:rPr>
              <w:t>Slid</w:t>
            </w:r>
            <w:r w:rsidRPr="00C808E2">
              <w:rPr>
                <w:rFonts w:asciiTheme="minorBidi" w:hAnsiTheme="minorBidi" w:cstheme="minorBidi"/>
                <w:i w:val="0"/>
                <w:sz w:val="22"/>
              </w:rPr>
              <w:t xml:space="preserve">e </w:t>
            </w:r>
            <w:r w:rsidRPr="00C808E2">
              <w:rPr>
                <w:rFonts w:asciiTheme="minorBidi" w:hAnsiTheme="minorBidi" w:cstheme="minorBidi"/>
                <w:sz w:val="22"/>
              </w:rPr>
              <w:t>11</w:t>
            </w:r>
          </w:p>
          <w:p w14:paraId="7FE94386" w14:textId="6CE1C09B" w:rsidR="00CE11CE" w:rsidRPr="00C808E2" w:rsidRDefault="007E61ED" w:rsidP="007806AE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7E61ED">
              <w:rPr>
                <w:rFonts w:asciiTheme="minorBidi" w:hAnsiTheme="minorBidi" w:cstheme="minorBidi"/>
                <w:noProof/>
              </w:rPr>
              <w:drawing>
                <wp:inline distT="0" distB="0" distL="0" distR="0" wp14:anchorId="2BA6EC80" wp14:editId="74D436A4">
                  <wp:extent cx="2755392" cy="2066544"/>
                  <wp:effectExtent l="0" t="0" r="698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392" cy="206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1CE" w:rsidRPr="00C808E2" w14:paraId="100D9A93" w14:textId="77777777" w:rsidTr="00073F3E">
        <w:tc>
          <w:tcPr>
            <w:tcW w:w="4795" w:type="dxa"/>
          </w:tcPr>
          <w:p w14:paraId="7FA53BFB" w14:textId="77777777" w:rsidR="00CE11CE" w:rsidRPr="00672C44" w:rsidRDefault="002245BC" w:rsidP="00FA47C8">
            <w:pPr>
              <w:pStyle w:val="SayThis"/>
            </w:pPr>
            <w:r w:rsidRPr="00672C44">
              <w:lastRenderedPageBreak/>
              <w:t>SAY:</w:t>
            </w:r>
          </w:p>
          <w:p w14:paraId="00FB141C" w14:textId="77777777" w:rsidR="002245BC" w:rsidRPr="00672C44" w:rsidRDefault="002245BC" w:rsidP="00D106E4">
            <w:pPr>
              <w:pStyle w:val="BodyText1"/>
              <w:rPr>
                <w:b/>
              </w:rPr>
            </w:pPr>
            <w:r w:rsidRPr="00672C44">
              <w:t xml:space="preserve">The fourth </w:t>
            </w:r>
            <w:r w:rsidR="00E2791E" w:rsidRPr="00672C44">
              <w:t>consideration for</w:t>
            </w:r>
            <w:r w:rsidRPr="00672C44">
              <w:t xml:space="preserve"> Safe Medication Administration of Oxytocin is </w:t>
            </w:r>
            <w:r w:rsidR="00576167">
              <w:rPr>
                <w:i/>
              </w:rPr>
              <w:t>s</w:t>
            </w:r>
            <w:r w:rsidR="00576167" w:rsidRPr="00672C44">
              <w:rPr>
                <w:i/>
              </w:rPr>
              <w:t>imulation</w:t>
            </w:r>
            <w:r w:rsidR="00D059A4" w:rsidRPr="00672C44">
              <w:rPr>
                <w:i/>
              </w:rPr>
              <w:t>.</w:t>
            </w:r>
          </w:p>
          <w:p w14:paraId="3B3F1677" w14:textId="77777777" w:rsidR="00102314" w:rsidRPr="00672C44" w:rsidRDefault="00102314" w:rsidP="00D106E4">
            <w:pPr>
              <w:pStyle w:val="BodyText1"/>
              <w:rPr>
                <w:b/>
              </w:rPr>
            </w:pPr>
            <w:r w:rsidRPr="00672C44">
              <w:t>Team</w:t>
            </w:r>
            <w:r w:rsidR="009D4BA1" w:rsidRPr="00672C44">
              <w:t xml:space="preserve">-based </w:t>
            </w:r>
            <w:r w:rsidR="009D4BA1" w:rsidRPr="00C60834">
              <w:t>in situ</w:t>
            </w:r>
            <w:r w:rsidRPr="00672C44">
              <w:t xml:space="preserve"> simulation can improve knowledge, practical skills, communication, and team performance in acute situations.</w:t>
            </w:r>
          </w:p>
          <w:p w14:paraId="7E4DB815" w14:textId="77777777" w:rsidR="00102314" w:rsidRPr="00672C44" w:rsidRDefault="00102314" w:rsidP="00D106E4">
            <w:pPr>
              <w:pStyle w:val="BodyText1"/>
              <w:rPr>
                <w:b/>
              </w:rPr>
            </w:pPr>
            <w:r w:rsidRPr="00672C44">
              <w:t xml:space="preserve">A sample scenario related to </w:t>
            </w:r>
            <w:r w:rsidRPr="00C60834">
              <w:rPr>
                <w:iCs/>
              </w:rPr>
              <w:t xml:space="preserve">uterine tachysystole </w:t>
            </w:r>
            <w:r w:rsidRPr="00672C44">
              <w:t>is available through the SPPC to train teams on some of the key safety elements related to oxytocin use. This scenario reinforces teamwork and communication related to</w:t>
            </w:r>
            <w:r w:rsidR="008B564A">
              <w:rPr>
                <w:rFonts w:cs="Arial"/>
              </w:rPr>
              <w:t>—</w:t>
            </w:r>
          </w:p>
          <w:p w14:paraId="069BF5AB" w14:textId="77777777" w:rsidR="00102314" w:rsidRPr="00672C44" w:rsidRDefault="00102314" w:rsidP="00D106E4">
            <w:pPr>
              <w:pStyle w:val="Bullet1"/>
              <w:rPr>
                <w:b/>
              </w:rPr>
            </w:pPr>
            <w:r w:rsidRPr="00672C44">
              <w:t>situational awareness</w:t>
            </w:r>
            <w:r w:rsidR="00576167">
              <w:t>,</w:t>
            </w:r>
          </w:p>
          <w:p w14:paraId="282C544D" w14:textId="77777777" w:rsidR="00102314" w:rsidRPr="00672C44" w:rsidRDefault="00102314" w:rsidP="00D106E4">
            <w:pPr>
              <w:pStyle w:val="Bullet1"/>
              <w:rPr>
                <w:b/>
              </w:rPr>
            </w:pPr>
            <w:r w:rsidRPr="00672C44">
              <w:t>parameters for monitoring and provider notification</w:t>
            </w:r>
            <w:r w:rsidR="00576167">
              <w:t>,</w:t>
            </w:r>
          </w:p>
          <w:p w14:paraId="47AAC3C5" w14:textId="77777777" w:rsidR="00102314" w:rsidRPr="00672C44" w:rsidRDefault="00102314" w:rsidP="00D106E4">
            <w:pPr>
              <w:pStyle w:val="Bullet1"/>
              <w:rPr>
                <w:b/>
              </w:rPr>
            </w:pPr>
            <w:r w:rsidRPr="00672C44">
              <w:t>timely use of standing orders for managing tachysystole</w:t>
            </w:r>
            <w:r w:rsidR="00576167">
              <w:t>,</w:t>
            </w:r>
          </w:p>
          <w:p w14:paraId="7D254670" w14:textId="77777777" w:rsidR="00102314" w:rsidRPr="00672C44" w:rsidRDefault="00102314" w:rsidP="00D106E4">
            <w:pPr>
              <w:pStyle w:val="Bullet1"/>
              <w:rPr>
                <w:b/>
              </w:rPr>
            </w:pPr>
            <w:r w:rsidRPr="00672C44">
              <w:t>communication with rapid responders</w:t>
            </w:r>
            <w:r w:rsidR="00576167">
              <w:t>, and</w:t>
            </w:r>
          </w:p>
          <w:p w14:paraId="1A0C29C8" w14:textId="77777777" w:rsidR="002245BC" w:rsidRPr="00331A84" w:rsidRDefault="00576167" w:rsidP="00D106E4">
            <w:pPr>
              <w:pStyle w:val="Bullet1"/>
              <w:rPr>
                <w:b/>
              </w:rPr>
            </w:pPr>
            <w:r w:rsidRPr="00672C44">
              <w:t>communicati</w:t>
            </w:r>
            <w:r>
              <w:t>on</w:t>
            </w:r>
            <w:r w:rsidRPr="00672C44">
              <w:t xml:space="preserve"> </w:t>
            </w:r>
            <w:r w:rsidR="00102314" w:rsidRPr="00672C44">
              <w:t>with patient/family</w:t>
            </w:r>
            <w:r>
              <w:t>.</w:t>
            </w:r>
            <w:r w:rsidR="00102314" w:rsidRPr="00672C44">
              <w:t xml:space="preserve"> </w:t>
            </w:r>
          </w:p>
        </w:tc>
        <w:tc>
          <w:tcPr>
            <w:tcW w:w="4680" w:type="dxa"/>
            <w:gridSpan w:val="2"/>
          </w:tcPr>
          <w:p w14:paraId="5FAB9121" w14:textId="77777777" w:rsidR="00CE11CE" w:rsidRPr="00C808E2" w:rsidRDefault="00CE11CE" w:rsidP="007F3FA2">
            <w:pPr>
              <w:pStyle w:val="SlideNumber"/>
              <w:spacing w:before="40" w:line="240" w:lineRule="auto"/>
              <w:contextualSpacing/>
              <w:rPr>
                <w:rFonts w:asciiTheme="minorBidi" w:hAnsiTheme="minorBidi" w:cstheme="minorBidi"/>
                <w:sz w:val="22"/>
              </w:rPr>
            </w:pPr>
            <w:r w:rsidRPr="00C808E2">
              <w:rPr>
                <w:rFonts w:asciiTheme="minorBidi" w:hAnsiTheme="minorBidi" w:cstheme="minorBidi"/>
                <w:sz w:val="22"/>
              </w:rPr>
              <w:t>Slide 12</w:t>
            </w:r>
          </w:p>
          <w:p w14:paraId="53EB9706" w14:textId="4527680B" w:rsidR="00CE11CE" w:rsidRPr="00C808E2" w:rsidRDefault="007E61ED" w:rsidP="007806AE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7E61ED">
              <w:rPr>
                <w:rFonts w:asciiTheme="minorBidi" w:hAnsiTheme="minorBidi" w:cstheme="minorBidi"/>
                <w:noProof/>
              </w:rPr>
              <w:drawing>
                <wp:inline distT="0" distB="0" distL="0" distR="0" wp14:anchorId="13CF3C26" wp14:editId="1E31D0D9">
                  <wp:extent cx="2755392" cy="2066544"/>
                  <wp:effectExtent l="0" t="0" r="698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392" cy="206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EFA143" w14:textId="77777777" w:rsidR="0025628C" w:rsidRDefault="0025628C"/>
    <w:p w14:paraId="280A7975" w14:textId="77777777" w:rsidR="0025628C" w:rsidRDefault="0025628C">
      <w:pPr>
        <w:spacing w:after="0" w:line="240" w:lineRule="auto"/>
      </w:pPr>
      <w:r>
        <w:br w:type="page"/>
      </w:r>
    </w:p>
    <w:tbl>
      <w:tblPr>
        <w:tblW w:w="9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795"/>
        <w:gridCol w:w="4680"/>
      </w:tblGrid>
      <w:tr w:rsidR="00CE11CE" w:rsidRPr="00C808E2" w14:paraId="487A7F89" w14:textId="77777777" w:rsidTr="00073F3E">
        <w:tc>
          <w:tcPr>
            <w:tcW w:w="4795" w:type="dxa"/>
          </w:tcPr>
          <w:p w14:paraId="15A1F240" w14:textId="77777777" w:rsidR="00E22AF9" w:rsidRPr="009D4BA1" w:rsidRDefault="00E22AF9" w:rsidP="00E22AF9">
            <w:pPr>
              <w:pStyle w:val="SayThis"/>
            </w:pPr>
            <w:r w:rsidRPr="009D4BA1">
              <w:lastRenderedPageBreak/>
              <w:t>SAY:</w:t>
            </w:r>
          </w:p>
          <w:p w14:paraId="682CB46F" w14:textId="77777777" w:rsidR="002245BC" w:rsidRPr="009D4BA1" w:rsidRDefault="002245BC" w:rsidP="00D106E4">
            <w:pPr>
              <w:pStyle w:val="BodyText1"/>
              <w:rPr>
                <w:b/>
              </w:rPr>
            </w:pPr>
            <w:r w:rsidRPr="009D4BA1">
              <w:t xml:space="preserve">The fifth </w:t>
            </w:r>
            <w:r w:rsidR="00E2791E" w:rsidRPr="009D4BA1">
              <w:t>consideration for</w:t>
            </w:r>
            <w:r w:rsidRPr="009D4BA1">
              <w:t xml:space="preserve"> Safe Medication Administration of Oxytocin is </w:t>
            </w:r>
            <w:r w:rsidR="00576167">
              <w:rPr>
                <w:i/>
              </w:rPr>
              <w:t>t</w:t>
            </w:r>
            <w:r w:rsidR="00576167" w:rsidRPr="009D4BA1">
              <w:rPr>
                <w:i/>
              </w:rPr>
              <w:t xml:space="preserve">eamwork </w:t>
            </w:r>
            <w:r w:rsidR="00576167">
              <w:rPr>
                <w:i/>
              </w:rPr>
              <w:t>t</w:t>
            </w:r>
            <w:r w:rsidR="00576167" w:rsidRPr="009D4BA1">
              <w:rPr>
                <w:i/>
              </w:rPr>
              <w:t>raining</w:t>
            </w:r>
            <w:r w:rsidRPr="009D4BA1">
              <w:t xml:space="preserve">. </w:t>
            </w:r>
          </w:p>
          <w:p w14:paraId="1612FD17" w14:textId="77777777" w:rsidR="002245BC" w:rsidRPr="009D4BA1" w:rsidRDefault="002245BC" w:rsidP="00D106E4">
            <w:pPr>
              <w:pStyle w:val="BodyText1"/>
              <w:rPr>
                <w:b/>
              </w:rPr>
            </w:pPr>
            <w:r w:rsidRPr="009D4BA1">
              <w:t>This aspect of perinatal safety calls for L&amp;D unit</w:t>
            </w:r>
            <w:r w:rsidR="00E2791E" w:rsidRPr="009D4BA1">
              <w:t>s</w:t>
            </w:r>
            <w:r w:rsidRPr="009D4BA1">
              <w:t xml:space="preserve"> to </w:t>
            </w:r>
            <w:r w:rsidR="009D4BA1" w:rsidRPr="009D4BA1">
              <w:t>foster a culture of teamwork and communication to promote effective teamwork</w:t>
            </w:r>
            <w:r w:rsidRPr="009D4BA1">
              <w:t xml:space="preserve">. </w:t>
            </w:r>
            <w:r w:rsidR="009D4BA1" w:rsidRPr="009D4BA1">
              <w:t>TeamSTEPPS</w:t>
            </w:r>
            <w:r w:rsidR="009D4BA1" w:rsidRPr="009D4BA1">
              <w:rPr>
                <w:vertAlign w:val="superscript"/>
              </w:rPr>
              <w:t xml:space="preserve">® </w:t>
            </w:r>
            <w:r w:rsidR="009D4BA1" w:rsidRPr="009D4BA1">
              <w:t>teamwork training offers several useful communication techniques applicable to the use of oxytocin.</w:t>
            </w:r>
          </w:p>
          <w:p w14:paraId="71840B02" w14:textId="77777777" w:rsidR="002245BC" w:rsidRPr="009D4BA1" w:rsidRDefault="009D4BA1" w:rsidP="00D106E4">
            <w:pPr>
              <w:pStyle w:val="BodyText1"/>
              <w:rPr>
                <w:b/>
              </w:rPr>
            </w:pPr>
            <w:r>
              <w:t>These include</w:t>
            </w:r>
            <w:r w:rsidR="00576167">
              <w:t xml:space="preserve"> the following</w:t>
            </w:r>
            <w:r>
              <w:t>:</w:t>
            </w:r>
            <w:r w:rsidR="002245BC" w:rsidRPr="009D4BA1">
              <w:t xml:space="preserve"> </w:t>
            </w:r>
          </w:p>
          <w:p w14:paraId="71A739A5" w14:textId="77777777" w:rsidR="00D74F8B" w:rsidRPr="00D74F8B" w:rsidRDefault="002245BC" w:rsidP="00D74F8B">
            <w:pPr>
              <w:pStyle w:val="Bullet1"/>
              <w:rPr>
                <w:b/>
              </w:rPr>
            </w:pPr>
            <w:r w:rsidRPr="009D4BA1">
              <w:t>Communication between unit staff and admitting providers concerning admission for inductions outside of the unit’s defined criteria for induction.</w:t>
            </w:r>
            <w:r w:rsidR="009D4BA1" w:rsidRPr="009D4BA1">
              <w:t xml:space="preserve"> These techniques provide staff with the language and skills to “speak up” and have a “just in time” crucial conversation.</w:t>
            </w:r>
          </w:p>
        </w:tc>
        <w:tc>
          <w:tcPr>
            <w:tcW w:w="4680" w:type="dxa"/>
          </w:tcPr>
          <w:p w14:paraId="375B5AC4" w14:textId="77777777" w:rsidR="00CE11CE" w:rsidRPr="00C808E2" w:rsidRDefault="00CE11CE" w:rsidP="007F3FA2">
            <w:pPr>
              <w:pStyle w:val="SlideNumber"/>
              <w:spacing w:before="40" w:line="240" w:lineRule="auto"/>
              <w:contextualSpacing/>
              <w:rPr>
                <w:rFonts w:asciiTheme="minorBidi" w:hAnsiTheme="minorBidi" w:cstheme="minorBidi"/>
                <w:sz w:val="22"/>
              </w:rPr>
            </w:pPr>
            <w:r w:rsidRPr="00C808E2">
              <w:rPr>
                <w:rFonts w:asciiTheme="minorBidi" w:hAnsiTheme="minorBidi" w:cstheme="minorBidi"/>
                <w:sz w:val="22"/>
              </w:rPr>
              <w:t>Slide 13</w:t>
            </w:r>
          </w:p>
          <w:p w14:paraId="46B5D35D" w14:textId="70B00127" w:rsidR="00CE11CE" w:rsidRPr="00C808E2" w:rsidRDefault="007E61ED" w:rsidP="007806AE">
            <w:pPr>
              <w:spacing w:line="240" w:lineRule="auto"/>
              <w:jc w:val="center"/>
              <w:rPr>
                <w:rFonts w:asciiTheme="minorBidi" w:hAnsiTheme="minorBidi" w:cstheme="minorBidi"/>
                <w:bCs w:val="0"/>
                <w:i/>
              </w:rPr>
            </w:pPr>
            <w:r w:rsidRPr="007E61ED">
              <w:rPr>
                <w:rFonts w:asciiTheme="minorBidi" w:hAnsiTheme="minorBidi" w:cstheme="minorBidi"/>
                <w:bCs w:val="0"/>
                <w:i/>
                <w:noProof/>
              </w:rPr>
              <w:drawing>
                <wp:inline distT="0" distB="0" distL="0" distR="0" wp14:anchorId="2B292E07" wp14:editId="2E8BF84D">
                  <wp:extent cx="2755392" cy="2066544"/>
                  <wp:effectExtent l="0" t="0" r="698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392" cy="206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F8B" w:rsidRPr="00C808E2" w14:paraId="6EFDDEE7" w14:textId="77777777" w:rsidTr="00073F3E">
        <w:tc>
          <w:tcPr>
            <w:tcW w:w="4795" w:type="dxa"/>
          </w:tcPr>
          <w:p w14:paraId="1E7B8210" w14:textId="77777777" w:rsidR="00D74F8B" w:rsidRPr="00672C44" w:rsidRDefault="00D74F8B" w:rsidP="00DC23B0">
            <w:pPr>
              <w:pStyle w:val="SayThis"/>
              <w:spacing w:after="0"/>
            </w:pPr>
            <w:r w:rsidRPr="00672C44">
              <w:t>SAY:</w:t>
            </w:r>
          </w:p>
          <w:p w14:paraId="03396ABF" w14:textId="2DCD8E70" w:rsidR="00D74F8B" w:rsidRPr="009D4BA1" w:rsidRDefault="00D74F8B" w:rsidP="00D06650">
            <w:pPr>
              <w:pStyle w:val="Bullet1"/>
              <w:rPr>
                <w:b/>
              </w:rPr>
            </w:pPr>
            <w:r w:rsidRPr="009D4BA1">
              <w:t xml:space="preserve">Having situational awareness during oxytocin use. In the context of oxytocin use, this includes staff alertness for early signs of </w:t>
            </w:r>
            <w:r w:rsidR="00D06650" w:rsidRPr="00D06650">
              <w:t>non-reassuring fetal or maternal status</w:t>
            </w:r>
            <w:r w:rsidRPr="009D4BA1">
              <w:t>, and knowing the plan for a timely response to prevent further deterioration</w:t>
            </w:r>
          </w:p>
          <w:p w14:paraId="4CC0C713" w14:textId="36A9452C" w:rsidR="00D74F8B" w:rsidRPr="00D74F8B" w:rsidRDefault="00D74F8B" w:rsidP="00DC23B0">
            <w:pPr>
              <w:pStyle w:val="Bullet1"/>
              <w:spacing w:after="0"/>
              <w:rPr>
                <w:rFonts w:eastAsia="SimSun" w:cs="Times New Roman"/>
                <w:color w:val="auto"/>
                <w:lang w:bidi="en-US"/>
              </w:rPr>
            </w:pPr>
            <w:r w:rsidRPr="009D4BA1">
              <w:t>The use of SBAR</w:t>
            </w:r>
            <w:r>
              <w:t xml:space="preserve"> or </w:t>
            </w:r>
            <w:r w:rsidRPr="00A41018">
              <w:rPr>
                <w:b/>
                <w:bCs w:val="0"/>
              </w:rPr>
              <w:t>S</w:t>
            </w:r>
            <w:r w:rsidRPr="009D4BA1">
              <w:t xml:space="preserve">ituation, </w:t>
            </w:r>
            <w:r w:rsidRPr="00A41018">
              <w:rPr>
                <w:b/>
                <w:bCs w:val="0"/>
              </w:rPr>
              <w:t>B</w:t>
            </w:r>
            <w:r w:rsidRPr="009D4BA1">
              <w:t xml:space="preserve">ackground, </w:t>
            </w:r>
            <w:r w:rsidRPr="00A41018">
              <w:rPr>
                <w:b/>
                <w:bCs w:val="0"/>
              </w:rPr>
              <w:t>A</w:t>
            </w:r>
            <w:r w:rsidRPr="009D4BA1">
              <w:t xml:space="preserve">ssessment, and </w:t>
            </w:r>
            <w:r w:rsidRPr="00A41018">
              <w:rPr>
                <w:b/>
                <w:bCs w:val="0"/>
              </w:rPr>
              <w:t>R</w:t>
            </w:r>
            <w:r w:rsidRPr="009D4BA1">
              <w:t xml:space="preserve">ecommendation </w:t>
            </w:r>
            <w:r w:rsidR="00A41018">
              <w:t xml:space="preserve">as well as </w:t>
            </w:r>
            <w:r w:rsidRPr="009D4BA1">
              <w:t xml:space="preserve">callouts, </w:t>
            </w:r>
            <w:r w:rsidR="00A41018">
              <w:t xml:space="preserve">huddles, </w:t>
            </w:r>
            <w:r w:rsidRPr="009D4BA1">
              <w:t>and closed</w:t>
            </w:r>
            <w:r>
              <w:t>-</w:t>
            </w:r>
            <w:r w:rsidRPr="009D4BA1">
              <w:t xml:space="preserve">loop communication among team members. </w:t>
            </w:r>
            <w:r>
              <w:t xml:space="preserve">These are useful for </w:t>
            </w:r>
            <w:r>
              <w:rPr>
                <w:rFonts w:eastAsia="SimSun" w:cs="Times New Roman"/>
                <w:color w:val="auto"/>
                <w:lang w:bidi="en-US"/>
              </w:rPr>
              <w:t>c</w:t>
            </w:r>
            <w:r w:rsidRPr="009D4BA1">
              <w:rPr>
                <w:rFonts w:eastAsia="SimSun" w:cs="Times New Roman"/>
                <w:color w:val="auto"/>
                <w:lang w:bidi="en-US"/>
              </w:rPr>
              <w:t xml:space="preserve">ommunicating a sense of urgency when requesting help responding to sudden changes in maternal or fetal </w:t>
            </w:r>
            <w:r>
              <w:rPr>
                <w:rFonts w:eastAsia="SimSun" w:cs="Times New Roman"/>
                <w:color w:val="auto"/>
                <w:lang w:bidi="en-US"/>
              </w:rPr>
              <w:t>status</w:t>
            </w:r>
            <w:r>
              <w:rPr>
                <w:rFonts w:eastAsia="SimSun"/>
                <w:color w:val="auto"/>
                <w:lang w:bidi="en-US"/>
              </w:rPr>
              <w:t>—</w:t>
            </w:r>
            <w:r>
              <w:rPr>
                <w:rFonts w:eastAsia="SimSun" w:cs="Times New Roman"/>
                <w:color w:val="auto"/>
                <w:lang w:bidi="en-US"/>
              </w:rPr>
              <w:t>for example, during an episode of tachysystole</w:t>
            </w:r>
            <w:r>
              <w:rPr>
                <w:rFonts w:eastAsia="SimSun"/>
                <w:color w:val="auto"/>
                <w:lang w:bidi="en-US"/>
              </w:rPr>
              <w:t>—</w:t>
            </w:r>
            <w:r>
              <w:rPr>
                <w:rFonts w:eastAsia="SimSun" w:cs="Times New Roman"/>
                <w:color w:val="auto"/>
                <w:lang w:bidi="en-US"/>
              </w:rPr>
              <w:t xml:space="preserve">and </w:t>
            </w:r>
            <w:r>
              <w:rPr>
                <w:rFonts w:eastAsia="SimSun"/>
                <w:color w:val="auto"/>
                <w:lang w:bidi="en-US"/>
              </w:rPr>
              <w:t>for</w:t>
            </w:r>
            <w:r w:rsidRPr="008509BE">
              <w:rPr>
                <w:rFonts w:eastAsia="SimSun"/>
                <w:color w:val="auto"/>
                <w:lang w:bidi="en-US"/>
              </w:rPr>
              <w:t xml:space="preserve"> briefing new care team members </w:t>
            </w:r>
            <w:r>
              <w:rPr>
                <w:rFonts w:eastAsia="SimSun"/>
                <w:color w:val="auto"/>
                <w:lang w:bidi="en-US"/>
              </w:rPr>
              <w:t>as they arrive to assist, and give or receive orders.</w:t>
            </w:r>
          </w:p>
        </w:tc>
        <w:tc>
          <w:tcPr>
            <w:tcW w:w="4680" w:type="dxa"/>
          </w:tcPr>
          <w:p w14:paraId="1AA20BC2" w14:textId="77777777" w:rsidR="00D74F8B" w:rsidRDefault="00D74F8B" w:rsidP="002E6E4F">
            <w:pPr>
              <w:pStyle w:val="SlideNumber"/>
              <w:spacing w:before="40" w:line="240" w:lineRule="auto"/>
              <w:rPr>
                <w:rFonts w:asciiTheme="minorBidi" w:hAnsiTheme="minorBidi" w:cstheme="minorBidi"/>
                <w:sz w:val="22"/>
              </w:rPr>
            </w:pPr>
            <w:r>
              <w:rPr>
                <w:rFonts w:asciiTheme="minorBidi" w:hAnsiTheme="minorBidi" w:cstheme="minorBidi"/>
                <w:sz w:val="22"/>
              </w:rPr>
              <w:t>Slide 14</w:t>
            </w:r>
          </w:p>
          <w:p w14:paraId="55A9D283" w14:textId="4BCBAF33" w:rsidR="00D74F8B" w:rsidRPr="00C808E2" w:rsidRDefault="007E61ED" w:rsidP="007F3FA2">
            <w:pPr>
              <w:pStyle w:val="SlideNumber"/>
              <w:spacing w:before="40" w:line="240" w:lineRule="auto"/>
              <w:contextualSpacing/>
              <w:rPr>
                <w:rFonts w:asciiTheme="minorBidi" w:hAnsiTheme="minorBidi" w:cstheme="minorBidi"/>
                <w:sz w:val="22"/>
              </w:rPr>
            </w:pPr>
            <w:r w:rsidRPr="007E61ED">
              <w:rPr>
                <w:rFonts w:asciiTheme="minorBidi" w:hAnsiTheme="minorBidi" w:cstheme="minorBidi"/>
                <w:noProof/>
                <w:sz w:val="22"/>
              </w:rPr>
              <w:drawing>
                <wp:inline distT="0" distB="0" distL="0" distR="0" wp14:anchorId="600D02FA" wp14:editId="7F1DA789">
                  <wp:extent cx="2755392" cy="2066544"/>
                  <wp:effectExtent l="0" t="0" r="698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392" cy="206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F8B" w:rsidRPr="00C808E2" w14:paraId="71FB933D" w14:textId="77777777" w:rsidTr="00073F3E">
        <w:tc>
          <w:tcPr>
            <w:tcW w:w="4795" w:type="dxa"/>
          </w:tcPr>
          <w:p w14:paraId="1C5D32AA" w14:textId="77777777" w:rsidR="00D74F8B" w:rsidRPr="00672C44" w:rsidRDefault="00D74F8B" w:rsidP="00D74F8B">
            <w:pPr>
              <w:pStyle w:val="SayThis"/>
            </w:pPr>
            <w:r w:rsidRPr="00672C44">
              <w:lastRenderedPageBreak/>
              <w:t>SAY:</w:t>
            </w:r>
          </w:p>
          <w:p w14:paraId="3E6D6937" w14:textId="77777777" w:rsidR="00D74F8B" w:rsidRPr="008509BE" w:rsidRDefault="00D74F8B" w:rsidP="00D74F8B">
            <w:pPr>
              <w:pStyle w:val="Bullet1"/>
              <w:rPr>
                <w:rFonts w:eastAsia="SimSun" w:cs="Times New Roman"/>
                <w:color w:val="auto"/>
                <w:lang w:bidi="en-US"/>
              </w:rPr>
            </w:pPr>
            <w:r w:rsidRPr="008509BE">
              <w:t xml:space="preserve">Communication during transitions of care </w:t>
            </w:r>
            <w:r>
              <w:t>helps to ensure</w:t>
            </w:r>
            <w:r w:rsidRPr="008509BE">
              <w:t xml:space="preserve"> a shared mental model of plan of care and</w:t>
            </w:r>
            <w:r>
              <w:t xml:space="preserve"> perceived risks between shifts, </w:t>
            </w:r>
            <w:r w:rsidRPr="008509BE">
              <w:t>between units</w:t>
            </w:r>
            <w:r>
              <w:t>, or between individuals within the same unit</w:t>
            </w:r>
            <w:r w:rsidRPr="008509BE">
              <w:t xml:space="preserve">. </w:t>
            </w:r>
          </w:p>
          <w:p w14:paraId="066A4B6F" w14:textId="518111EA" w:rsidR="00D74F8B" w:rsidRPr="00D74F8B" w:rsidRDefault="00D74F8B" w:rsidP="00D74F8B">
            <w:pPr>
              <w:pStyle w:val="Bullet1"/>
              <w:rPr>
                <w:b/>
              </w:rPr>
            </w:pPr>
            <w:r w:rsidRPr="009D4BA1">
              <w:t>Having high</w:t>
            </w:r>
            <w:r>
              <w:t>-</w:t>
            </w:r>
            <w:r w:rsidRPr="009D4BA1">
              <w:t>reliability teams, which means that anyone can sound an alarm, request help</w:t>
            </w:r>
            <w:r>
              <w:t>,</w:t>
            </w:r>
            <w:r w:rsidRPr="009D4BA1">
              <w:t xml:space="preserve"> or challenge the status quo; hierarchy is minimized; and communication is continuous, valued</w:t>
            </w:r>
            <w:r>
              <w:t>,</w:t>
            </w:r>
            <w:r w:rsidRPr="009D4BA1">
              <w:t xml:space="preserve"> and expected.</w:t>
            </w:r>
          </w:p>
        </w:tc>
        <w:tc>
          <w:tcPr>
            <w:tcW w:w="4680" w:type="dxa"/>
          </w:tcPr>
          <w:p w14:paraId="36DC9CBE" w14:textId="77777777" w:rsidR="00D74F8B" w:rsidRPr="00C808E2" w:rsidRDefault="00D74F8B" w:rsidP="002E6E4F">
            <w:pPr>
              <w:pStyle w:val="SlideNumber"/>
              <w:spacing w:before="40" w:line="240" w:lineRule="auto"/>
              <w:rPr>
                <w:rFonts w:asciiTheme="minorBidi" w:hAnsiTheme="minorBidi" w:cstheme="minorBidi"/>
                <w:sz w:val="22"/>
              </w:rPr>
            </w:pPr>
            <w:r>
              <w:rPr>
                <w:rFonts w:asciiTheme="minorBidi" w:hAnsiTheme="minorBidi" w:cstheme="minorBidi"/>
                <w:sz w:val="22"/>
              </w:rPr>
              <w:t>Slide 15</w:t>
            </w:r>
          </w:p>
          <w:p w14:paraId="48760070" w14:textId="4D2E05BE" w:rsidR="00D74F8B" w:rsidRPr="00C808E2" w:rsidRDefault="007E61ED" w:rsidP="007F3FA2">
            <w:pPr>
              <w:pStyle w:val="SlideNumber"/>
              <w:spacing w:before="40" w:line="240" w:lineRule="auto"/>
              <w:contextualSpacing/>
              <w:rPr>
                <w:rFonts w:asciiTheme="minorBidi" w:hAnsiTheme="minorBidi" w:cstheme="minorBidi"/>
                <w:sz w:val="22"/>
              </w:rPr>
            </w:pPr>
            <w:r w:rsidRPr="007E61ED">
              <w:rPr>
                <w:rFonts w:asciiTheme="minorBidi" w:hAnsiTheme="minorBidi" w:cstheme="minorBidi"/>
                <w:noProof/>
                <w:sz w:val="22"/>
              </w:rPr>
              <w:drawing>
                <wp:inline distT="0" distB="0" distL="0" distR="0" wp14:anchorId="799F2236" wp14:editId="02FBFF02">
                  <wp:extent cx="2755392" cy="2066544"/>
                  <wp:effectExtent l="0" t="0" r="698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392" cy="206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1CE" w:rsidRPr="00672C44" w14:paraId="6D18D76B" w14:textId="77777777" w:rsidTr="00011FE7">
        <w:trPr>
          <w:cantSplit/>
        </w:trPr>
        <w:tc>
          <w:tcPr>
            <w:tcW w:w="4795" w:type="dxa"/>
          </w:tcPr>
          <w:p w14:paraId="5B4C8119" w14:textId="77777777" w:rsidR="00CE11CE" w:rsidRPr="00672C44" w:rsidRDefault="007F3FA2" w:rsidP="00D106E4">
            <w:pPr>
              <w:pStyle w:val="SayThis"/>
            </w:pPr>
            <w:r w:rsidRPr="00672C44">
              <w:t>SAY:</w:t>
            </w:r>
          </w:p>
          <w:p w14:paraId="21017254" w14:textId="77777777" w:rsidR="007F3FA2" w:rsidRDefault="007F3FA2" w:rsidP="00D106E4">
            <w:pPr>
              <w:pStyle w:val="BodyText1"/>
              <w:rPr>
                <w:b/>
                <w:i/>
              </w:rPr>
            </w:pPr>
            <w:r w:rsidRPr="00672C44">
              <w:t xml:space="preserve">The sixth </w:t>
            </w:r>
            <w:r w:rsidR="003F6D01" w:rsidRPr="00672C44">
              <w:t>consideration</w:t>
            </w:r>
            <w:r w:rsidRPr="00672C44">
              <w:t xml:space="preserve"> </w:t>
            </w:r>
            <w:r w:rsidR="003F6D01" w:rsidRPr="00672C44">
              <w:t>for</w:t>
            </w:r>
            <w:r w:rsidRPr="00672C44">
              <w:t xml:space="preserve"> Safe Medication Administration of Oxytocin is </w:t>
            </w:r>
            <w:r w:rsidR="00576167">
              <w:rPr>
                <w:i/>
              </w:rPr>
              <w:t>p</w:t>
            </w:r>
            <w:r w:rsidR="00576167" w:rsidRPr="00672C44">
              <w:rPr>
                <w:i/>
              </w:rPr>
              <w:t xml:space="preserve">atient </w:t>
            </w:r>
            <w:r w:rsidRPr="00672C44">
              <w:rPr>
                <w:i/>
              </w:rPr>
              <w:t xml:space="preserve">and </w:t>
            </w:r>
            <w:r w:rsidR="00576167">
              <w:rPr>
                <w:i/>
              </w:rPr>
              <w:t>f</w:t>
            </w:r>
            <w:r w:rsidR="00576167" w:rsidRPr="00672C44">
              <w:rPr>
                <w:i/>
              </w:rPr>
              <w:t xml:space="preserve">amily </w:t>
            </w:r>
            <w:r w:rsidR="00576167">
              <w:rPr>
                <w:i/>
              </w:rPr>
              <w:t>e</w:t>
            </w:r>
            <w:r w:rsidR="00576167" w:rsidRPr="00672C44">
              <w:rPr>
                <w:i/>
              </w:rPr>
              <w:t>ngagement</w:t>
            </w:r>
            <w:r w:rsidRPr="00672C44">
              <w:rPr>
                <w:i/>
              </w:rPr>
              <w:t>.</w:t>
            </w:r>
          </w:p>
          <w:p w14:paraId="4F8BB69D" w14:textId="77777777" w:rsidR="007F3FA2" w:rsidRPr="00672C44" w:rsidRDefault="003F6D01" w:rsidP="00D106E4">
            <w:pPr>
              <w:pStyle w:val="BodyText1"/>
              <w:rPr>
                <w:b/>
              </w:rPr>
            </w:pPr>
            <w:r w:rsidRPr="00672C44">
              <w:t xml:space="preserve">This aspect of perinatal safety calls for L&amp;D units to engage </w:t>
            </w:r>
            <w:r w:rsidR="007F3FA2" w:rsidRPr="00672C44">
              <w:t xml:space="preserve">patients and families </w:t>
            </w:r>
            <w:r w:rsidRPr="00672C44">
              <w:t xml:space="preserve">in </w:t>
            </w:r>
            <w:r w:rsidR="008509BE" w:rsidRPr="00672C44">
              <w:t>the process of their own care.</w:t>
            </w:r>
          </w:p>
          <w:p w14:paraId="3DE9846B" w14:textId="77777777" w:rsidR="007F3FA2" w:rsidRPr="00672C44" w:rsidRDefault="007F3FA2" w:rsidP="00D106E4">
            <w:pPr>
              <w:pStyle w:val="BodyText1"/>
              <w:rPr>
                <w:b/>
              </w:rPr>
            </w:pPr>
            <w:r w:rsidRPr="00672C44">
              <w:t>The key safety elements are</w:t>
            </w:r>
            <w:r w:rsidR="00E638EA">
              <w:t xml:space="preserve"> the following</w:t>
            </w:r>
            <w:r w:rsidRPr="00672C44">
              <w:t xml:space="preserve">: </w:t>
            </w:r>
          </w:p>
          <w:p w14:paraId="4289DF7A" w14:textId="77777777" w:rsidR="007F3FA2" w:rsidRPr="00672C44" w:rsidRDefault="007F3FA2" w:rsidP="00D106E4">
            <w:pPr>
              <w:pStyle w:val="Bullet1"/>
              <w:rPr>
                <w:b/>
              </w:rPr>
            </w:pPr>
            <w:r w:rsidRPr="00672C44">
              <w:t xml:space="preserve">Discussing risks and benefits of oxytocin use for labor induction or augmentation with </w:t>
            </w:r>
            <w:r w:rsidR="008E5CD7" w:rsidRPr="00672C44">
              <w:t xml:space="preserve">the </w:t>
            </w:r>
            <w:r w:rsidRPr="00672C44">
              <w:t>patient based on the unit-established process.</w:t>
            </w:r>
          </w:p>
          <w:p w14:paraId="3E4F26A9" w14:textId="77777777" w:rsidR="007F3FA2" w:rsidRPr="00672C44" w:rsidRDefault="008E5CD7" w:rsidP="00D106E4">
            <w:pPr>
              <w:pStyle w:val="Bullet1"/>
              <w:rPr>
                <w:b/>
              </w:rPr>
            </w:pPr>
            <w:r w:rsidRPr="00672C44">
              <w:t xml:space="preserve">Educating patients and </w:t>
            </w:r>
            <w:r w:rsidR="007F3FA2" w:rsidRPr="00672C44">
              <w:t>families regarding oxytocin use</w:t>
            </w:r>
            <w:r w:rsidR="00221F74">
              <w:rPr>
                <w:rFonts w:eastAsia="SimSun"/>
                <w:color w:val="auto"/>
                <w:lang w:bidi="en-US"/>
              </w:rPr>
              <w:t>—</w:t>
            </w:r>
            <w:r w:rsidR="008509BE" w:rsidRPr="00672C44">
              <w:t>for example</w:t>
            </w:r>
            <w:r w:rsidR="00E638EA">
              <w:t>,</w:t>
            </w:r>
            <w:r w:rsidR="008509BE" w:rsidRPr="00672C44">
              <w:t xml:space="preserve"> the </w:t>
            </w:r>
            <w:r w:rsidR="007F3FA2" w:rsidRPr="00672C44">
              <w:t>infusion procedure, mobility restrictions</w:t>
            </w:r>
            <w:r w:rsidR="008509BE" w:rsidRPr="00672C44">
              <w:t>,</w:t>
            </w:r>
            <w:r w:rsidR="007F3FA2" w:rsidRPr="00672C44">
              <w:t xml:space="preserve"> and expected </w:t>
            </w:r>
            <w:r w:rsidR="008509BE" w:rsidRPr="00672C44">
              <w:t xml:space="preserve">therapeutic and side </w:t>
            </w:r>
            <w:r w:rsidR="007F3FA2" w:rsidRPr="00672C44">
              <w:t xml:space="preserve">effects. </w:t>
            </w:r>
          </w:p>
          <w:p w14:paraId="7D8AE4FA" w14:textId="77777777" w:rsidR="007F3FA2" w:rsidRPr="00011FE7" w:rsidRDefault="007F3FA2" w:rsidP="00D106E4">
            <w:pPr>
              <w:pStyle w:val="Bullet1"/>
              <w:rPr>
                <w:b/>
              </w:rPr>
            </w:pPr>
            <w:r w:rsidRPr="00672C44">
              <w:t xml:space="preserve">Educating patients/families regarding </w:t>
            </w:r>
            <w:r w:rsidR="006E6531">
              <w:t xml:space="preserve">expected </w:t>
            </w:r>
            <w:r w:rsidRPr="00672C44">
              <w:t xml:space="preserve">signs and symptoms </w:t>
            </w:r>
            <w:r w:rsidR="006E6531">
              <w:t xml:space="preserve">related to use, </w:t>
            </w:r>
            <w:r w:rsidR="008E5CD7" w:rsidRPr="00672C44">
              <w:t xml:space="preserve">and providing instructions for </w:t>
            </w:r>
            <w:r w:rsidRPr="00672C44">
              <w:t>report</w:t>
            </w:r>
            <w:r w:rsidR="008E5CD7" w:rsidRPr="00672C44">
              <w:t>ing these to nursing staff.</w:t>
            </w:r>
          </w:p>
        </w:tc>
        <w:tc>
          <w:tcPr>
            <w:tcW w:w="4680" w:type="dxa"/>
          </w:tcPr>
          <w:p w14:paraId="547F44E1" w14:textId="77777777" w:rsidR="00CE11CE" w:rsidRPr="00672C44" w:rsidRDefault="00D74F8B" w:rsidP="007F3FA2">
            <w:pPr>
              <w:pStyle w:val="SlideNumber"/>
              <w:spacing w:before="40" w:line="240" w:lineRule="auto"/>
              <w:contextualSpacing/>
              <w:rPr>
                <w:rFonts w:asciiTheme="minorBidi" w:hAnsiTheme="minorBidi" w:cstheme="minorBidi"/>
                <w:sz w:val="22"/>
              </w:rPr>
            </w:pPr>
            <w:r>
              <w:rPr>
                <w:rFonts w:asciiTheme="minorBidi" w:hAnsiTheme="minorBidi" w:cstheme="minorBidi"/>
                <w:sz w:val="22"/>
              </w:rPr>
              <w:t>Slide 16</w:t>
            </w:r>
          </w:p>
          <w:p w14:paraId="31824188" w14:textId="66686298" w:rsidR="00CE11CE" w:rsidRPr="00672C44" w:rsidRDefault="007E61ED" w:rsidP="007806AE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7E61ED">
              <w:rPr>
                <w:rFonts w:asciiTheme="minorBidi" w:hAnsiTheme="minorBidi" w:cstheme="minorBidi"/>
                <w:noProof/>
              </w:rPr>
              <w:drawing>
                <wp:inline distT="0" distB="0" distL="0" distR="0" wp14:anchorId="4D9B3C08" wp14:editId="185D7EBE">
                  <wp:extent cx="2755392" cy="2066544"/>
                  <wp:effectExtent l="0" t="0" r="6985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392" cy="206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0D1BFB" w14:textId="77777777" w:rsidR="001B6FCB" w:rsidRDefault="001B6FCB">
      <w:r>
        <w:rPr>
          <w:b/>
        </w:rPr>
        <w:br w:type="page"/>
      </w:r>
    </w:p>
    <w:tbl>
      <w:tblPr>
        <w:tblW w:w="9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795"/>
        <w:gridCol w:w="4680"/>
      </w:tblGrid>
      <w:tr w:rsidR="00CE11CE" w:rsidRPr="00672C44" w14:paraId="4FBCFC03" w14:textId="77777777" w:rsidTr="00D009C1">
        <w:tc>
          <w:tcPr>
            <w:tcW w:w="4795" w:type="dxa"/>
          </w:tcPr>
          <w:p w14:paraId="2AF74C9E" w14:textId="77777777" w:rsidR="007F3FA2" w:rsidRPr="00672C44" w:rsidRDefault="007F3FA2" w:rsidP="00D106E4">
            <w:pPr>
              <w:pStyle w:val="SayThis"/>
            </w:pPr>
            <w:r w:rsidRPr="00672C44">
              <w:lastRenderedPageBreak/>
              <w:t xml:space="preserve">SAY: </w:t>
            </w:r>
          </w:p>
          <w:p w14:paraId="6C431A8B" w14:textId="47750547" w:rsidR="00CE11CE" w:rsidRPr="00672C44" w:rsidRDefault="007F3FA2" w:rsidP="00E8554D">
            <w:pPr>
              <w:pStyle w:val="BodyText1"/>
            </w:pPr>
            <w:r w:rsidRPr="00672C44">
              <w:t xml:space="preserve">The </w:t>
            </w:r>
            <w:r w:rsidR="006E6531">
              <w:t>Safe Medication Administration Oxytocin Tool</w:t>
            </w:r>
            <w:r w:rsidR="00E8554D">
              <w:t xml:space="preserve">, available on the AHRQ Web site, </w:t>
            </w:r>
            <w:r w:rsidR="006E6531">
              <w:t>provides additional details for these six key safety elements just reviewed, including examples of how a unit might customize each element to unit needs or preference</w:t>
            </w:r>
            <w:r w:rsidR="00221F74">
              <w:t>s</w:t>
            </w:r>
            <w:r w:rsidR="006E6531">
              <w:t xml:space="preserve">. The appendix of this tool includes a sample oxytocin administration procedure, which </w:t>
            </w:r>
            <w:r w:rsidRPr="00672C44">
              <w:t xml:space="preserve">demonstrates how key safety elements can be customized and operationalized within a unit procedure for </w:t>
            </w:r>
            <w:r w:rsidR="006E6531">
              <w:t xml:space="preserve">safe </w:t>
            </w:r>
            <w:r w:rsidRPr="00672C44">
              <w:t>oxytocin administration.</w:t>
            </w:r>
          </w:p>
        </w:tc>
        <w:tc>
          <w:tcPr>
            <w:tcW w:w="4680" w:type="dxa"/>
          </w:tcPr>
          <w:p w14:paraId="655E3BD5" w14:textId="77777777" w:rsidR="00CE11CE" w:rsidRPr="00672C44" w:rsidRDefault="00D74F8B" w:rsidP="007F3FA2">
            <w:pPr>
              <w:pStyle w:val="SlideNumber"/>
              <w:spacing w:before="40" w:line="240" w:lineRule="auto"/>
              <w:contextualSpacing/>
              <w:rPr>
                <w:rFonts w:asciiTheme="minorBidi" w:hAnsiTheme="minorBidi" w:cstheme="minorBidi"/>
                <w:sz w:val="22"/>
              </w:rPr>
            </w:pPr>
            <w:r>
              <w:rPr>
                <w:rFonts w:asciiTheme="minorBidi" w:hAnsiTheme="minorBidi" w:cstheme="minorBidi"/>
                <w:sz w:val="22"/>
              </w:rPr>
              <w:t>Slide 17</w:t>
            </w:r>
          </w:p>
          <w:p w14:paraId="6B2A4599" w14:textId="4A49EAA5" w:rsidR="00CE11CE" w:rsidRPr="00672C44" w:rsidRDefault="007E61ED" w:rsidP="007806AE">
            <w:pPr>
              <w:spacing w:line="240" w:lineRule="auto"/>
              <w:jc w:val="center"/>
              <w:rPr>
                <w:rFonts w:asciiTheme="minorBidi" w:hAnsiTheme="minorBidi" w:cstheme="minorBidi"/>
                <w:bCs w:val="0"/>
              </w:rPr>
            </w:pPr>
            <w:r w:rsidRPr="007E61ED">
              <w:rPr>
                <w:rFonts w:asciiTheme="minorBidi" w:hAnsiTheme="minorBidi" w:cstheme="minorBidi"/>
                <w:bCs w:val="0"/>
                <w:noProof/>
              </w:rPr>
              <w:drawing>
                <wp:inline distT="0" distB="0" distL="0" distR="0" wp14:anchorId="10BB8812" wp14:editId="62C31A73">
                  <wp:extent cx="2755392" cy="2066544"/>
                  <wp:effectExtent l="0" t="0" r="698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392" cy="206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1CE" w:rsidRPr="00672C44" w14:paraId="46877449" w14:textId="77777777" w:rsidTr="00011FE7">
        <w:trPr>
          <w:cantSplit/>
        </w:trPr>
        <w:tc>
          <w:tcPr>
            <w:tcW w:w="4795" w:type="dxa"/>
          </w:tcPr>
          <w:p w14:paraId="201CDBA1" w14:textId="77777777" w:rsidR="00CE11CE" w:rsidRPr="00672C44" w:rsidRDefault="007F3FA2" w:rsidP="00D106E4">
            <w:pPr>
              <w:pStyle w:val="SayThis"/>
            </w:pPr>
            <w:r w:rsidRPr="00672C44">
              <w:t>SAY:</w:t>
            </w:r>
          </w:p>
          <w:p w14:paraId="0E226F7B" w14:textId="77777777" w:rsidR="007F3FA2" w:rsidRPr="00672C44" w:rsidRDefault="007F3FA2" w:rsidP="00D106E4">
            <w:pPr>
              <w:pStyle w:val="BodyText1"/>
            </w:pPr>
            <w:r w:rsidRPr="00672C44">
              <w:t>Now we will highlight some of the key safety elements from the tool for magnesium sulfate</w:t>
            </w:r>
            <w:r w:rsidR="008509BE" w:rsidRPr="00672C44">
              <w:t>.</w:t>
            </w:r>
          </w:p>
        </w:tc>
        <w:tc>
          <w:tcPr>
            <w:tcW w:w="4680" w:type="dxa"/>
          </w:tcPr>
          <w:p w14:paraId="5A1B79CE" w14:textId="77777777" w:rsidR="00CE11CE" w:rsidRPr="00672C44" w:rsidRDefault="00D74F8B" w:rsidP="007F3FA2">
            <w:pPr>
              <w:pStyle w:val="SlideNumber"/>
              <w:spacing w:before="40" w:line="240" w:lineRule="auto"/>
              <w:contextualSpacing/>
              <w:rPr>
                <w:rFonts w:asciiTheme="minorBidi" w:hAnsiTheme="minorBidi" w:cstheme="minorBidi"/>
                <w:sz w:val="22"/>
              </w:rPr>
            </w:pPr>
            <w:r>
              <w:rPr>
                <w:rFonts w:asciiTheme="minorBidi" w:hAnsiTheme="minorBidi" w:cstheme="minorBidi"/>
                <w:sz w:val="22"/>
              </w:rPr>
              <w:t>Slide 18</w:t>
            </w:r>
          </w:p>
          <w:p w14:paraId="6B1CAF8C" w14:textId="13524067" w:rsidR="00CE11CE" w:rsidRPr="00672C44" w:rsidRDefault="007E61ED" w:rsidP="007806AE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7E61ED">
              <w:rPr>
                <w:rFonts w:asciiTheme="minorBidi" w:hAnsiTheme="minorBidi" w:cstheme="minorBidi"/>
                <w:noProof/>
              </w:rPr>
              <w:drawing>
                <wp:inline distT="0" distB="0" distL="0" distR="0" wp14:anchorId="557D6E22" wp14:editId="07DA6002">
                  <wp:extent cx="2755392" cy="2066544"/>
                  <wp:effectExtent l="0" t="0" r="698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392" cy="206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1CE" w:rsidRPr="00672C44" w14:paraId="0AF37EF6" w14:textId="77777777" w:rsidTr="00D009C1">
        <w:tc>
          <w:tcPr>
            <w:tcW w:w="4795" w:type="dxa"/>
          </w:tcPr>
          <w:p w14:paraId="5584FA0C" w14:textId="77777777" w:rsidR="007F3FA2" w:rsidRPr="00672C44" w:rsidRDefault="007F3FA2" w:rsidP="00D106E4">
            <w:pPr>
              <w:pStyle w:val="SayThis"/>
            </w:pPr>
            <w:r w:rsidRPr="00672C44">
              <w:t>SAY:</w:t>
            </w:r>
          </w:p>
          <w:p w14:paraId="69797CEB" w14:textId="77777777" w:rsidR="007F3FA2" w:rsidRPr="00672C44" w:rsidRDefault="007F3FA2" w:rsidP="00D53ABB">
            <w:pPr>
              <w:pStyle w:val="BodyText1"/>
              <w:spacing w:after="0"/>
              <w:rPr>
                <w:b/>
              </w:rPr>
            </w:pPr>
            <w:r w:rsidRPr="00672C44">
              <w:t xml:space="preserve">The safe medication administration of magnesium sulfate is important for a few reasons: </w:t>
            </w:r>
          </w:p>
          <w:p w14:paraId="74BA260C" w14:textId="77777777" w:rsidR="00102314" w:rsidRPr="00672C44" w:rsidRDefault="00102314" w:rsidP="00D106E4">
            <w:pPr>
              <w:pStyle w:val="Bullet1"/>
              <w:rPr>
                <w:b/>
              </w:rPr>
            </w:pPr>
            <w:r w:rsidRPr="00672C44">
              <w:t xml:space="preserve">Like oxytocin, </w:t>
            </w:r>
            <w:r w:rsidR="00E638EA">
              <w:t>m</w:t>
            </w:r>
            <w:r w:rsidR="00E638EA" w:rsidRPr="00672C44">
              <w:t xml:space="preserve">agnesium </w:t>
            </w:r>
            <w:r w:rsidR="00E638EA">
              <w:t>s</w:t>
            </w:r>
            <w:r w:rsidR="00E638EA" w:rsidRPr="00672C44">
              <w:t xml:space="preserve">ulfate </w:t>
            </w:r>
            <w:r w:rsidRPr="00672C44">
              <w:t>is a high-alert medication</w:t>
            </w:r>
            <w:r w:rsidR="00E638EA">
              <w:t>.</w:t>
            </w:r>
          </w:p>
          <w:p w14:paraId="2452A308" w14:textId="77777777" w:rsidR="00764609" w:rsidRPr="00D53ABB" w:rsidRDefault="00102314" w:rsidP="00D106E4">
            <w:pPr>
              <w:pStyle w:val="Bullet1"/>
              <w:rPr>
                <w:b/>
              </w:rPr>
            </w:pPr>
            <w:r w:rsidRPr="00672C44">
              <w:t xml:space="preserve">Magnesium is commonly used on L&amp;D units, but administration procedures vary greatly </w:t>
            </w:r>
            <w:r w:rsidR="00E638EA">
              <w:t>because of</w:t>
            </w:r>
            <w:r w:rsidRPr="00672C44">
              <w:t xml:space="preserve"> lack of standardization, local culture, and individual provider training and preferences. </w:t>
            </w:r>
          </w:p>
          <w:p w14:paraId="5082F27B" w14:textId="77777777" w:rsidR="008E5CD7" w:rsidRPr="00B42600" w:rsidRDefault="00102314" w:rsidP="00D106E4">
            <w:pPr>
              <w:pStyle w:val="Bullet1"/>
              <w:rPr>
                <w:b/>
              </w:rPr>
            </w:pPr>
            <w:r w:rsidRPr="00672C44">
              <w:t>Magnesium also has a narrow therapeutic window</w:t>
            </w:r>
            <w:r w:rsidR="00E638EA">
              <w:t>,</w:t>
            </w:r>
            <w:r w:rsidRPr="00672C44">
              <w:t xml:space="preserve"> requiring careful attention to appropriate administration.</w:t>
            </w:r>
          </w:p>
          <w:p w14:paraId="11452960" w14:textId="77777777" w:rsidR="00B42600" w:rsidRPr="00011FE7" w:rsidRDefault="00B42600" w:rsidP="00B42600">
            <w:pPr>
              <w:pStyle w:val="Bullet1"/>
              <w:numPr>
                <w:ilvl w:val="0"/>
                <w:numId w:val="0"/>
              </w:numPr>
              <w:ind w:left="907"/>
              <w:rPr>
                <w:b/>
              </w:rPr>
            </w:pPr>
          </w:p>
        </w:tc>
        <w:tc>
          <w:tcPr>
            <w:tcW w:w="4680" w:type="dxa"/>
          </w:tcPr>
          <w:p w14:paraId="2550F595" w14:textId="77777777" w:rsidR="00CE11CE" w:rsidRPr="00672C44" w:rsidRDefault="00D74F8B" w:rsidP="007F3FA2">
            <w:pPr>
              <w:pStyle w:val="SlideNumber"/>
              <w:spacing w:before="40" w:line="240" w:lineRule="auto"/>
              <w:contextualSpacing/>
              <w:rPr>
                <w:rFonts w:asciiTheme="minorBidi" w:hAnsiTheme="minorBidi" w:cstheme="minorBidi"/>
                <w:sz w:val="22"/>
              </w:rPr>
            </w:pPr>
            <w:r>
              <w:rPr>
                <w:rFonts w:asciiTheme="minorBidi" w:hAnsiTheme="minorBidi" w:cstheme="minorBidi"/>
                <w:sz w:val="22"/>
              </w:rPr>
              <w:t>Slide 19</w:t>
            </w:r>
          </w:p>
          <w:p w14:paraId="2DEA2754" w14:textId="3DCFF30A" w:rsidR="00CE11CE" w:rsidRPr="00672C44" w:rsidRDefault="007E61ED" w:rsidP="007806AE">
            <w:pPr>
              <w:spacing w:line="240" w:lineRule="auto"/>
              <w:jc w:val="center"/>
              <w:rPr>
                <w:rFonts w:asciiTheme="minorBidi" w:hAnsiTheme="minorBidi" w:cstheme="minorBidi"/>
                <w:bCs w:val="0"/>
                <w:i/>
              </w:rPr>
            </w:pPr>
            <w:r w:rsidRPr="007E61ED">
              <w:rPr>
                <w:rFonts w:asciiTheme="minorBidi" w:hAnsiTheme="minorBidi" w:cstheme="minorBidi"/>
                <w:bCs w:val="0"/>
                <w:i/>
                <w:noProof/>
              </w:rPr>
              <w:drawing>
                <wp:inline distT="0" distB="0" distL="0" distR="0" wp14:anchorId="6DAB9BD3" wp14:editId="3FB1B77A">
                  <wp:extent cx="2755392" cy="2066544"/>
                  <wp:effectExtent l="0" t="0" r="698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392" cy="206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FA2" w:rsidRPr="00C808E2" w14:paraId="478203B0" w14:textId="77777777" w:rsidTr="0025628C">
        <w:tc>
          <w:tcPr>
            <w:tcW w:w="4795" w:type="dxa"/>
          </w:tcPr>
          <w:p w14:paraId="5C81648F" w14:textId="77777777" w:rsidR="00E22AF9" w:rsidRPr="00672C44" w:rsidRDefault="00E22AF9" w:rsidP="00E22AF9">
            <w:pPr>
              <w:pStyle w:val="SayThis"/>
              <w:spacing w:after="0"/>
            </w:pPr>
            <w:r w:rsidRPr="00672C44">
              <w:lastRenderedPageBreak/>
              <w:t>SAY:</w:t>
            </w:r>
          </w:p>
          <w:p w14:paraId="4C549F87" w14:textId="77777777" w:rsidR="007F3FA2" w:rsidRPr="00672C44" w:rsidRDefault="007F3FA2" w:rsidP="00D106E4">
            <w:pPr>
              <w:pStyle w:val="BodyText1"/>
              <w:rPr>
                <w:b/>
              </w:rPr>
            </w:pPr>
            <w:r w:rsidRPr="00672C44">
              <w:t xml:space="preserve">The first </w:t>
            </w:r>
            <w:r w:rsidR="008E5CD7" w:rsidRPr="00672C44">
              <w:t>consideration</w:t>
            </w:r>
            <w:r w:rsidRPr="00672C44">
              <w:t xml:space="preserve"> </w:t>
            </w:r>
            <w:r w:rsidR="008E5CD7" w:rsidRPr="00672C44">
              <w:t>for</w:t>
            </w:r>
            <w:r w:rsidRPr="00672C44">
              <w:t xml:space="preserve"> Safe Medication Administration of Magnesium is </w:t>
            </w:r>
            <w:r w:rsidRPr="00672C44">
              <w:rPr>
                <w:i/>
              </w:rPr>
              <w:t>standardize when possible</w:t>
            </w:r>
            <w:r w:rsidRPr="00672C44">
              <w:t xml:space="preserve">. </w:t>
            </w:r>
          </w:p>
          <w:p w14:paraId="6578E824" w14:textId="77777777" w:rsidR="00A562A3" w:rsidRPr="00672C44" w:rsidRDefault="00A562A3" w:rsidP="00D106E4">
            <w:pPr>
              <w:pStyle w:val="BodyText1"/>
              <w:rPr>
                <w:b/>
              </w:rPr>
            </w:pPr>
            <w:r w:rsidRPr="00672C44">
              <w:t xml:space="preserve">The key </w:t>
            </w:r>
            <w:r w:rsidR="008E5CD7" w:rsidRPr="00672C44">
              <w:t>safety elements</w:t>
            </w:r>
            <w:r w:rsidRPr="00672C44">
              <w:t xml:space="preserve"> are</w:t>
            </w:r>
            <w:r w:rsidR="00E638EA">
              <w:t xml:space="preserve"> the following</w:t>
            </w:r>
            <w:r w:rsidRPr="00672C44">
              <w:t>:</w:t>
            </w:r>
          </w:p>
          <w:p w14:paraId="6A6E8EB5" w14:textId="77777777" w:rsidR="00102314" w:rsidRPr="00672C44" w:rsidRDefault="007D5653" w:rsidP="00D106E4">
            <w:pPr>
              <w:pStyle w:val="Bullet1"/>
              <w:rPr>
                <w:b/>
              </w:rPr>
            </w:pPr>
            <w:r w:rsidRPr="00672C44">
              <w:t>Having s</w:t>
            </w:r>
            <w:r w:rsidR="00102314" w:rsidRPr="00672C44">
              <w:t>tandard criteria for magnesium sulfa</w:t>
            </w:r>
            <w:r w:rsidR="00326D49" w:rsidRPr="00672C44">
              <w:t xml:space="preserve">te use established, </w:t>
            </w:r>
            <w:r w:rsidR="006E6531">
              <w:t xml:space="preserve">and ensuring </w:t>
            </w:r>
            <w:r w:rsidR="00221F74">
              <w:t xml:space="preserve">that </w:t>
            </w:r>
            <w:r w:rsidR="006E6531">
              <w:t xml:space="preserve">individual patients have met criteria and </w:t>
            </w:r>
            <w:r w:rsidR="00221F74">
              <w:t xml:space="preserve">that </w:t>
            </w:r>
            <w:r w:rsidR="006E6531">
              <w:t>this is documented prior to use.</w:t>
            </w:r>
          </w:p>
          <w:p w14:paraId="2E65A998" w14:textId="77777777" w:rsidR="007F3FA2" w:rsidRPr="00672C44" w:rsidRDefault="00102314" w:rsidP="00D106E4">
            <w:pPr>
              <w:pStyle w:val="Bullet1"/>
              <w:rPr>
                <w:b/>
              </w:rPr>
            </w:pPr>
            <w:r w:rsidRPr="00672C44">
              <w:t>Having u</w:t>
            </w:r>
            <w:r w:rsidR="007F3FA2" w:rsidRPr="00672C44">
              <w:t>niform and standard drug packaging, preparation, and labeling.</w:t>
            </w:r>
            <w:r w:rsidR="007F3FA2" w:rsidRPr="00672C44">
              <w:rPr>
                <w:vertAlign w:val="superscript"/>
              </w:rPr>
              <w:t xml:space="preserve"> </w:t>
            </w:r>
            <w:r w:rsidR="007F3FA2" w:rsidRPr="00672C44">
              <w:t xml:space="preserve">Pharmacy and nursing staff should use a consistent approach to labeling all magnesium sulfate bags and tubing used to administer the medication. </w:t>
            </w:r>
            <w:r w:rsidR="00545ACC" w:rsidRPr="00672C44">
              <w:t>The same standard preparation either premixed or pharmacy</w:t>
            </w:r>
            <w:r w:rsidR="00545ACC">
              <w:t>-</w:t>
            </w:r>
            <w:r w:rsidR="00545ACC" w:rsidRPr="00672C44">
              <w:t>prepared bags (e.g., 20</w:t>
            </w:r>
            <w:r w:rsidR="00221F74">
              <w:t xml:space="preserve"> </w:t>
            </w:r>
            <w:r w:rsidR="00545ACC" w:rsidRPr="00672C44">
              <w:t>g/500 ml bag) should be used unit wide for maintenance infusion.</w:t>
            </w:r>
          </w:p>
          <w:p w14:paraId="0D27FF05" w14:textId="77777777" w:rsidR="00545ACC" w:rsidRPr="00545ACC" w:rsidRDefault="007F3FA2" w:rsidP="00D106E4">
            <w:pPr>
              <w:pStyle w:val="Bullet1"/>
              <w:rPr>
                <w:b/>
              </w:rPr>
            </w:pPr>
            <w:r w:rsidRPr="00672C44">
              <w:t>Standardiz</w:t>
            </w:r>
            <w:r w:rsidR="007D5653" w:rsidRPr="00672C44">
              <w:t>ing</w:t>
            </w:r>
            <w:r w:rsidRPr="00672C44">
              <w:t xml:space="preserve"> magnesium sulfate dosing using a calibrated infusion pump with free</w:t>
            </w:r>
            <w:r w:rsidR="00E638EA">
              <w:t>-</w:t>
            </w:r>
            <w:r w:rsidRPr="00672C44">
              <w:t>flow protection</w:t>
            </w:r>
            <w:r w:rsidR="00221F74">
              <w:t>.</w:t>
            </w:r>
            <w:r w:rsidRPr="00672C44">
              <w:t xml:space="preserve"> Limit the number of different kinds of infusion pumps to maximize staff familiarity with infusion equipment</w:t>
            </w:r>
            <w:r w:rsidR="00102314" w:rsidRPr="00672C44">
              <w:t xml:space="preserve">. </w:t>
            </w:r>
          </w:p>
          <w:p w14:paraId="526F0B47" w14:textId="77777777" w:rsidR="00545ACC" w:rsidRPr="00545ACC" w:rsidRDefault="007F3FA2" w:rsidP="00D106E4">
            <w:pPr>
              <w:pStyle w:val="Bullet1"/>
              <w:rPr>
                <w:b/>
              </w:rPr>
            </w:pPr>
            <w:r w:rsidRPr="00672C44">
              <w:t>Establish the unit’s standard approach for administering a loading dose (bolus). Us</w:t>
            </w:r>
            <w:r w:rsidR="00221F74">
              <w:t>ing</w:t>
            </w:r>
            <w:r w:rsidRPr="00672C44">
              <w:t xml:space="preserve"> the maintenance infusion to administer a bolus manually is a high-risk practice that should be avoided. </w:t>
            </w:r>
          </w:p>
          <w:p w14:paraId="09107FEF" w14:textId="77777777" w:rsidR="00762C35" w:rsidRPr="00672C44" w:rsidRDefault="00762C35" w:rsidP="00D53ABB">
            <w:pPr>
              <w:pStyle w:val="Bullet1"/>
              <w:numPr>
                <w:ilvl w:val="0"/>
                <w:numId w:val="0"/>
              </w:numPr>
              <w:ind w:left="907"/>
            </w:pPr>
          </w:p>
        </w:tc>
        <w:tc>
          <w:tcPr>
            <w:tcW w:w="4680" w:type="dxa"/>
          </w:tcPr>
          <w:p w14:paraId="59089ED5" w14:textId="77777777" w:rsidR="007F3FA2" w:rsidRDefault="00D74F8B" w:rsidP="007F3FA2">
            <w:pPr>
              <w:pStyle w:val="SlideNumber"/>
              <w:spacing w:before="40" w:line="240" w:lineRule="auto"/>
              <w:contextualSpacing/>
              <w:rPr>
                <w:rFonts w:asciiTheme="minorBidi" w:hAnsiTheme="minorBidi" w:cstheme="minorBidi"/>
                <w:sz w:val="22"/>
              </w:rPr>
            </w:pPr>
            <w:r>
              <w:rPr>
                <w:rFonts w:asciiTheme="minorBidi" w:hAnsiTheme="minorBidi" w:cstheme="minorBidi"/>
                <w:sz w:val="22"/>
              </w:rPr>
              <w:t>Slide 20</w:t>
            </w:r>
          </w:p>
          <w:p w14:paraId="3AC23542" w14:textId="3D70A162" w:rsidR="00102314" w:rsidRPr="00C808E2" w:rsidRDefault="007E61ED" w:rsidP="007806AE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7E61ED">
              <w:rPr>
                <w:rFonts w:asciiTheme="minorBidi" w:hAnsiTheme="minorBidi" w:cstheme="minorBidi"/>
                <w:noProof/>
              </w:rPr>
              <w:drawing>
                <wp:inline distT="0" distB="0" distL="0" distR="0" wp14:anchorId="24EC0099" wp14:editId="553B692B">
                  <wp:extent cx="2755392" cy="2066544"/>
                  <wp:effectExtent l="0" t="0" r="6985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392" cy="206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D44131" w14:textId="77777777" w:rsidR="00762C35" w:rsidRDefault="00762C35">
      <w:r>
        <w:rPr>
          <w:b/>
        </w:rPr>
        <w:br w:type="page"/>
      </w:r>
    </w:p>
    <w:tbl>
      <w:tblPr>
        <w:tblW w:w="9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795"/>
        <w:gridCol w:w="4680"/>
      </w:tblGrid>
      <w:tr w:rsidR="00762C35" w:rsidRPr="00C808E2" w14:paraId="2B0BB6CD" w14:textId="77777777" w:rsidTr="0025628C">
        <w:tc>
          <w:tcPr>
            <w:tcW w:w="4795" w:type="dxa"/>
          </w:tcPr>
          <w:p w14:paraId="26D5CEDE" w14:textId="77777777" w:rsidR="00762C35" w:rsidRPr="00672C44" w:rsidRDefault="00762C35" w:rsidP="00762C35">
            <w:pPr>
              <w:pStyle w:val="SayThis"/>
            </w:pPr>
            <w:r w:rsidRPr="00672C44">
              <w:lastRenderedPageBreak/>
              <w:t>SAY:</w:t>
            </w:r>
          </w:p>
          <w:p w14:paraId="736DDADC" w14:textId="77777777" w:rsidR="00762C35" w:rsidRPr="00672C44" w:rsidRDefault="00762C35" w:rsidP="00762C35">
            <w:pPr>
              <w:pStyle w:val="Bullet1"/>
              <w:rPr>
                <w:b/>
              </w:rPr>
            </w:pPr>
            <w:r w:rsidRPr="00672C44">
              <w:t xml:space="preserve">When magnesium sulfate therapy is discontinued, remove the line from the </w:t>
            </w:r>
            <w:r>
              <w:t xml:space="preserve">intravenous </w:t>
            </w:r>
            <w:r w:rsidRPr="00672C44">
              <w:t xml:space="preserve">port to avoid accidental infusion. </w:t>
            </w:r>
          </w:p>
          <w:p w14:paraId="58721D4F" w14:textId="77777777" w:rsidR="00762C35" w:rsidRPr="00672C44" w:rsidRDefault="00762C35" w:rsidP="00762C35">
            <w:pPr>
              <w:pStyle w:val="Bullet1"/>
              <w:rPr>
                <w:b/>
              </w:rPr>
            </w:pPr>
            <w:r w:rsidRPr="00672C44">
              <w:t>Establishing uniform parameters for maternal and fetal monitoring and provider notification prior to initiation of magnesium sulfate and during infusion.</w:t>
            </w:r>
          </w:p>
          <w:p w14:paraId="2CDB556A" w14:textId="77777777" w:rsidR="00762C35" w:rsidRPr="00672C44" w:rsidRDefault="00762C35" w:rsidP="00762C35">
            <w:pPr>
              <w:pStyle w:val="Bullet1"/>
            </w:pPr>
            <w:r>
              <w:t>U</w:t>
            </w:r>
            <w:r w:rsidRPr="00672C44">
              <w:t xml:space="preserve">niform reporting of serum magnesium levels (e.g., mg/dL, mEq/L, or mmmol/L). Bedside staff, providers, and lab personnel should agree on one unit for reporting and communicating magnesium levels to avoid miscommunication and delays in timely care. </w:t>
            </w:r>
          </w:p>
        </w:tc>
        <w:tc>
          <w:tcPr>
            <w:tcW w:w="4680" w:type="dxa"/>
          </w:tcPr>
          <w:p w14:paraId="756884B1" w14:textId="77777777" w:rsidR="00762C35" w:rsidRDefault="00762C35" w:rsidP="001B6FCB">
            <w:pPr>
              <w:pStyle w:val="SlideNumber"/>
              <w:spacing w:before="40" w:line="240" w:lineRule="auto"/>
              <w:rPr>
                <w:rFonts w:asciiTheme="minorBidi" w:hAnsiTheme="minorBidi" w:cstheme="minorBidi"/>
                <w:sz w:val="22"/>
              </w:rPr>
            </w:pPr>
            <w:r>
              <w:rPr>
                <w:rFonts w:asciiTheme="minorBidi" w:hAnsiTheme="minorBidi" w:cstheme="minorBidi"/>
                <w:sz w:val="22"/>
              </w:rPr>
              <w:t>Slide 21</w:t>
            </w:r>
          </w:p>
          <w:p w14:paraId="45B77B8D" w14:textId="340213B5" w:rsidR="001B6FCB" w:rsidRDefault="007E61ED" w:rsidP="007F3FA2">
            <w:pPr>
              <w:pStyle w:val="SlideNumber"/>
              <w:spacing w:before="40" w:line="240" w:lineRule="auto"/>
              <w:contextualSpacing/>
              <w:rPr>
                <w:rFonts w:asciiTheme="minorBidi" w:hAnsiTheme="minorBidi" w:cstheme="minorBidi"/>
                <w:sz w:val="22"/>
              </w:rPr>
            </w:pPr>
            <w:r w:rsidRPr="007E61ED">
              <w:rPr>
                <w:rFonts w:asciiTheme="minorBidi" w:hAnsiTheme="minorBidi" w:cstheme="minorBidi"/>
                <w:noProof/>
                <w:sz w:val="22"/>
              </w:rPr>
              <w:drawing>
                <wp:inline distT="0" distB="0" distL="0" distR="0" wp14:anchorId="4EBACDEF" wp14:editId="43D157E9">
                  <wp:extent cx="2755392" cy="2066544"/>
                  <wp:effectExtent l="0" t="0" r="6985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392" cy="206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464" w:rsidRPr="00C808E2" w14:paraId="5387C31B" w14:textId="77777777" w:rsidTr="00AF536F">
        <w:trPr>
          <w:cantSplit/>
          <w:trHeight w:val="8963"/>
        </w:trPr>
        <w:tc>
          <w:tcPr>
            <w:tcW w:w="4795" w:type="dxa"/>
          </w:tcPr>
          <w:p w14:paraId="7B70A37F" w14:textId="77777777" w:rsidR="00BE0464" w:rsidRPr="00672C44" w:rsidRDefault="00102314" w:rsidP="00D106E4">
            <w:pPr>
              <w:pStyle w:val="SayThis"/>
            </w:pPr>
            <w:r w:rsidRPr="00672C44">
              <w:lastRenderedPageBreak/>
              <w:t>SAY:</w:t>
            </w:r>
          </w:p>
          <w:p w14:paraId="2B3D34DA" w14:textId="77777777" w:rsidR="00102314" w:rsidRPr="00672C44" w:rsidRDefault="00102314" w:rsidP="00D106E4">
            <w:pPr>
              <w:pStyle w:val="BodyText1"/>
              <w:rPr>
                <w:b/>
              </w:rPr>
            </w:pPr>
            <w:r w:rsidRPr="00672C44">
              <w:t xml:space="preserve">The second </w:t>
            </w:r>
            <w:r w:rsidR="007D5653" w:rsidRPr="00672C44">
              <w:t>consideration</w:t>
            </w:r>
            <w:r w:rsidRPr="00672C44">
              <w:t xml:space="preserve"> </w:t>
            </w:r>
            <w:r w:rsidR="007D5653" w:rsidRPr="00672C44">
              <w:t>for</w:t>
            </w:r>
            <w:r w:rsidRPr="00672C44">
              <w:t xml:space="preserve"> Safe Medication Administration of Magnesium is </w:t>
            </w:r>
            <w:r w:rsidRPr="00672C44">
              <w:rPr>
                <w:i/>
              </w:rPr>
              <w:t>create independent checks</w:t>
            </w:r>
            <w:r w:rsidRPr="00672C44">
              <w:t xml:space="preserve">. </w:t>
            </w:r>
          </w:p>
          <w:p w14:paraId="66215075" w14:textId="77777777" w:rsidR="00102314" w:rsidRPr="00672C44" w:rsidRDefault="00102314" w:rsidP="00D106E4">
            <w:pPr>
              <w:pStyle w:val="BodyText1"/>
              <w:rPr>
                <w:b/>
              </w:rPr>
            </w:pPr>
            <w:r w:rsidRPr="00672C44">
              <w:t xml:space="preserve">The key </w:t>
            </w:r>
            <w:r w:rsidR="007D5653" w:rsidRPr="00672C44">
              <w:t>safety elements</w:t>
            </w:r>
            <w:r w:rsidRPr="00672C44">
              <w:t xml:space="preserve"> </w:t>
            </w:r>
            <w:r w:rsidR="007D5653" w:rsidRPr="00672C44">
              <w:t>for</w:t>
            </w:r>
            <w:r w:rsidRPr="00672C44">
              <w:t xml:space="preserve"> creating independent checks are</w:t>
            </w:r>
            <w:r w:rsidR="007138C8">
              <w:t xml:space="preserve"> the following</w:t>
            </w:r>
            <w:r w:rsidRPr="00672C44">
              <w:t xml:space="preserve">: </w:t>
            </w:r>
          </w:p>
          <w:p w14:paraId="27187A5D" w14:textId="77777777" w:rsidR="00102314" w:rsidRPr="00672C44" w:rsidRDefault="00102314" w:rsidP="00D106E4">
            <w:pPr>
              <w:pStyle w:val="Bullet1"/>
              <w:rPr>
                <w:b/>
              </w:rPr>
            </w:pPr>
            <w:r w:rsidRPr="00672C44">
              <w:t xml:space="preserve">Assessing appropriateness of magnesium </w:t>
            </w:r>
            <w:r w:rsidR="007D5653" w:rsidRPr="00672C44">
              <w:t xml:space="preserve">sulfate </w:t>
            </w:r>
            <w:r w:rsidRPr="00672C44">
              <w:t>use in patient by staff other than the ordering provider.</w:t>
            </w:r>
          </w:p>
          <w:p w14:paraId="711AFDCD" w14:textId="77777777" w:rsidR="00102314" w:rsidRPr="00672C44" w:rsidRDefault="007D5653" w:rsidP="00D106E4">
            <w:pPr>
              <w:pStyle w:val="Bullet1"/>
              <w:rPr>
                <w:b/>
              </w:rPr>
            </w:pPr>
            <w:r w:rsidRPr="00672C44">
              <w:t>Using</w:t>
            </w:r>
            <w:r w:rsidR="00102314" w:rsidRPr="00672C44">
              <w:t xml:space="preserve"> preprinted orders or electronic order entry for magnesium sulfate order.</w:t>
            </w:r>
          </w:p>
          <w:p w14:paraId="7269BD03" w14:textId="01660906" w:rsidR="00AF536F" w:rsidRPr="00C37501" w:rsidRDefault="007D5653" w:rsidP="00C37501">
            <w:pPr>
              <w:pStyle w:val="Bullet1"/>
              <w:rPr>
                <w:b/>
              </w:rPr>
            </w:pPr>
            <w:r w:rsidRPr="00672C44">
              <w:t>Using</w:t>
            </w:r>
            <w:r w:rsidR="00326D49" w:rsidRPr="00672C44">
              <w:t xml:space="preserve"> independent verification </w:t>
            </w:r>
            <w:r w:rsidR="00D97702">
              <w:t xml:space="preserve">by a second qualified staff member </w:t>
            </w:r>
            <w:r w:rsidR="00326D49" w:rsidRPr="00672C44">
              <w:t>whenever there is a rate change or a new magnesium sulfate bag is hung</w:t>
            </w:r>
            <w:r w:rsidR="00221F74">
              <w:t>. T</w:t>
            </w:r>
            <w:r w:rsidR="00D97702">
              <w:t xml:space="preserve">his includes a check that the </w:t>
            </w:r>
            <w:r w:rsidR="00326D49" w:rsidRPr="00672C44">
              <w:t>magnesium bag is clearly labeled</w:t>
            </w:r>
            <w:r w:rsidR="00221F74">
              <w:t xml:space="preserve"> and</w:t>
            </w:r>
            <w:r w:rsidR="00326D49" w:rsidRPr="00672C44">
              <w:t xml:space="preserve"> contains the correct dose, and that </w:t>
            </w:r>
            <w:r w:rsidR="00221F74">
              <w:t xml:space="preserve">the </w:t>
            </w:r>
            <w:r w:rsidR="00326D49" w:rsidRPr="00672C44">
              <w:t>tubin</w:t>
            </w:r>
            <w:r w:rsidR="00D97702">
              <w:t xml:space="preserve">g and pump are set up correctly. </w:t>
            </w:r>
          </w:p>
        </w:tc>
        <w:tc>
          <w:tcPr>
            <w:tcW w:w="4680" w:type="dxa"/>
          </w:tcPr>
          <w:p w14:paraId="5D851506" w14:textId="77777777" w:rsidR="00BE0464" w:rsidRDefault="00762C35" w:rsidP="007F3FA2">
            <w:pPr>
              <w:pStyle w:val="SlideNumber"/>
              <w:spacing w:before="40" w:line="240" w:lineRule="auto"/>
              <w:contextualSpacing/>
              <w:rPr>
                <w:rFonts w:asciiTheme="minorBidi" w:hAnsiTheme="minorBidi" w:cstheme="minorBidi"/>
                <w:sz w:val="22"/>
              </w:rPr>
            </w:pPr>
            <w:r>
              <w:rPr>
                <w:rFonts w:asciiTheme="minorBidi" w:hAnsiTheme="minorBidi" w:cstheme="minorBidi"/>
                <w:sz w:val="22"/>
              </w:rPr>
              <w:t>Slide 22</w:t>
            </w:r>
          </w:p>
          <w:p w14:paraId="5584679D" w14:textId="774CB951" w:rsidR="00102314" w:rsidRDefault="007E61ED" w:rsidP="007806AE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7E61ED">
              <w:rPr>
                <w:rFonts w:asciiTheme="minorBidi" w:hAnsiTheme="minorBidi" w:cstheme="minorBidi"/>
                <w:noProof/>
              </w:rPr>
              <w:drawing>
                <wp:inline distT="0" distB="0" distL="0" distR="0" wp14:anchorId="556E51BC" wp14:editId="63325B64">
                  <wp:extent cx="2755392" cy="2066544"/>
                  <wp:effectExtent l="0" t="0" r="6985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392" cy="206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C35" w:rsidRPr="00C808E2" w14:paraId="39FB809B" w14:textId="77777777" w:rsidTr="0025628C">
        <w:trPr>
          <w:cantSplit/>
        </w:trPr>
        <w:tc>
          <w:tcPr>
            <w:tcW w:w="4795" w:type="dxa"/>
          </w:tcPr>
          <w:p w14:paraId="1A54D12E" w14:textId="77777777" w:rsidR="00762C35" w:rsidRPr="00672C44" w:rsidRDefault="00762C35" w:rsidP="00762C35">
            <w:pPr>
              <w:pStyle w:val="SayThis"/>
            </w:pPr>
            <w:r w:rsidRPr="00672C44">
              <w:lastRenderedPageBreak/>
              <w:t>SAY:</w:t>
            </w:r>
          </w:p>
          <w:p w14:paraId="42E99A8B" w14:textId="77777777" w:rsidR="00AF536F" w:rsidRPr="00D97702" w:rsidRDefault="00AF536F" w:rsidP="00AF536F">
            <w:pPr>
              <w:pStyle w:val="Bullet1"/>
              <w:rPr>
                <w:b/>
              </w:rPr>
            </w:pPr>
            <w:r w:rsidRPr="00672C44">
              <w:t xml:space="preserve">Using </w:t>
            </w:r>
            <w:r>
              <w:t xml:space="preserve">the unit-established standard </w:t>
            </w:r>
            <w:r w:rsidRPr="00672C44">
              <w:t>parameters for maternal and fetal monitoring at regular interv</w:t>
            </w:r>
            <w:r>
              <w:t>als while receiving magnesium sulfate.</w:t>
            </w:r>
          </w:p>
          <w:p w14:paraId="16DA8F41" w14:textId="77777777" w:rsidR="00AF536F" w:rsidRPr="00672C44" w:rsidRDefault="00AF536F" w:rsidP="00AF536F">
            <w:pPr>
              <w:pStyle w:val="Bullet1"/>
              <w:rPr>
                <w:b/>
              </w:rPr>
            </w:pPr>
            <w:r>
              <w:t>Ensuring that the unit has a process for timely notification and provider response expectations for when maternal or fetal parameters are out of range; unit should have a process for getting a rapid response to get additional “eyes” on the patient to prevent further deterioration.</w:t>
            </w:r>
          </w:p>
          <w:p w14:paraId="59B67266" w14:textId="77777777" w:rsidR="00AF536F" w:rsidRPr="00672C44" w:rsidRDefault="00AF536F" w:rsidP="00AF536F">
            <w:pPr>
              <w:pStyle w:val="Bullet1"/>
              <w:rPr>
                <w:b/>
              </w:rPr>
            </w:pPr>
            <w:r w:rsidRPr="00672C44">
              <w:t>Using unit-established standing orders</w:t>
            </w:r>
            <w:r>
              <w:t xml:space="preserve"> to allow</w:t>
            </w:r>
            <w:r w:rsidRPr="00672C44">
              <w:t xml:space="preserve"> nurses to provide initial management in response to suspected magnesium toxicity. Standing orders for can include</w:t>
            </w:r>
            <w:r>
              <w:t>—</w:t>
            </w:r>
          </w:p>
          <w:p w14:paraId="474F9F53" w14:textId="77777777" w:rsidR="00AF536F" w:rsidRPr="00D97702" w:rsidRDefault="00AF536F" w:rsidP="00AF536F">
            <w:pPr>
              <w:pStyle w:val="Bullet2"/>
              <w:spacing w:after="0"/>
              <w:rPr>
                <w:b/>
                <w:sz w:val="20"/>
                <w:szCs w:val="20"/>
              </w:rPr>
            </w:pPr>
            <w:r w:rsidRPr="00D97702">
              <w:rPr>
                <w:sz w:val="20"/>
                <w:szCs w:val="20"/>
              </w:rPr>
              <w:t>activating a rapid response (i.e., call for additional help),</w:t>
            </w:r>
          </w:p>
          <w:p w14:paraId="54A01F0C" w14:textId="77777777" w:rsidR="00AF536F" w:rsidRPr="00D97702" w:rsidRDefault="00AF536F" w:rsidP="00AF536F">
            <w:pPr>
              <w:pStyle w:val="Bullet2"/>
              <w:spacing w:after="0"/>
              <w:rPr>
                <w:b/>
                <w:sz w:val="20"/>
                <w:szCs w:val="20"/>
              </w:rPr>
            </w:pPr>
            <w:r w:rsidRPr="00D97702">
              <w:rPr>
                <w:sz w:val="20"/>
                <w:szCs w:val="20"/>
              </w:rPr>
              <w:t>stopping the infusion,</w:t>
            </w:r>
          </w:p>
          <w:p w14:paraId="1DD3FEC8" w14:textId="77777777" w:rsidR="00AF536F" w:rsidRPr="00D97702" w:rsidRDefault="00AF536F" w:rsidP="00AF536F">
            <w:pPr>
              <w:pStyle w:val="Bullet2"/>
              <w:spacing w:after="0"/>
              <w:rPr>
                <w:sz w:val="20"/>
                <w:szCs w:val="20"/>
              </w:rPr>
            </w:pPr>
            <w:r w:rsidRPr="00D97702">
              <w:rPr>
                <w:sz w:val="20"/>
                <w:szCs w:val="20"/>
              </w:rPr>
              <w:t>monitoring vital signs, including oxygen saturation and respiratory rate and pattern,</w:t>
            </w:r>
          </w:p>
          <w:p w14:paraId="68E1F5F3" w14:textId="77777777" w:rsidR="00762C35" w:rsidRPr="00672C44" w:rsidRDefault="00AF536F" w:rsidP="00AF536F">
            <w:pPr>
              <w:pStyle w:val="Bullet2"/>
            </w:pPr>
            <w:r w:rsidRPr="00D97702">
              <w:rPr>
                <w:sz w:val="20"/>
                <w:szCs w:val="20"/>
              </w:rPr>
              <w:t>administering the antidote (i.e., calcium gluconate).</w:t>
            </w:r>
          </w:p>
        </w:tc>
        <w:tc>
          <w:tcPr>
            <w:tcW w:w="4680" w:type="dxa"/>
          </w:tcPr>
          <w:p w14:paraId="3FA56D6E" w14:textId="77777777" w:rsidR="00762C35" w:rsidRDefault="00762C35" w:rsidP="001B6FCB">
            <w:pPr>
              <w:pStyle w:val="SlideNumber"/>
              <w:spacing w:before="40" w:line="240" w:lineRule="auto"/>
              <w:rPr>
                <w:rFonts w:asciiTheme="minorBidi" w:hAnsiTheme="minorBidi" w:cstheme="minorBidi"/>
                <w:sz w:val="22"/>
              </w:rPr>
            </w:pPr>
            <w:r>
              <w:rPr>
                <w:rFonts w:asciiTheme="minorBidi" w:hAnsiTheme="minorBidi" w:cstheme="minorBidi"/>
                <w:sz w:val="22"/>
              </w:rPr>
              <w:t>Slide 23</w:t>
            </w:r>
          </w:p>
          <w:p w14:paraId="4863DBFE" w14:textId="1F77C029" w:rsidR="00762C35" w:rsidRDefault="006B64A0" w:rsidP="007F3FA2">
            <w:pPr>
              <w:pStyle w:val="SlideNumber"/>
              <w:spacing w:before="40" w:line="240" w:lineRule="auto"/>
              <w:contextualSpacing/>
              <w:rPr>
                <w:rFonts w:asciiTheme="minorBidi" w:hAnsiTheme="minorBidi" w:cstheme="minorBidi"/>
                <w:sz w:val="22"/>
              </w:rPr>
            </w:pPr>
            <w:r w:rsidRPr="006B64A0">
              <w:rPr>
                <w:rFonts w:asciiTheme="minorBidi" w:hAnsiTheme="minorBidi" w:cstheme="minorBidi"/>
                <w:noProof/>
                <w:sz w:val="22"/>
              </w:rPr>
              <w:drawing>
                <wp:inline distT="0" distB="0" distL="0" distR="0" wp14:anchorId="5013966C" wp14:editId="59AC0DA9">
                  <wp:extent cx="2755392" cy="2066544"/>
                  <wp:effectExtent l="0" t="0" r="6985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392" cy="206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464" w:rsidRPr="00C808E2" w14:paraId="55898CA3" w14:textId="77777777" w:rsidTr="0025628C">
        <w:trPr>
          <w:cantSplit/>
        </w:trPr>
        <w:tc>
          <w:tcPr>
            <w:tcW w:w="4795" w:type="dxa"/>
          </w:tcPr>
          <w:p w14:paraId="00819247" w14:textId="77777777" w:rsidR="00BE0464" w:rsidRPr="00672C44" w:rsidRDefault="00326D49" w:rsidP="00D106E4">
            <w:pPr>
              <w:pStyle w:val="SayThis"/>
            </w:pPr>
            <w:r w:rsidRPr="00672C44">
              <w:lastRenderedPageBreak/>
              <w:t>SAY:</w:t>
            </w:r>
          </w:p>
          <w:p w14:paraId="05D56AB7" w14:textId="77777777" w:rsidR="00326D49" w:rsidRPr="00672C44" w:rsidRDefault="00326D49" w:rsidP="00D106E4">
            <w:pPr>
              <w:pStyle w:val="BodyText1"/>
              <w:rPr>
                <w:b/>
              </w:rPr>
            </w:pPr>
            <w:r w:rsidRPr="00672C44">
              <w:t xml:space="preserve">The third </w:t>
            </w:r>
            <w:r w:rsidR="007D5653" w:rsidRPr="00672C44">
              <w:t>consideration</w:t>
            </w:r>
            <w:r w:rsidRPr="00672C44">
              <w:t xml:space="preserve"> of Safe Medication Administration of </w:t>
            </w:r>
            <w:r w:rsidR="00221F74">
              <w:t>m</w:t>
            </w:r>
            <w:r w:rsidRPr="00672C44">
              <w:t xml:space="preserve">agnesium is </w:t>
            </w:r>
            <w:r w:rsidRPr="00672C44">
              <w:rPr>
                <w:i/>
              </w:rPr>
              <w:t>learn from defects</w:t>
            </w:r>
            <w:r w:rsidRPr="00672C44">
              <w:t xml:space="preserve">. </w:t>
            </w:r>
          </w:p>
          <w:p w14:paraId="676B9571" w14:textId="77777777" w:rsidR="00326D49" w:rsidRPr="00672C44" w:rsidRDefault="00326D49" w:rsidP="00D106E4">
            <w:pPr>
              <w:pStyle w:val="BodyText1"/>
              <w:rPr>
                <w:b/>
              </w:rPr>
            </w:pPr>
            <w:r w:rsidRPr="00672C44">
              <w:t xml:space="preserve">The key </w:t>
            </w:r>
            <w:r w:rsidR="007D5653" w:rsidRPr="00672C44">
              <w:t>safety elements</w:t>
            </w:r>
            <w:r w:rsidRPr="00672C44">
              <w:t xml:space="preserve"> of learning from defects are</w:t>
            </w:r>
            <w:r w:rsidR="00672C44" w:rsidRPr="00672C44">
              <w:t xml:space="preserve"> the same as for oxytocin</w:t>
            </w:r>
            <w:r w:rsidRPr="00672C44">
              <w:t>:</w:t>
            </w:r>
          </w:p>
          <w:p w14:paraId="255106C6" w14:textId="77777777" w:rsidR="004210F6" w:rsidRPr="004210F6" w:rsidRDefault="00326D49" w:rsidP="00D106E4">
            <w:pPr>
              <w:pStyle w:val="Bullet1"/>
            </w:pPr>
            <w:r w:rsidRPr="00672C44">
              <w:t>Debrief</w:t>
            </w:r>
            <w:r w:rsidR="005370F5">
              <w:t>ing</w:t>
            </w:r>
            <w:r w:rsidRPr="00672C44">
              <w:t xml:space="preserve"> near misses and adverse events related to magnesium sulfate use</w:t>
            </w:r>
            <w:r w:rsidR="007D5653" w:rsidRPr="00672C44">
              <w:t xml:space="preserve">. </w:t>
            </w:r>
          </w:p>
          <w:p w14:paraId="307D91AD" w14:textId="77777777" w:rsidR="00326D49" w:rsidRPr="00D97702" w:rsidRDefault="005370F5" w:rsidP="00C60834">
            <w:pPr>
              <w:pStyle w:val="Bullet1"/>
              <w:rPr>
                <w:b/>
              </w:rPr>
            </w:pPr>
            <w:r>
              <w:t>Putting</w:t>
            </w:r>
            <w:r w:rsidR="00902F4D">
              <w:t xml:space="preserve"> a</w:t>
            </w:r>
            <w:r w:rsidR="00326D49" w:rsidRPr="00672C44">
              <w:t xml:space="preserve"> process in place to review use of magnesium sulfate </w:t>
            </w:r>
            <w:r w:rsidR="004210F6">
              <w:t xml:space="preserve">and oxytocin use </w:t>
            </w:r>
            <w:r w:rsidR="00326D49" w:rsidRPr="00672C44">
              <w:t>outside of defined indications and a process</w:t>
            </w:r>
            <w:r w:rsidR="00326D49" w:rsidRPr="0019391D">
              <w:t xml:space="preserve"> in place to review severe maternal or neonatal morbidity and mortality events. </w:t>
            </w:r>
            <w:r w:rsidR="00D97702">
              <w:t>A resource for a sample process and review forms are available in the tool that accompanies this presentation.</w:t>
            </w:r>
          </w:p>
          <w:p w14:paraId="5C4A7915" w14:textId="77777777" w:rsidR="00326D49" w:rsidRPr="00672C44" w:rsidRDefault="00326D49" w:rsidP="00D106E4">
            <w:pPr>
              <w:pStyle w:val="Bullet1"/>
            </w:pPr>
            <w:r w:rsidRPr="00672C44">
              <w:t>Shar</w:t>
            </w:r>
            <w:r w:rsidR="005370F5">
              <w:t>ing</w:t>
            </w:r>
            <w:r w:rsidRPr="00672C44">
              <w:t xml:space="preserve"> outcomes or process improvements from the informal (debriefing) and formal analysis with staff to achieve transparency and organizational learning</w:t>
            </w:r>
            <w:r w:rsidR="004C662C">
              <w:t>.</w:t>
            </w:r>
          </w:p>
        </w:tc>
        <w:tc>
          <w:tcPr>
            <w:tcW w:w="4680" w:type="dxa"/>
          </w:tcPr>
          <w:p w14:paraId="3013EF4D" w14:textId="77777777" w:rsidR="00BE0464" w:rsidRDefault="00AF536F" w:rsidP="007F3FA2">
            <w:pPr>
              <w:pStyle w:val="SlideNumber"/>
              <w:spacing w:before="40" w:line="240" w:lineRule="auto"/>
              <w:contextualSpacing/>
              <w:rPr>
                <w:b w:val="0"/>
                <w:i w:val="0"/>
                <w:noProof/>
                <w:sz w:val="22"/>
              </w:rPr>
            </w:pPr>
            <w:r>
              <w:rPr>
                <w:rFonts w:asciiTheme="minorBidi" w:hAnsiTheme="minorBidi" w:cstheme="minorBidi"/>
                <w:sz w:val="22"/>
              </w:rPr>
              <w:t>Slide 24</w:t>
            </w:r>
          </w:p>
          <w:p w14:paraId="07D01A31" w14:textId="2AA633D5" w:rsidR="007806AE" w:rsidRDefault="006B64A0" w:rsidP="007806AE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6B64A0">
              <w:rPr>
                <w:rFonts w:asciiTheme="minorBidi" w:hAnsiTheme="minorBidi" w:cstheme="minorBidi"/>
                <w:noProof/>
              </w:rPr>
              <w:drawing>
                <wp:inline distT="0" distB="0" distL="0" distR="0" wp14:anchorId="451F4D91" wp14:editId="00DB3510">
                  <wp:extent cx="2755392" cy="2066544"/>
                  <wp:effectExtent l="0" t="0" r="6985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392" cy="206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464" w:rsidRPr="00C808E2" w14:paraId="3EE971EE" w14:textId="77777777" w:rsidTr="007A6C2A">
        <w:trPr>
          <w:cantSplit/>
        </w:trPr>
        <w:tc>
          <w:tcPr>
            <w:tcW w:w="4795" w:type="dxa"/>
          </w:tcPr>
          <w:p w14:paraId="18E523F5" w14:textId="77777777" w:rsidR="00BE0464" w:rsidRPr="00672C44" w:rsidRDefault="00326D49" w:rsidP="00D106E4">
            <w:pPr>
              <w:pStyle w:val="SayThis"/>
            </w:pPr>
            <w:r w:rsidRPr="00672C44">
              <w:lastRenderedPageBreak/>
              <w:t xml:space="preserve">SAY: </w:t>
            </w:r>
          </w:p>
          <w:p w14:paraId="29A12035" w14:textId="77777777" w:rsidR="00672C44" w:rsidRDefault="00326D49" w:rsidP="00D106E4">
            <w:pPr>
              <w:pStyle w:val="BodyText1"/>
              <w:rPr>
                <w:b/>
              </w:rPr>
            </w:pPr>
            <w:r w:rsidRPr="00672C44">
              <w:t xml:space="preserve">The fourth </w:t>
            </w:r>
            <w:r w:rsidR="001A688A" w:rsidRPr="00672C44">
              <w:t>consideration for</w:t>
            </w:r>
            <w:r w:rsidRPr="00672C44">
              <w:t xml:space="preserve"> Safe Medication Administration of Magnesium Sulfate is </w:t>
            </w:r>
            <w:r w:rsidR="00351215">
              <w:rPr>
                <w:i/>
              </w:rPr>
              <w:t>s</w:t>
            </w:r>
            <w:r w:rsidR="00351215" w:rsidRPr="00672C44">
              <w:rPr>
                <w:i/>
              </w:rPr>
              <w:t>imulation</w:t>
            </w:r>
            <w:r w:rsidR="00DE54CD" w:rsidRPr="00672C44">
              <w:rPr>
                <w:i/>
              </w:rPr>
              <w:t xml:space="preserve">. </w:t>
            </w:r>
            <w:r w:rsidR="00672C44" w:rsidRPr="00672C44">
              <w:t xml:space="preserve">Team-based </w:t>
            </w:r>
            <w:r w:rsidR="00672C44" w:rsidRPr="00C60834">
              <w:t>in situ</w:t>
            </w:r>
            <w:r w:rsidR="00672C44" w:rsidRPr="00672C44">
              <w:t xml:space="preserve"> simulation can improve knowledge, practical skills, communication, and team performance in acute situations.</w:t>
            </w:r>
          </w:p>
          <w:p w14:paraId="255D5F8E" w14:textId="2117C356" w:rsidR="00672C44" w:rsidRPr="00672C44" w:rsidRDefault="00672C44" w:rsidP="00D106E4">
            <w:pPr>
              <w:pStyle w:val="BodyText1"/>
              <w:rPr>
                <w:b/>
              </w:rPr>
            </w:pPr>
            <w:r>
              <w:t>Two sample</w:t>
            </w:r>
            <w:r w:rsidRPr="00672C44">
              <w:t xml:space="preserve"> scenario</w:t>
            </w:r>
            <w:r>
              <w:t>s</w:t>
            </w:r>
            <w:r w:rsidRPr="00672C44">
              <w:t xml:space="preserve"> related to </w:t>
            </w:r>
            <w:r>
              <w:rPr>
                <w:iCs/>
              </w:rPr>
              <w:t>magnesium sulfate use</w:t>
            </w:r>
            <w:r w:rsidRPr="00672C44">
              <w:rPr>
                <w:i/>
                <w:iCs/>
              </w:rPr>
              <w:t xml:space="preserve"> </w:t>
            </w:r>
            <w:r>
              <w:t>are</w:t>
            </w:r>
            <w:r w:rsidR="00351215">
              <w:t xml:space="preserve"> </w:t>
            </w:r>
            <w:r w:rsidRPr="00672C44">
              <w:t xml:space="preserve">available through the SPPC to train teams on some of the key safety elements related to </w:t>
            </w:r>
            <w:r>
              <w:t>magnesium sulfate</w:t>
            </w:r>
            <w:r w:rsidRPr="00672C44">
              <w:t xml:space="preserve"> use. </w:t>
            </w:r>
            <w:r>
              <w:t>One focuses on magnesium toxicity, and one focuses on preeclampsia/</w:t>
            </w:r>
            <w:r w:rsidR="005370F5">
              <w:t>seizure</w:t>
            </w:r>
            <w:r>
              <w:t>.</w:t>
            </w:r>
            <w:r w:rsidR="00351215">
              <w:t xml:space="preserve"> </w:t>
            </w:r>
            <w:r w:rsidRPr="00672C44">
              <w:t>Th</w:t>
            </w:r>
            <w:r>
              <w:t>ese</w:t>
            </w:r>
            <w:r w:rsidRPr="00672C44">
              <w:t xml:space="preserve"> scenario</w:t>
            </w:r>
            <w:r w:rsidR="00351215">
              <w:t>s</w:t>
            </w:r>
            <w:r w:rsidRPr="00672C44">
              <w:t xml:space="preserve"> reinforce teamwork and communication related to</w:t>
            </w:r>
            <w:r w:rsidR="00221F74">
              <w:rPr>
                <w:rFonts w:cs="Arial"/>
              </w:rPr>
              <w:t>—</w:t>
            </w:r>
          </w:p>
          <w:p w14:paraId="0A279D4F" w14:textId="77777777" w:rsidR="00326D49" w:rsidRPr="00672C44" w:rsidRDefault="00326D49" w:rsidP="00D106E4">
            <w:pPr>
              <w:pStyle w:val="Bullet1"/>
              <w:rPr>
                <w:b/>
              </w:rPr>
            </w:pPr>
            <w:r w:rsidRPr="00672C44">
              <w:t>situational awareness</w:t>
            </w:r>
            <w:r w:rsidR="00395E9D">
              <w:t>,</w:t>
            </w:r>
          </w:p>
          <w:p w14:paraId="2CCAA78F" w14:textId="77777777" w:rsidR="00326D49" w:rsidRPr="00672C44" w:rsidRDefault="00326D49" w:rsidP="00D106E4">
            <w:pPr>
              <w:pStyle w:val="Bullet1"/>
              <w:rPr>
                <w:b/>
              </w:rPr>
            </w:pPr>
            <w:r w:rsidRPr="00672C44">
              <w:t>ability to get additional help quickly</w:t>
            </w:r>
            <w:r w:rsidR="00395E9D">
              <w:t>,</w:t>
            </w:r>
          </w:p>
          <w:p w14:paraId="758AD3D7" w14:textId="77777777" w:rsidR="00326D49" w:rsidRPr="00672C44" w:rsidRDefault="00326D49" w:rsidP="00D106E4">
            <w:pPr>
              <w:pStyle w:val="Bullet1"/>
              <w:rPr>
                <w:b/>
              </w:rPr>
            </w:pPr>
            <w:r w:rsidRPr="00672C44">
              <w:t>timely use of standing orders for managing magnesium sulfate toxicity</w:t>
            </w:r>
            <w:r w:rsidR="00395E9D">
              <w:t>,</w:t>
            </w:r>
          </w:p>
          <w:p w14:paraId="69EDD677" w14:textId="77777777" w:rsidR="00326D49" w:rsidRPr="00672C44" w:rsidRDefault="00326D49" w:rsidP="00D106E4">
            <w:pPr>
              <w:pStyle w:val="Bullet1"/>
              <w:rPr>
                <w:b/>
              </w:rPr>
            </w:pPr>
            <w:r w:rsidRPr="00672C44">
              <w:t>communicati</w:t>
            </w:r>
            <w:r w:rsidR="00221F74">
              <w:t>o</w:t>
            </w:r>
            <w:r w:rsidRPr="00672C44">
              <w:t>n with rapid responders</w:t>
            </w:r>
            <w:r w:rsidR="00395E9D">
              <w:t>, and</w:t>
            </w:r>
          </w:p>
          <w:p w14:paraId="64497AB4" w14:textId="77777777" w:rsidR="001A688A" w:rsidRPr="007A6C2A" w:rsidRDefault="00326D49" w:rsidP="00221F74">
            <w:pPr>
              <w:pStyle w:val="Bullet1"/>
            </w:pPr>
            <w:r w:rsidRPr="00672C44">
              <w:t>communicati</w:t>
            </w:r>
            <w:r w:rsidR="00221F74">
              <w:t>o</w:t>
            </w:r>
            <w:r w:rsidRPr="00672C44">
              <w:t>n with patient/family</w:t>
            </w:r>
            <w:r w:rsidR="00395E9D">
              <w:t>.</w:t>
            </w:r>
          </w:p>
        </w:tc>
        <w:tc>
          <w:tcPr>
            <w:tcW w:w="4680" w:type="dxa"/>
          </w:tcPr>
          <w:p w14:paraId="71F545AC" w14:textId="77777777" w:rsidR="00BE0464" w:rsidRDefault="00AF536F" w:rsidP="007F3FA2">
            <w:pPr>
              <w:pStyle w:val="SlideNumber"/>
              <w:spacing w:before="40" w:line="240" w:lineRule="auto"/>
              <w:contextualSpacing/>
              <w:rPr>
                <w:rFonts w:asciiTheme="minorBidi" w:hAnsiTheme="minorBidi" w:cstheme="minorBidi"/>
                <w:sz w:val="22"/>
              </w:rPr>
            </w:pPr>
            <w:r>
              <w:rPr>
                <w:rFonts w:asciiTheme="minorBidi" w:hAnsiTheme="minorBidi" w:cstheme="minorBidi"/>
                <w:sz w:val="22"/>
              </w:rPr>
              <w:t>Slide 25</w:t>
            </w:r>
          </w:p>
          <w:p w14:paraId="697EC21B" w14:textId="278A6E9D" w:rsidR="00DE54CD" w:rsidRDefault="006B64A0" w:rsidP="007806AE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6B64A0">
              <w:rPr>
                <w:rFonts w:asciiTheme="minorBidi" w:hAnsiTheme="minorBidi" w:cstheme="minorBidi"/>
                <w:noProof/>
              </w:rPr>
              <w:drawing>
                <wp:inline distT="0" distB="0" distL="0" distR="0" wp14:anchorId="04C24665" wp14:editId="4DB84665">
                  <wp:extent cx="2755392" cy="2066544"/>
                  <wp:effectExtent l="0" t="0" r="6985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392" cy="206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464" w:rsidRPr="00C808E2" w14:paraId="01A9CD5F" w14:textId="77777777" w:rsidTr="0025628C">
        <w:trPr>
          <w:cantSplit/>
          <w:trHeight w:val="11483"/>
        </w:trPr>
        <w:tc>
          <w:tcPr>
            <w:tcW w:w="4795" w:type="dxa"/>
          </w:tcPr>
          <w:p w14:paraId="1CC4956C" w14:textId="77777777" w:rsidR="00BE0464" w:rsidRDefault="00DE54CD" w:rsidP="00D106E4">
            <w:pPr>
              <w:pStyle w:val="SayThis"/>
            </w:pPr>
            <w:r>
              <w:lastRenderedPageBreak/>
              <w:t xml:space="preserve">SAY: </w:t>
            </w:r>
          </w:p>
          <w:p w14:paraId="3CA52188" w14:textId="77777777" w:rsidR="00DE54CD" w:rsidRPr="004C4237" w:rsidRDefault="00DE54CD" w:rsidP="00D106E4">
            <w:pPr>
              <w:pStyle w:val="BodyText1"/>
              <w:rPr>
                <w:b/>
              </w:rPr>
            </w:pPr>
            <w:r w:rsidRPr="004C4237">
              <w:t xml:space="preserve">The fifth </w:t>
            </w:r>
            <w:r w:rsidR="001A688A" w:rsidRPr="004C4237">
              <w:t>consideration for</w:t>
            </w:r>
            <w:r w:rsidRPr="004C4237">
              <w:t xml:space="preserve"> Safe Medication Administration of Magnesium </w:t>
            </w:r>
            <w:r w:rsidR="00395E9D">
              <w:t>S</w:t>
            </w:r>
            <w:r w:rsidR="00395E9D" w:rsidRPr="004C4237">
              <w:t xml:space="preserve">ulfate </w:t>
            </w:r>
            <w:r w:rsidRPr="004C4237">
              <w:t xml:space="preserve">is </w:t>
            </w:r>
            <w:r w:rsidRPr="004C4237">
              <w:rPr>
                <w:i/>
              </w:rPr>
              <w:t>teamwork training</w:t>
            </w:r>
            <w:r w:rsidR="004C4237" w:rsidRPr="004C4237">
              <w:rPr>
                <w:i/>
              </w:rPr>
              <w:t>.</w:t>
            </w:r>
          </w:p>
          <w:p w14:paraId="26043B52" w14:textId="77777777" w:rsidR="002D11DB" w:rsidRPr="004C4237" w:rsidRDefault="004C4237" w:rsidP="00D106E4">
            <w:pPr>
              <w:pStyle w:val="BodyText1"/>
              <w:rPr>
                <w:b/>
              </w:rPr>
            </w:pPr>
            <w:r w:rsidRPr="004C4237">
              <w:t>This aspect of perinatal safety</w:t>
            </w:r>
            <w:r>
              <w:t xml:space="preserve"> is similar to what was discussed for oxytocin, and includes</w:t>
            </w:r>
            <w:r w:rsidRPr="004C4237">
              <w:t xml:space="preserve"> </w:t>
            </w:r>
            <w:r>
              <w:t>fostering</w:t>
            </w:r>
            <w:r w:rsidRPr="004C4237">
              <w:t xml:space="preserve"> a culture of teamwork and communication to promote effective teamwork. TeamSTEPPS</w:t>
            </w:r>
            <w:r w:rsidRPr="004C4237">
              <w:rPr>
                <w:vertAlign w:val="superscript"/>
              </w:rPr>
              <w:t xml:space="preserve">® </w:t>
            </w:r>
            <w:r w:rsidRPr="004C4237">
              <w:t xml:space="preserve">teamwork training offers several useful communication techniques applicable to the use of </w:t>
            </w:r>
            <w:r>
              <w:t>magnesium sulfate.</w:t>
            </w:r>
          </w:p>
          <w:p w14:paraId="0B647542" w14:textId="77777777" w:rsidR="004C4237" w:rsidRDefault="002D11DB" w:rsidP="00D106E4">
            <w:pPr>
              <w:pStyle w:val="Bullet1"/>
              <w:rPr>
                <w:b/>
              </w:rPr>
            </w:pPr>
            <w:r w:rsidRPr="004C4237">
              <w:t>Having s</w:t>
            </w:r>
            <w:r w:rsidR="00DE54CD" w:rsidRPr="004C4237">
              <w:t xml:space="preserve">ituational awareness </w:t>
            </w:r>
            <w:r w:rsidRPr="004C4237">
              <w:t xml:space="preserve">during magnesium sulfate use. Situational awareness </w:t>
            </w:r>
            <w:r w:rsidR="00DE54CD" w:rsidRPr="004C4237">
              <w:t xml:space="preserve">refers to all staff caring for the patient knowing what the patient’s plan is through briefings and team management, </w:t>
            </w:r>
          </w:p>
          <w:p w14:paraId="27F32EDC" w14:textId="77777777" w:rsidR="004C4237" w:rsidRPr="004C4237" w:rsidRDefault="002D11DB" w:rsidP="00D106E4">
            <w:pPr>
              <w:pStyle w:val="Bullet1"/>
              <w:rPr>
                <w:b/>
              </w:rPr>
            </w:pPr>
            <w:r w:rsidRPr="004C4237">
              <w:t>Using</w:t>
            </w:r>
            <w:r w:rsidR="00DE54CD" w:rsidRPr="004C4237">
              <w:t xml:space="preserve"> SBAR, callouts,</w:t>
            </w:r>
            <w:r w:rsidR="00A438BE" w:rsidRPr="004C4237">
              <w:t xml:space="preserve"> </w:t>
            </w:r>
            <w:r w:rsidR="00DE54CD" w:rsidRPr="004C4237">
              <w:t>and closed</w:t>
            </w:r>
            <w:r w:rsidR="00D45C53">
              <w:t>-</w:t>
            </w:r>
            <w:r w:rsidR="00DE54CD" w:rsidRPr="004C4237">
              <w:t>loop communication among team members. In the context of magnesium sulfate use, these techniques are particularly us</w:t>
            </w:r>
            <w:r w:rsidR="0046060B" w:rsidRPr="004C4237">
              <w:t>eful for c</w:t>
            </w:r>
            <w:r w:rsidR="00DE54CD" w:rsidRPr="004C4237">
              <w:t>ommunicating changes in maternal or fetal status</w:t>
            </w:r>
            <w:r w:rsidR="004C4237" w:rsidRPr="004C4237">
              <w:t xml:space="preserve"> to the care team, for checking back on orders given and received in an urgent situation, such as a seizure or magnesium toxicity, and for</w:t>
            </w:r>
            <w:r w:rsidR="0046060B" w:rsidRPr="004C4237">
              <w:t xml:space="preserve"> briefing a new care team member</w:t>
            </w:r>
            <w:r w:rsidR="00DE54CD" w:rsidRPr="004C4237">
              <w:t xml:space="preserve"> who arrive</w:t>
            </w:r>
            <w:r w:rsidR="0046060B" w:rsidRPr="004C4237">
              <w:t>s to help with a rapid response</w:t>
            </w:r>
            <w:r w:rsidR="004C4237">
              <w:t>.</w:t>
            </w:r>
          </w:p>
          <w:p w14:paraId="37596525" w14:textId="77777777" w:rsidR="00DE54CD" w:rsidRPr="004C4237" w:rsidRDefault="0046060B" w:rsidP="00D106E4">
            <w:pPr>
              <w:pStyle w:val="Bullet1"/>
              <w:rPr>
                <w:b/>
              </w:rPr>
            </w:pPr>
            <w:r w:rsidRPr="004C4237">
              <w:t>Using</w:t>
            </w:r>
            <w:r w:rsidR="00DE54CD" w:rsidRPr="004C4237">
              <w:t xml:space="preserve"> transition communication techniques to </w:t>
            </w:r>
            <w:r w:rsidR="00D81DF6">
              <w:t>en</w:t>
            </w:r>
            <w:r w:rsidR="00D81DF6" w:rsidRPr="004C4237">
              <w:t xml:space="preserve">sure </w:t>
            </w:r>
            <w:r w:rsidR="00DE54CD" w:rsidRPr="004C4237">
              <w:t>a shared mental model of plan of care and perceived risks between shifts or between units. This may include be</w:t>
            </w:r>
            <w:r w:rsidR="00D81DF6">
              <w:t>d</w:t>
            </w:r>
            <w:r w:rsidR="00DE54CD" w:rsidRPr="004C4237">
              <w:t xml:space="preserve">side review by nursing team of pump settings, mainline </w:t>
            </w:r>
            <w:r w:rsidR="00221F74">
              <w:t xml:space="preserve">intravenous </w:t>
            </w:r>
            <w:r w:rsidR="00DE54CD" w:rsidRPr="004C4237">
              <w:t>fluids, and writt</w:t>
            </w:r>
            <w:r w:rsidR="004C4237">
              <w:t xml:space="preserve">en orders for magnesium sulfate. </w:t>
            </w:r>
          </w:p>
          <w:p w14:paraId="7B8A1142" w14:textId="77777777" w:rsidR="0046060B" w:rsidRPr="004C4237" w:rsidRDefault="0046060B" w:rsidP="00D106E4">
            <w:pPr>
              <w:pStyle w:val="Bullet1"/>
              <w:rPr>
                <w:b/>
              </w:rPr>
            </w:pPr>
            <w:r w:rsidRPr="004C4237">
              <w:t>Having high</w:t>
            </w:r>
            <w:r w:rsidR="00D81DF6">
              <w:t>-</w:t>
            </w:r>
            <w:r w:rsidRPr="004C4237">
              <w:t>reliability teams</w:t>
            </w:r>
            <w:r w:rsidR="00D81DF6">
              <w:t>.</w:t>
            </w:r>
          </w:p>
        </w:tc>
        <w:tc>
          <w:tcPr>
            <w:tcW w:w="4680" w:type="dxa"/>
          </w:tcPr>
          <w:p w14:paraId="7AC5027D" w14:textId="77777777" w:rsidR="00BE0464" w:rsidRDefault="00AF536F" w:rsidP="007F3FA2">
            <w:pPr>
              <w:pStyle w:val="SlideNumber"/>
              <w:spacing w:before="40" w:line="240" w:lineRule="auto"/>
              <w:contextualSpacing/>
              <w:rPr>
                <w:rFonts w:asciiTheme="minorBidi" w:hAnsiTheme="minorBidi" w:cstheme="minorBidi"/>
                <w:sz w:val="22"/>
              </w:rPr>
            </w:pPr>
            <w:r>
              <w:rPr>
                <w:rFonts w:asciiTheme="minorBidi" w:hAnsiTheme="minorBidi" w:cstheme="minorBidi"/>
                <w:sz w:val="22"/>
              </w:rPr>
              <w:t>Slide 26</w:t>
            </w:r>
          </w:p>
          <w:p w14:paraId="72FD7CCE" w14:textId="4FED1FED" w:rsidR="0046060B" w:rsidRDefault="006B64A0" w:rsidP="007806AE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6B64A0">
              <w:rPr>
                <w:rFonts w:asciiTheme="minorBidi" w:hAnsiTheme="minorBidi" w:cstheme="minorBidi"/>
                <w:noProof/>
              </w:rPr>
              <w:drawing>
                <wp:inline distT="0" distB="0" distL="0" distR="0" wp14:anchorId="56EEA954" wp14:editId="18447BF7">
                  <wp:extent cx="2755392" cy="2066544"/>
                  <wp:effectExtent l="0" t="0" r="6985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392" cy="206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464" w:rsidRPr="00C808E2" w14:paraId="1A9BE39E" w14:textId="77777777" w:rsidTr="00281028">
        <w:trPr>
          <w:cantSplit/>
        </w:trPr>
        <w:tc>
          <w:tcPr>
            <w:tcW w:w="4795" w:type="dxa"/>
          </w:tcPr>
          <w:p w14:paraId="6A386397" w14:textId="77777777" w:rsidR="00BE0464" w:rsidRPr="004C4237" w:rsidRDefault="0046060B" w:rsidP="00D106E4">
            <w:pPr>
              <w:pStyle w:val="SayThis"/>
            </w:pPr>
            <w:r w:rsidRPr="004C4237">
              <w:lastRenderedPageBreak/>
              <w:t xml:space="preserve">SAY: </w:t>
            </w:r>
          </w:p>
          <w:p w14:paraId="10518CE6" w14:textId="77777777" w:rsidR="0046060B" w:rsidRPr="004C4237" w:rsidRDefault="0046060B" w:rsidP="00D106E4">
            <w:pPr>
              <w:pStyle w:val="BodyText1"/>
              <w:rPr>
                <w:b/>
              </w:rPr>
            </w:pPr>
            <w:r w:rsidRPr="004C4237">
              <w:t xml:space="preserve">The sixth </w:t>
            </w:r>
            <w:r w:rsidR="001A688A" w:rsidRPr="004C4237">
              <w:t>consideration</w:t>
            </w:r>
            <w:r w:rsidRPr="004C4237">
              <w:t xml:space="preserve"> for Safe Medication Administration of Magnesium is </w:t>
            </w:r>
            <w:r w:rsidRPr="004C4237">
              <w:rPr>
                <w:i/>
              </w:rPr>
              <w:t>patient and family engagement.</w:t>
            </w:r>
            <w:r w:rsidRPr="004C4237">
              <w:t xml:space="preserve"> </w:t>
            </w:r>
          </w:p>
          <w:p w14:paraId="239707DB" w14:textId="77777777" w:rsidR="0046060B" w:rsidRPr="004C4237" w:rsidRDefault="0046060B" w:rsidP="00D106E4">
            <w:pPr>
              <w:pStyle w:val="BodyText1"/>
              <w:rPr>
                <w:b/>
              </w:rPr>
            </w:pPr>
            <w:r w:rsidRPr="004C4237">
              <w:t xml:space="preserve">The key </w:t>
            </w:r>
            <w:r w:rsidR="001A688A" w:rsidRPr="004C4237">
              <w:t>safety elements</w:t>
            </w:r>
            <w:r w:rsidRPr="004C4237">
              <w:t xml:space="preserve"> are</w:t>
            </w:r>
            <w:r w:rsidR="00D81DF6">
              <w:t xml:space="preserve"> the following</w:t>
            </w:r>
            <w:r w:rsidRPr="004C4237">
              <w:t>:</w:t>
            </w:r>
          </w:p>
          <w:p w14:paraId="74152E27" w14:textId="77777777" w:rsidR="0046060B" w:rsidRPr="004C4237" w:rsidRDefault="0046060B" w:rsidP="00D106E4">
            <w:pPr>
              <w:pStyle w:val="Bullet1"/>
              <w:rPr>
                <w:b/>
              </w:rPr>
            </w:pPr>
            <w:r w:rsidRPr="004C4237">
              <w:t>Having unit-established process</w:t>
            </w:r>
            <w:r w:rsidR="001A688A" w:rsidRPr="004C4237">
              <w:t>es</w:t>
            </w:r>
            <w:r w:rsidRPr="004C4237">
              <w:t xml:space="preserve"> for conveying risks and benefits of magnesium sulfate use to patient and family</w:t>
            </w:r>
            <w:r w:rsidR="00D81DF6">
              <w:t>.</w:t>
            </w:r>
          </w:p>
          <w:p w14:paraId="6B9886F3" w14:textId="77777777" w:rsidR="0046060B" w:rsidRPr="004C4237" w:rsidRDefault="004C4237" w:rsidP="00D106E4">
            <w:pPr>
              <w:pStyle w:val="Bullet1"/>
              <w:rPr>
                <w:b/>
              </w:rPr>
            </w:pPr>
            <w:r w:rsidRPr="00672C44">
              <w:t xml:space="preserve">Educating patients and families regarding </w:t>
            </w:r>
            <w:r>
              <w:t>magnesium</w:t>
            </w:r>
            <w:r w:rsidRPr="00672C44">
              <w:t xml:space="preserve"> use</w:t>
            </w:r>
            <w:r w:rsidR="00221F74">
              <w:rPr>
                <w:rFonts w:eastAsia="SimSun"/>
                <w:color w:val="auto"/>
                <w:lang w:bidi="en-US"/>
              </w:rPr>
              <w:t>—</w:t>
            </w:r>
            <w:r w:rsidRPr="00672C44">
              <w:t>for example</w:t>
            </w:r>
            <w:r w:rsidR="00D81DF6">
              <w:t>,</w:t>
            </w:r>
            <w:r w:rsidRPr="00672C44">
              <w:t xml:space="preserve"> the infusion procedure, mobility restrictions, and expected therapeutic and side effects. </w:t>
            </w:r>
          </w:p>
          <w:p w14:paraId="557E10FC" w14:textId="77777777" w:rsidR="001A688A" w:rsidRPr="004210F6" w:rsidRDefault="0046060B" w:rsidP="00D106E4">
            <w:pPr>
              <w:pStyle w:val="Bullet1"/>
            </w:pPr>
            <w:r w:rsidRPr="004C4237">
              <w:t xml:space="preserve">Educating patients and families regarding </w:t>
            </w:r>
            <w:r w:rsidR="001A688A" w:rsidRPr="004C4237">
              <w:t>the</w:t>
            </w:r>
            <w:r w:rsidRPr="004C4237">
              <w:t xml:space="preserve"> frequency of nursing assessment and monitoring, signs and symp</w:t>
            </w:r>
            <w:r w:rsidR="001A688A" w:rsidRPr="004C4237">
              <w:t>toms to report to nursing staff</w:t>
            </w:r>
            <w:r w:rsidR="00D81DF6">
              <w:t>,</w:t>
            </w:r>
            <w:r w:rsidR="001A688A" w:rsidRPr="004C4237">
              <w:t xml:space="preserve"> and i</w:t>
            </w:r>
            <w:r w:rsidRPr="004C4237">
              <w:t>nstructions for requesting urgent assistance.</w:t>
            </w:r>
          </w:p>
        </w:tc>
        <w:tc>
          <w:tcPr>
            <w:tcW w:w="4680" w:type="dxa"/>
          </w:tcPr>
          <w:p w14:paraId="605E855C" w14:textId="77777777" w:rsidR="00BE0464" w:rsidRDefault="00AF536F" w:rsidP="007F3FA2">
            <w:pPr>
              <w:pStyle w:val="SlideNumber"/>
              <w:spacing w:before="40" w:line="240" w:lineRule="auto"/>
              <w:contextualSpacing/>
              <w:rPr>
                <w:rFonts w:asciiTheme="minorBidi" w:hAnsiTheme="minorBidi" w:cstheme="minorBidi"/>
                <w:sz w:val="22"/>
              </w:rPr>
            </w:pPr>
            <w:r>
              <w:rPr>
                <w:rFonts w:asciiTheme="minorBidi" w:hAnsiTheme="minorBidi" w:cstheme="minorBidi"/>
                <w:sz w:val="22"/>
              </w:rPr>
              <w:t>Slide 27</w:t>
            </w:r>
          </w:p>
          <w:p w14:paraId="252F1741" w14:textId="03AA7994" w:rsidR="0046060B" w:rsidRDefault="006B64A0" w:rsidP="007806AE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6B64A0">
              <w:rPr>
                <w:rFonts w:asciiTheme="minorBidi" w:hAnsiTheme="minorBidi" w:cstheme="minorBidi"/>
                <w:noProof/>
              </w:rPr>
              <w:drawing>
                <wp:inline distT="0" distB="0" distL="0" distR="0" wp14:anchorId="3E06C2C3" wp14:editId="7F816D5F">
                  <wp:extent cx="2755392" cy="2066544"/>
                  <wp:effectExtent l="0" t="0" r="6985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392" cy="206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464" w:rsidRPr="00C808E2" w14:paraId="4588DAEC" w14:textId="77777777" w:rsidTr="00D009C1">
        <w:tc>
          <w:tcPr>
            <w:tcW w:w="4795" w:type="dxa"/>
          </w:tcPr>
          <w:p w14:paraId="6977F76B" w14:textId="77777777" w:rsidR="00BE0464" w:rsidRPr="004C4237" w:rsidRDefault="0046060B" w:rsidP="00D106E4">
            <w:pPr>
              <w:pStyle w:val="SayThis"/>
            </w:pPr>
            <w:r w:rsidRPr="004C4237">
              <w:t xml:space="preserve">SAY: </w:t>
            </w:r>
          </w:p>
          <w:p w14:paraId="3A5BA79A" w14:textId="77777777" w:rsidR="0046060B" w:rsidRPr="004C4237" w:rsidRDefault="0046060B" w:rsidP="00D106E4">
            <w:pPr>
              <w:pStyle w:val="BodyText1"/>
              <w:rPr>
                <w:b/>
              </w:rPr>
            </w:pPr>
            <w:r w:rsidRPr="004C4237">
              <w:t>The sample procedure, provided as an appendix to this tool, demonstrates how key safety elements can be customized and operationalized within a unit procedure for magnesium sulfate administration.</w:t>
            </w:r>
          </w:p>
        </w:tc>
        <w:tc>
          <w:tcPr>
            <w:tcW w:w="4680" w:type="dxa"/>
          </w:tcPr>
          <w:p w14:paraId="69398FB7" w14:textId="77777777" w:rsidR="00BE0464" w:rsidRDefault="00AF536F" w:rsidP="007F3FA2">
            <w:pPr>
              <w:pStyle w:val="SlideNumber"/>
              <w:spacing w:before="40" w:line="240" w:lineRule="auto"/>
              <w:contextualSpacing/>
              <w:rPr>
                <w:rFonts w:asciiTheme="minorBidi" w:hAnsiTheme="minorBidi" w:cstheme="minorBidi"/>
                <w:sz w:val="22"/>
              </w:rPr>
            </w:pPr>
            <w:r>
              <w:rPr>
                <w:rFonts w:asciiTheme="minorBidi" w:hAnsiTheme="minorBidi" w:cstheme="minorBidi"/>
                <w:sz w:val="22"/>
              </w:rPr>
              <w:t>Slide 28</w:t>
            </w:r>
          </w:p>
          <w:p w14:paraId="604B5857" w14:textId="650EEDD2" w:rsidR="0046060B" w:rsidRDefault="006B64A0" w:rsidP="007806AE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6B64A0">
              <w:rPr>
                <w:rFonts w:asciiTheme="minorBidi" w:hAnsiTheme="minorBidi" w:cstheme="minorBidi"/>
                <w:noProof/>
              </w:rPr>
              <w:drawing>
                <wp:inline distT="0" distB="0" distL="0" distR="0" wp14:anchorId="08C67A1E" wp14:editId="52503C89">
                  <wp:extent cx="2755392" cy="2066544"/>
                  <wp:effectExtent l="0" t="0" r="6985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392" cy="206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464" w:rsidRPr="00C808E2" w14:paraId="015B138E" w14:textId="77777777" w:rsidTr="00281028">
        <w:trPr>
          <w:cantSplit/>
        </w:trPr>
        <w:tc>
          <w:tcPr>
            <w:tcW w:w="4795" w:type="dxa"/>
          </w:tcPr>
          <w:p w14:paraId="2E4356FE" w14:textId="77777777" w:rsidR="00BE0464" w:rsidRDefault="0046060B" w:rsidP="00331A84">
            <w:pPr>
              <w:pStyle w:val="SayThis"/>
            </w:pPr>
            <w:r>
              <w:lastRenderedPageBreak/>
              <w:t xml:space="preserve">SAY: </w:t>
            </w:r>
          </w:p>
          <w:p w14:paraId="686D1E25" w14:textId="77777777" w:rsidR="0046060B" w:rsidRPr="004C4237" w:rsidRDefault="0046060B" w:rsidP="00D106E4">
            <w:pPr>
              <w:pStyle w:val="BodyText1"/>
              <w:rPr>
                <w:b/>
              </w:rPr>
            </w:pPr>
            <w:r w:rsidRPr="004C4237">
              <w:t xml:space="preserve">These key safety elements for safe medication administration can be customized by </w:t>
            </w:r>
            <w:r w:rsidR="00D81DF6">
              <w:t>the</w:t>
            </w:r>
            <w:r w:rsidR="00D81DF6" w:rsidRPr="004C4237">
              <w:t xml:space="preserve"> </w:t>
            </w:r>
            <w:r w:rsidRPr="004C4237">
              <w:t>unit to develop tools for the administration of oxytocin and magnesium sulfate.</w:t>
            </w:r>
            <w:r w:rsidR="00D97702">
              <w:t xml:space="preserve"> This customization can involve</w:t>
            </w:r>
            <w:r w:rsidR="00221F74">
              <w:rPr>
                <w:rFonts w:cs="Arial"/>
              </w:rPr>
              <w:t>—</w:t>
            </w:r>
          </w:p>
          <w:p w14:paraId="3D2A6368" w14:textId="77777777" w:rsidR="006856D8" w:rsidRPr="004C4237" w:rsidRDefault="00D81DF6" w:rsidP="00D106E4">
            <w:pPr>
              <w:pStyle w:val="Bullet1"/>
              <w:rPr>
                <w:b/>
              </w:rPr>
            </w:pPr>
            <w:r>
              <w:t>a</w:t>
            </w:r>
            <w:r w:rsidRPr="004C4237">
              <w:t xml:space="preserve">djusting </w:t>
            </w:r>
            <w:r w:rsidR="00A41D0D" w:rsidRPr="004C4237">
              <w:t>the assessment frequency, parameters, or criteria for provider notification</w:t>
            </w:r>
            <w:r>
              <w:t>;</w:t>
            </w:r>
          </w:p>
          <w:p w14:paraId="1E347130" w14:textId="77777777" w:rsidR="006856D8" w:rsidRPr="004C4237" w:rsidRDefault="00D81DF6" w:rsidP="00D106E4">
            <w:pPr>
              <w:pStyle w:val="Bullet1"/>
              <w:rPr>
                <w:b/>
              </w:rPr>
            </w:pPr>
            <w:r>
              <w:t>a</w:t>
            </w:r>
            <w:r w:rsidRPr="004C4237">
              <w:t xml:space="preserve">djusting </w:t>
            </w:r>
            <w:r w:rsidR="00A41D0D" w:rsidRPr="004C4237">
              <w:t>the dosages administered under the protocol</w:t>
            </w:r>
            <w:r>
              <w:t>;</w:t>
            </w:r>
          </w:p>
          <w:p w14:paraId="5CE70132" w14:textId="77777777" w:rsidR="006856D8" w:rsidRPr="004C4237" w:rsidRDefault="00D81DF6" w:rsidP="00D106E4">
            <w:pPr>
              <w:pStyle w:val="Bullet1"/>
              <w:rPr>
                <w:b/>
              </w:rPr>
            </w:pPr>
            <w:r>
              <w:t>a</w:t>
            </w:r>
            <w:r w:rsidRPr="004C4237">
              <w:t xml:space="preserve">djusting </w:t>
            </w:r>
            <w:r w:rsidR="00A41D0D" w:rsidRPr="004C4237">
              <w:t>the standing orders for nursing response to tachysystole</w:t>
            </w:r>
            <w:r w:rsidR="004C4237">
              <w:t xml:space="preserve">, seizure, </w:t>
            </w:r>
            <w:r w:rsidR="00A41D0D" w:rsidRPr="004C4237">
              <w:t>or magnesium toxicity</w:t>
            </w:r>
            <w:r>
              <w:t xml:space="preserve">; </w:t>
            </w:r>
          </w:p>
          <w:p w14:paraId="2525D54D" w14:textId="77777777" w:rsidR="006856D8" w:rsidRPr="004C4237" w:rsidRDefault="00D81DF6" w:rsidP="00D106E4">
            <w:pPr>
              <w:pStyle w:val="Bullet1"/>
              <w:rPr>
                <w:b/>
              </w:rPr>
            </w:pPr>
            <w:r>
              <w:t>a</w:t>
            </w:r>
            <w:r w:rsidRPr="004C4237">
              <w:t xml:space="preserve">dding </w:t>
            </w:r>
            <w:r w:rsidR="00A41D0D" w:rsidRPr="004C4237">
              <w:t xml:space="preserve">additional items under patient/caregiver </w:t>
            </w:r>
            <w:r w:rsidR="00D97702">
              <w:t>teaching and communication</w:t>
            </w:r>
            <w:r>
              <w:t>; and</w:t>
            </w:r>
          </w:p>
          <w:p w14:paraId="3774A14C" w14:textId="77777777" w:rsidR="001A688A" w:rsidRPr="004210F6" w:rsidRDefault="00D97702" w:rsidP="00D97702">
            <w:pPr>
              <w:pStyle w:val="Bullet1"/>
              <w:rPr>
                <w:b/>
              </w:rPr>
            </w:pPr>
            <w:r>
              <w:t>build</w:t>
            </w:r>
            <w:r w:rsidR="00221F74">
              <w:t>ing</w:t>
            </w:r>
            <w:r>
              <w:t xml:space="preserve"> </w:t>
            </w:r>
            <w:r w:rsidR="00A41D0D" w:rsidRPr="004C4237">
              <w:t xml:space="preserve">content into </w:t>
            </w:r>
            <w:r w:rsidR="00D81DF6">
              <w:t>the</w:t>
            </w:r>
            <w:r w:rsidR="00D81DF6" w:rsidRPr="004C4237">
              <w:t xml:space="preserve"> </w:t>
            </w:r>
            <w:r w:rsidR="00A41D0D" w:rsidRPr="004C4237">
              <w:t>facility’s existing documentation systems.</w:t>
            </w:r>
          </w:p>
        </w:tc>
        <w:tc>
          <w:tcPr>
            <w:tcW w:w="4680" w:type="dxa"/>
          </w:tcPr>
          <w:p w14:paraId="105CAE8A" w14:textId="77777777" w:rsidR="00BE0464" w:rsidRDefault="00AF536F" w:rsidP="007F3FA2">
            <w:pPr>
              <w:pStyle w:val="SlideNumber"/>
              <w:spacing w:before="40" w:line="240" w:lineRule="auto"/>
              <w:contextualSpacing/>
              <w:rPr>
                <w:rFonts w:asciiTheme="minorBidi" w:hAnsiTheme="minorBidi" w:cstheme="minorBidi"/>
                <w:sz w:val="22"/>
              </w:rPr>
            </w:pPr>
            <w:r>
              <w:rPr>
                <w:rFonts w:asciiTheme="minorBidi" w:hAnsiTheme="minorBidi" w:cstheme="minorBidi"/>
                <w:sz w:val="22"/>
              </w:rPr>
              <w:t>Slide 29</w:t>
            </w:r>
          </w:p>
          <w:p w14:paraId="4EA09403" w14:textId="06D5EFCF" w:rsidR="0046060B" w:rsidRDefault="006B64A0" w:rsidP="007806AE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6B64A0">
              <w:rPr>
                <w:rFonts w:asciiTheme="minorBidi" w:hAnsiTheme="minorBidi" w:cstheme="minorBidi"/>
                <w:noProof/>
              </w:rPr>
              <w:drawing>
                <wp:inline distT="0" distB="0" distL="0" distR="0" wp14:anchorId="585D9531" wp14:editId="35D0C9CD">
                  <wp:extent cx="2755392" cy="2066544"/>
                  <wp:effectExtent l="0" t="0" r="6985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392" cy="206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60B" w:rsidRPr="00C808E2" w14:paraId="537C5BB0" w14:textId="77777777" w:rsidTr="00281028">
        <w:trPr>
          <w:cantSplit/>
        </w:trPr>
        <w:tc>
          <w:tcPr>
            <w:tcW w:w="4795" w:type="dxa"/>
          </w:tcPr>
          <w:p w14:paraId="1E09E79C" w14:textId="77777777" w:rsidR="0046060B" w:rsidRDefault="0046060B" w:rsidP="00543282">
            <w:pPr>
              <w:pStyle w:val="SayThis"/>
            </w:pPr>
            <w:r>
              <w:t>SAY:</w:t>
            </w:r>
          </w:p>
          <w:p w14:paraId="7D0707E9" w14:textId="77777777" w:rsidR="0046060B" w:rsidRDefault="0046060B" w:rsidP="00D106E4">
            <w:pPr>
              <w:pStyle w:val="BodyText1"/>
              <w:rPr>
                <w:b/>
              </w:rPr>
            </w:pPr>
            <w:r>
              <w:t xml:space="preserve">The next steps for </w:t>
            </w:r>
            <w:r w:rsidR="00317501">
              <w:t xml:space="preserve">a </w:t>
            </w:r>
            <w:r>
              <w:t>unit</w:t>
            </w:r>
            <w:r w:rsidR="008F13C5">
              <w:t xml:space="preserve"> are as follows:</w:t>
            </w:r>
            <w:r>
              <w:t xml:space="preserve"> </w:t>
            </w:r>
          </w:p>
          <w:p w14:paraId="11C782DA" w14:textId="54442F52" w:rsidR="006856D8" w:rsidRPr="0046060B" w:rsidRDefault="00A41D0D" w:rsidP="00D106E4">
            <w:pPr>
              <w:pStyle w:val="Bullet1"/>
              <w:rPr>
                <w:b/>
              </w:rPr>
            </w:pPr>
            <w:r w:rsidRPr="0046060B">
              <w:t>Decide whether to select the safe medication administration bundle for implementation locally.</w:t>
            </w:r>
            <w:r w:rsidR="00A438BE">
              <w:t xml:space="preserve"> </w:t>
            </w:r>
            <w:r w:rsidR="00E8554D">
              <w:t>Consider these factors:</w:t>
            </w:r>
          </w:p>
          <w:p w14:paraId="2DF3912E" w14:textId="5909BB72" w:rsidR="006856D8" w:rsidRPr="0046060B" w:rsidRDefault="00A41D0D" w:rsidP="000405B3">
            <w:pPr>
              <w:pStyle w:val="Bullet2"/>
              <w:numPr>
                <w:ilvl w:val="1"/>
                <w:numId w:val="44"/>
              </w:numPr>
              <w:rPr>
                <w:b/>
              </w:rPr>
            </w:pPr>
            <w:r w:rsidRPr="0046060B">
              <w:t>Unit data suggesting adverse events or near misses related to oxytocin, magnesium sulfate, or both</w:t>
            </w:r>
          </w:p>
          <w:p w14:paraId="74155D16" w14:textId="6568F974" w:rsidR="006856D8" w:rsidRPr="0046060B" w:rsidRDefault="00A41D0D" w:rsidP="000405B3">
            <w:pPr>
              <w:pStyle w:val="Bullet2"/>
              <w:numPr>
                <w:ilvl w:val="1"/>
                <w:numId w:val="44"/>
              </w:numPr>
              <w:rPr>
                <w:b/>
              </w:rPr>
            </w:pPr>
            <w:r w:rsidRPr="0046060B">
              <w:t>Synergy with related or similar initiatives (e.g., initiatives to reduce early elective deliveries, other medication safety initiatives)</w:t>
            </w:r>
          </w:p>
          <w:p w14:paraId="272A42C2" w14:textId="3C397505" w:rsidR="00AF536F" w:rsidRPr="003446E8" w:rsidRDefault="00A41D0D" w:rsidP="000405B3">
            <w:pPr>
              <w:pStyle w:val="Bullet2"/>
              <w:numPr>
                <w:ilvl w:val="1"/>
                <w:numId w:val="44"/>
              </w:numPr>
              <w:rPr>
                <w:b/>
              </w:rPr>
            </w:pPr>
            <w:r w:rsidRPr="0046060B">
              <w:t>Interest and enthusiasm</w:t>
            </w:r>
            <w:r w:rsidR="003446E8">
              <w:t xml:space="preserve"> of unit staff for implementing</w:t>
            </w:r>
          </w:p>
        </w:tc>
        <w:tc>
          <w:tcPr>
            <w:tcW w:w="4680" w:type="dxa"/>
          </w:tcPr>
          <w:p w14:paraId="1B4FE62B" w14:textId="77777777" w:rsidR="0046060B" w:rsidRDefault="00AF536F" w:rsidP="007F3FA2">
            <w:pPr>
              <w:pStyle w:val="SlideNumber"/>
              <w:spacing w:before="40" w:line="240" w:lineRule="auto"/>
              <w:contextualSpacing/>
              <w:rPr>
                <w:rFonts w:asciiTheme="minorBidi" w:hAnsiTheme="minorBidi" w:cstheme="minorBidi"/>
                <w:sz w:val="22"/>
              </w:rPr>
            </w:pPr>
            <w:r>
              <w:rPr>
                <w:rFonts w:asciiTheme="minorBidi" w:hAnsiTheme="minorBidi" w:cstheme="minorBidi"/>
                <w:sz w:val="22"/>
              </w:rPr>
              <w:t>Slide 30</w:t>
            </w:r>
          </w:p>
          <w:p w14:paraId="633DC35B" w14:textId="7BD821A5" w:rsidR="0046060B" w:rsidRDefault="006B64A0" w:rsidP="007806AE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6B64A0">
              <w:rPr>
                <w:rFonts w:asciiTheme="minorBidi" w:hAnsiTheme="minorBidi" w:cstheme="minorBidi"/>
                <w:noProof/>
              </w:rPr>
              <w:drawing>
                <wp:inline distT="0" distB="0" distL="0" distR="0" wp14:anchorId="2D8FAFA7" wp14:editId="00F0E64A">
                  <wp:extent cx="2755392" cy="2066544"/>
                  <wp:effectExtent l="0" t="0" r="6985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392" cy="206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36F" w:rsidRPr="00C808E2" w14:paraId="18E98DD5" w14:textId="77777777" w:rsidTr="00281028">
        <w:trPr>
          <w:cantSplit/>
        </w:trPr>
        <w:tc>
          <w:tcPr>
            <w:tcW w:w="4795" w:type="dxa"/>
          </w:tcPr>
          <w:p w14:paraId="64D662C6" w14:textId="77777777" w:rsidR="00AF536F" w:rsidRDefault="00AF536F" w:rsidP="00AF536F">
            <w:pPr>
              <w:pStyle w:val="SayThis"/>
            </w:pPr>
            <w:r>
              <w:lastRenderedPageBreak/>
              <w:t>SAY:</w:t>
            </w:r>
          </w:p>
          <w:p w14:paraId="0F983F18" w14:textId="56D84BFB" w:rsidR="00AF536F" w:rsidRPr="0046060B" w:rsidRDefault="00AF536F" w:rsidP="00AF536F">
            <w:pPr>
              <w:pStyle w:val="Bullet1"/>
              <w:rPr>
                <w:b/>
              </w:rPr>
            </w:pPr>
            <w:r w:rsidRPr="0046060B">
              <w:t xml:space="preserve">Review </w:t>
            </w:r>
            <w:r>
              <w:t xml:space="preserve">the </w:t>
            </w:r>
            <w:r w:rsidRPr="0046060B">
              <w:t xml:space="preserve">Key Safety Elements tool with </w:t>
            </w:r>
            <w:r>
              <w:t xml:space="preserve">the </w:t>
            </w:r>
            <w:r w:rsidRPr="0046060B">
              <w:t>implementation team, considering any facility policies or processes</w:t>
            </w:r>
            <w:r w:rsidR="00E8554D">
              <w:t>,</w:t>
            </w:r>
            <w:r w:rsidRPr="0046060B">
              <w:t xml:space="preserve"> and customize procedures for use within the unit.</w:t>
            </w:r>
          </w:p>
          <w:p w14:paraId="5EB9242E" w14:textId="77777777" w:rsidR="00AF536F" w:rsidRPr="0046060B" w:rsidRDefault="00AF536F" w:rsidP="00AF536F">
            <w:pPr>
              <w:pStyle w:val="Bullet1"/>
              <w:rPr>
                <w:b/>
              </w:rPr>
            </w:pPr>
            <w:r w:rsidRPr="0046060B">
              <w:t>Support implementation of unit procedure</w:t>
            </w:r>
            <w:r>
              <w:t>:</w:t>
            </w:r>
          </w:p>
          <w:p w14:paraId="7FADD5D8" w14:textId="77777777" w:rsidR="00AF536F" w:rsidRPr="0046060B" w:rsidRDefault="00AF536F" w:rsidP="00AF536F">
            <w:pPr>
              <w:pStyle w:val="Bullet2"/>
              <w:rPr>
                <w:b/>
              </w:rPr>
            </w:pPr>
            <w:r>
              <w:t>s</w:t>
            </w:r>
            <w:r w:rsidRPr="0046060B">
              <w:t>taff training/communication</w:t>
            </w:r>
          </w:p>
          <w:p w14:paraId="4AF1B734" w14:textId="77777777" w:rsidR="00AF536F" w:rsidRPr="0046060B" w:rsidRDefault="00AF536F" w:rsidP="00AF536F">
            <w:pPr>
              <w:pStyle w:val="Bullet2"/>
              <w:rPr>
                <w:b/>
              </w:rPr>
            </w:pPr>
            <w:r>
              <w:t>s</w:t>
            </w:r>
            <w:r w:rsidRPr="0046060B">
              <w:t>imulation</w:t>
            </w:r>
          </w:p>
          <w:p w14:paraId="360E29EC" w14:textId="77777777" w:rsidR="00AF536F" w:rsidRDefault="00AF536F" w:rsidP="00AF536F">
            <w:pPr>
              <w:pStyle w:val="Bullet2"/>
              <w:numPr>
                <w:ilvl w:val="0"/>
                <w:numId w:val="7"/>
              </w:numPr>
              <w:ind w:left="900"/>
            </w:pPr>
            <w:r w:rsidRPr="00233F00">
              <w:rPr>
                <w:bCs w:val="0"/>
              </w:rPr>
              <w:t xml:space="preserve">Monitor implementation progress and impact, collecting data for quality improvement to refine the unit approach to the safe use of </w:t>
            </w:r>
            <w:r>
              <w:rPr>
                <w:bCs w:val="0"/>
              </w:rPr>
              <w:t>these high-alert medications.</w:t>
            </w:r>
          </w:p>
        </w:tc>
        <w:tc>
          <w:tcPr>
            <w:tcW w:w="4680" w:type="dxa"/>
          </w:tcPr>
          <w:p w14:paraId="586B0904" w14:textId="77777777" w:rsidR="00AF536F" w:rsidRDefault="00AF536F" w:rsidP="001B6FCB">
            <w:pPr>
              <w:pStyle w:val="SlideNumber"/>
              <w:spacing w:before="40" w:line="240" w:lineRule="auto"/>
              <w:rPr>
                <w:rFonts w:asciiTheme="minorBidi" w:hAnsiTheme="minorBidi" w:cstheme="minorBidi"/>
                <w:sz w:val="22"/>
              </w:rPr>
            </w:pPr>
            <w:r>
              <w:rPr>
                <w:rFonts w:asciiTheme="minorBidi" w:hAnsiTheme="minorBidi" w:cstheme="minorBidi"/>
                <w:sz w:val="22"/>
              </w:rPr>
              <w:t>Slide 31</w:t>
            </w:r>
          </w:p>
          <w:p w14:paraId="1D45C6D5" w14:textId="7F488FF9" w:rsidR="00AF536F" w:rsidRDefault="006B64A0" w:rsidP="007F3FA2">
            <w:pPr>
              <w:pStyle w:val="SlideNumber"/>
              <w:spacing w:before="40" w:line="240" w:lineRule="auto"/>
              <w:contextualSpacing/>
              <w:rPr>
                <w:rFonts w:asciiTheme="minorBidi" w:hAnsiTheme="minorBidi" w:cstheme="minorBidi"/>
                <w:sz w:val="22"/>
              </w:rPr>
            </w:pPr>
            <w:r w:rsidRPr="006B64A0">
              <w:rPr>
                <w:rFonts w:asciiTheme="minorBidi" w:hAnsiTheme="minorBidi" w:cstheme="minorBidi"/>
                <w:noProof/>
                <w:sz w:val="22"/>
              </w:rPr>
              <w:drawing>
                <wp:inline distT="0" distB="0" distL="0" distR="0" wp14:anchorId="1DC8471C" wp14:editId="59DF8DD9">
                  <wp:extent cx="2755392" cy="2066544"/>
                  <wp:effectExtent l="0" t="0" r="6985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392" cy="206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60B" w:rsidRPr="00C808E2" w14:paraId="27295993" w14:textId="77777777" w:rsidTr="00281028">
        <w:trPr>
          <w:cantSplit/>
        </w:trPr>
        <w:tc>
          <w:tcPr>
            <w:tcW w:w="4795" w:type="dxa"/>
          </w:tcPr>
          <w:p w14:paraId="52F2DD8C" w14:textId="77777777" w:rsidR="0046060B" w:rsidRDefault="0046060B" w:rsidP="00543282">
            <w:pPr>
              <w:pStyle w:val="SayThis"/>
            </w:pPr>
            <w:r>
              <w:t xml:space="preserve">SAY: </w:t>
            </w:r>
          </w:p>
          <w:p w14:paraId="4A2A3467" w14:textId="516F311F" w:rsidR="0046060B" w:rsidRDefault="00E8554D" w:rsidP="00D106E4">
            <w:pPr>
              <w:pStyle w:val="BodyText1"/>
              <w:rPr>
                <w:b/>
              </w:rPr>
            </w:pPr>
            <w:r>
              <w:t>Here are s</w:t>
            </w:r>
            <w:r w:rsidR="0046060B">
              <w:t xml:space="preserve">ome tips for implementing </w:t>
            </w:r>
            <w:r w:rsidR="00C11956">
              <w:t xml:space="preserve">these </w:t>
            </w:r>
            <w:r w:rsidR="0046060B">
              <w:t xml:space="preserve">tools successfully: </w:t>
            </w:r>
          </w:p>
          <w:p w14:paraId="50292683" w14:textId="77777777" w:rsidR="006856D8" w:rsidRPr="0046060B" w:rsidRDefault="00A41D0D" w:rsidP="00D106E4">
            <w:pPr>
              <w:pStyle w:val="Bullet1"/>
              <w:rPr>
                <w:b/>
              </w:rPr>
            </w:pPr>
            <w:r w:rsidRPr="0046060B">
              <w:t xml:space="preserve">Use CUSP principles for implementing teamwork and communication (e.g., incorporating diverse perspectives) to develop consensus </w:t>
            </w:r>
            <w:r w:rsidR="004C4237">
              <w:t xml:space="preserve">on </w:t>
            </w:r>
            <w:r w:rsidR="00C11956">
              <w:t xml:space="preserve">the </w:t>
            </w:r>
            <w:r w:rsidR="004C4237">
              <w:t>unit’s approach to oxytocin and magnesium sulfate administration</w:t>
            </w:r>
            <w:r w:rsidRPr="0046060B">
              <w:t>.</w:t>
            </w:r>
          </w:p>
          <w:p w14:paraId="55B75A49" w14:textId="77777777" w:rsidR="006856D8" w:rsidRPr="0046060B" w:rsidRDefault="00A41D0D" w:rsidP="00D106E4">
            <w:pPr>
              <w:pStyle w:val="Bullet1"/>
              <w:rPr>
                <w:b/>
              </w:rPr>
            </w:pPr>
            <w:r w:rsidRPr="0046060B">
              <w:t xml:space="preserve">Pilot test any new </w:t>
            </w:r>
            <w:r w:rsidR="004C4237">
              <w:t>procedures</w:t>
            </w:r>
            <w:r w:rsidRPr="0046060B">
              <w:t xml:space="preserve"> to work out any bugs or problems.</w:t>
            </w:r>
          </w:p>
          <w:p w14:paraId="760F9588" w14:textId="77777777" w:rsidR="006856D8" w:rsidRPr="0046060B" w:rsidRDefault="00A41D0D" w:rsidP="00D106E4">
            <w:pPr>
              <w:pStyle w:val="Bullet1"/>
              <w:rPr>
                <w:b/>
              </w:rPr>
            </w:pPr>
            <w:r w:rsidRPr="0046060B">
              <w:t xml:space="preserve">Comprehensively review </w:t>
            </w:r>
            <w:r w:rsidR="00C11956">
              <w:t>the</w:t>
            </w:r>
            <w:r w:rsidR="00C11956" w:rsidRPr="0046060B">
              <w:t xml:space="preserve"> </w:t>
            </w:r>
            <w:r w:rsidRPr="0046060B">
              <w:t xml:space="preserve">unit procedures each year to assess the need for updates to ensure content is up to date. </w:t>
            </w:r>
          </w:p>
          <w:p w14:paraId="4EE87BA4" w14:textId="77777777" w:rsidR="0046060B" w:rsidRPr="000E2DEF" w:rsidRDefault="00A41D0D" w:rsidP="00D106E4">
            <w:pPr>
              <w:pStyle w:val="Bullet1"/>
              <w:rPr>
                <w:b/>
              </w:rPr>
            </w:pPr>
            <w:r w:rsidRPr="0046060B">
              <w:t xml:space="preserve">Create a mechanism for identifying recurrent nonuse or deviation from the established procedure by clinicians. Seek to understand why, rather than assign blame. </w:t>
            </w:r>
          </w:p>
        </w:tc>
        <w:tc>
          <w:tcPr>
            <w:tcW w:w="4680" w:type="dxa"/>
          </w:tcPr>
          <w:p w14:paraId="47DC1885" w14:textId="77777777" w:rsidR="0046060B" w:rsidRDefault="00AF536F" w:rsidP="007806AE">
            <w:pPr>
              <w:pStyle w:val="SlideNumber"/>
              <w:spacing w:before="40" w:line="240" w:lineRule="auto"/>
              <w:contextualSpacing/>
              <w:rPr>
                <w:rFonts w:asciiTheme="minorBidi" w:hAnsiTheme="minorBidi" w:cstheme="minorBidi"/>
                <w:sz w:val="22"/>
              </w:rPr>
            </w:pPr>
            <w:r>
              <w:rPr>
                <w:rFonts w:asciiTheme="minorBidi" w:hAnsiTheme="minorBidi" w:cstheme="minorBidi"/>
                <w:sz w:val="22"/>
              </w:rPr>
              <w:t>Slide 32</w:t>
            </w:r>
          </w:p>
          <w:p w14:paraId="61A58D44" w14:textId="5EBD0B60" w:rsidR="0046060B" w:rsidRDefault="006B64A0" w:rsidP="007806AE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6B64A0">
              <w:rPr>
                <w:rFonts w:asciiTheme="minorBidi" w:hAnsiTheme="minorBidi" w:cstheme="minorBidi"/>
                <w:noProof/>
              </w:rPr>
              <w:drawing>
                <wp:inline distT="0" distB="0" distL="0" distR="0" wp14:anchorId="156A4ED3" wp14:editId="6EAC3731">
                  <wp:extent cx="2755392" cy="2066544"/>
                  <wp:effectExtent l="0" t="0" r="6985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392" cy="206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5E1725" w14:textId="77777777" w:rsidR="001B6FCB" w:rsidRDefault="001B6FCB">
      <w:r>
        <w:rPr>
          <w:b/>
        </w:rPr>
        <w:br w:type="page"/>
      </w:r>
    </w:p>
    <w:tbl>
      <w:tblPr>
        <w:tblW w:w="9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795"/>
        <w:gridCol w:w="4680"/>
      </w:tblGrid>
      <w:tr w:rsidR="0046060B" w:rsidRPr="00C808E2" w14:paraId="335AD113" w14:textId="77777777" w:rsidTr="00D009C1">
        <w:tc>
          <w:tcPr>
            <w:tcW w:w="4795" w:type="dxa"/>
          </w:tcPr>
          <w:p w14:paraId="4CAACFDD" w14:textId="77777777" w:rsidR="00543282" w:rsidRPr="00D106E4" w:rsidRDefault="00543282" w:rsidP="00D106E4">
            <w:pPr>
              <w:pStyle w:val="BodyText1"/>
            </w:pPr>
          </w:p>
        </w:tc>
        <w:tc>
          <w:tcPr>
            <w:tcW w:w="4680" w:type="dxa"/>
          </w:tcPr>
          <w:p w14:paraId="4FF54101" w14:textId="77777777" w:rsidR="0046060B" w:rsidRDefault="00AF536F" w:rsidP="00A41D0D">
            <w:pPr>
              <w:pStyle w:val="SlideNumber"/>
              <w:tabs>
                <w:tab w:val="left" w:pos="1373"/>
              </w:tabs>
              <w:spacing w:before="40" w:line="240" w:lineRule="auto"/>
              <w:contextualSpacing/>
              <w:rPr>
                <w:rFonts w:asciiTheme="minorBidi" w:hAnsiTheme="minorBidi" w:cstheme="minorBidi"/>
                <w:sz w:val="22"/>
              </w:rPr>
            </w:pPr>
            <w:r>
              <w:rPr>
                <w:rFonts w:asciiTheme="minorBidi" w:hAnsiTheme="minorBidi" w:cstheme="minorBidi"/>
                <w:sz w:val="22"/>
              </w:rPr>
              <w:t>Slide 33</w:t>
            </w:r>
          </w:p>
          <w:p w14:paraId="0ECB9689" w14:textId="0EE09C9D" w:rsidR="00423041" w:rsidRDefault="006B64A0" w:rsidP="00B509C8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6B64A0">
              <w:rPr>
                <w:rFonts w:asciiTheme="minorBidi" w:hAnsiTheme="minorBidi" w:cstheme="minorBidi"/>
                <w:noProof/>
              </w:rPr>
              <w:drawing>
                <wp:inline distT="0" distB="0" distL="0" distR="0" wp14:anchorId="59E4EA68" wp14:editId="4F7EF3D6">
                  <wp:extent cx="2755392" cy="2066544"/>
                  <wp:effectExtent l="0" t="0" r="6985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392" cy="206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D0D" w:rsidRPr="00C808E2" w14:paraId="79196B78" w14:textId="77777777" w:rsidTr="002B44B5">
        <w:trPr>
          <w:cantSplit/>
        </w:trPr>
        <w:tc>
          <w:tcPr>
            <w:tcW w:w="4795" w:type="dxa"/>
          </w:tcPr>
          <w:p w14:paraId="3E138E6F" w14:textId="77777777" w:rsidR="00543282" w:rsidRDefault="00543282" w:rsidP="00543282">
            <w:pPr>
              <w:pStyle w:val="BodyText1"/>
            </w:pPr>
          </w:p>
        </w:tc>
        <w:tc>
          <w:tcPr>
            <w:tcW w:w="4680" w:type="dxa"/>
          </w:tcPr>
          <w:p w14:paraId="0F4C0B93" w14:textId="77777777" w:rsidR="00A41D0D" w:rsidRDefault="00AF536F" w:rsidP="00A41D0D">
            <w:pPr>
              <w:pStyle w:val="SlideNumber"/>
              <w:tabs>
                <w:tab w:val="left" w:pos="1373"/>
              </w:tabs>
              <w:spacing w:before="40" w:line="240" w:lineRule="auto"/>
              <w:contextualSpacing/>
              <w:rPr>
                <w:rFonts w:asciiTheme="minorBidi" w:hAnsiTheme="minorBidi" w:cstheme="minorBidi"/>
                <w:sz w:val="22"/>
              </w:rPr>
            </w:pPr>
            <w:r>
              <w:rPr>
                <w:rFonts w:asciiTheme="minorBidi" w:hAnsiTheme="minorBidi" w:cstheme="minorBidi"/>
                <w:sz w:val="22"/>
              </w:rPr>
              <w:t>Slide 34</w:t>
            </w:r>
          </w:p>
          <w:p w14:paraId="7364B24F" w14:textId="025B31C9" w:rsidR="00A41D0D" w:rsidRDefault="006B64A0" w:rsidP="00B509C8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6B64A0">
              <w:rPr>
                <w:rFonts w:asciiTheme="minorBidi" w:hAnsiTheme="minorBidi" w:cstheme="minorBidi"/>
                <w:noProof/>
              </w:rPr>
              <w:drawing>
                <wp:inline distT="0" distB="0" distL="0" distR="0" wp14:anchorId="7F91A915" wp14:editId="1559E029">
                  <wp:extent cx="2755392" cy="2066544"/>
                  <wp:effectExtent l="0" t="0" r="6985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392" cy="206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D0D" w:rsidRPr="00C808E2" w14:paraId="03459ADA" w14:textId="77777777" w:rsidTr="00D009C1">
        <w:tc>
          <w:tcPr>
            <w:tcW w:w="4795" w:type="dxa"/>
          </w:tcPr>
          <w:p w14:paraId="5F3CD4A6" w14:textId="77777777" w:rsidR="00543282" w:rsidRDefault="00543282" w:rsidP="00543282">
            <w:pPr>
              <w:pStyle w:val="BodyText1"/>
            </w:pPr>
          </w:p>
        </w:tc>
        <w:tc>
          <w:tcPr>
            <w:tcW w:w="4680" w:type="dxa"/>
          </w:tcPr>
          <w:p w14:paraId="3BB6E076" w14:textId="77777777" w:rsidR="00A41D0D" w:rsidRDefault="00AF536F" w:rsidP="00A41D0D">
            <w:pPr>
              <w:pStyle w:val="SlideNumber"/>
              <w:tabs>
                <w:tab w:val="left" w:pos="1373"/>
              </w:tabs>
              <w:spacing w:before="40" w:line="240" w:lineRule="auto"/>
              <w:contextualSpacing/>
              <w:rPr>
                <w:rFonts w:asciiTheme="minorBidi" w:hAnsiTheme="minorBidi" w:cstheme="minorBidi"/>
                <w:sz w:val="22"/>
              </w:rPr>
            </w:pPr>
            <w:r>
              <w:rPr>
                <w:rFonts w:asciiTheme="minorBidi" w:hAnsiTheme="minorBidi" w:cstheme="minorBidi"/>
                <w:sz w:val="22"/>
              </w:rPr>
              <w:t>Slide 35</w:t>
            </w:r>
          </w:p>
          <w:p w14:paraId="71CDE7E1" w14:textId="70366FCA" w:rsidR="00A41D0D" w:rsidRDefault="006B64A0" w:rsidP="00B509C8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6B64A0">
              <w:rPr>
                <w:rFonts w:asciiTheme="minorBidi" w:hAnsiTheme="minorBidi" w:cstheme="minorBidi"/>
                <w:noProof/>
              </w:rPr>
              <w:drawing>
                <wp:inline distT="0" distB="0" distL="0" distR="0" wp14:anchorId="736B900A" wp14:editId="114318B1">
                  <wp:extent cx="2755392" cy="2066544"/>
                  <wp:effectExtent l="0" t="0" r="6985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392" cy="206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525744" w14:textId="77777777" w:rsidR="001B6FCB" w:rsidRDefault="001B6FCB">
      <w:r>
        <w:rPr>
          <w:bCs w:val="0"/>
        </w:rPr>
        <w:br w:type="page"/>
      </w:r>
    </w:p>
    <w:tbl>
      <w:tblPr>
        <w:tblW w:w="9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795"/>
        <w:gridCol w:w="4680"/>
      </w:tblGrid>
      <w:tr w:rsidR="00A41D0D" w:rsidRPr="00C808E2" w14:paraId="3338641A" w14:textId="77777777" w:rsidTr="00D009C1">
        <w:tc>
          <w:tcPr>
            <w:tcW w:w="4795" w:type="dxa"/>
          </w:tcPr>
          <w:p w14:paraId="11EA9CC8" w14:textId="77777777" w:rsidR="00543282" w:rsidRDefault="00543282" w:rsidP="00543282">
            <w:pPr>
              <w:pStyle w:val="BodyText1"/>
            </w:pPr>
          </w:p>
        </w:tc>
        <w:tc>
          <w:tcPr>
            <w:tcW w:w="4680" w:type="dxa"/>
          </w:tcPr>
          <w:p w14:paraId="708D5D4D" w14:textId="77777777" w:rsidR="00A41D0D" w:rsidRDefault="00AF536F" w:rsidP="00A41D0D">
            <w:pPr>
              <w:pStyle w:val="SlideNumber"/>
              <w:tabs>
                <w:tab w:val="left" w:pos="1373"/>
              </w:tabs>
              <w:spacing w:before="40" w:line="240" w:lineRule="auto"/>
              <w:contextualSpacing/>
              <w:rPr>
                <w:rFonts w:asciiTheme="minorBidi" w:hAnsiTheme="minorBidi" w:cstheme="minorBidi"/>
                <w:sz w:val="22"/>
              </w:rPr>
            </w:pPr>
            <w:r>
              <w:rPr>
                <w:rFonts w:asciiTheme="minorBidi" w:hAnsiTheme="minorBidi" w:cstheme="minorBidi"/>
                <w:sz w:val="22"/>
              </w:rPr>
              <w:t>Slide 36</w:t>
            </w:r>
          </w:p>
          <w:p w14:paraId="7A413919" w14:textId="3CF2A21E" w:rsidR="00A41D0D" w:rsidRDefault="006B64A0" w:rsidP="00B509C8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6B64A0">
              <w:rPr>
                <w:rFonts w:asciiTheme="minorBidi" w:hAnsiTheme="minorBidi" w:cstheme="minorBidi"/>
                <w:noProof/>
              </w:rPr>
              <w:drawing>
                <wp:inline distT="0" distB="0" distL="0" distR="0" wp14:anchorId="4342300A" wp14:editId="2B4B7CB7">
                  <wp:extent cx="2755392" cy="2066544"/>
                  <wp:effectExtent l="0" t="0" r="698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392" cy="206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650234" w14:textId="77777777" w:rsidR="0027071D" w:rsidRPr="00CE11CE" w:rsidRDefault="0027071D" w:rsidP="007F3FA2">
      <w:pPr>
        <w:spacing w:line="240" w:lineRule="auto"/>
        <w:contextualSpacing/>
      </w:pPr>
    </w:p>
    <w:sectPr w:rsidR="0027071D" w:rsidRPr="00CE11CE" w:rsidSect="003F0F69">
      <w:headerReference w:type="default" r:id="rId45"/>
      <w:footerReference w:type="default" r:id="rId46"/>
      <w:headerReference w:type="first" r:id="rId47"/>
      <w:footerReference w:type="first" r:id="rId48"/>
      <w:pgSz w:w="12240" w:h="15840" w:code="1"/>
      <w:pgMar w:top="1440" w:right="1440" w:bottom="1440" w:left="1440" w:header="720" w:footer="288" w:gutter="0"/>
      <w:cols w:space="720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EED7D1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B483FE" w14:textId="77777777" w:rsidR="00102314" w:rsidRDefault="00102314" w:rsidP="008C7B77">
      <w:r>
        <w:separator/>
      </w:r>
    </w:p>
  </w:endnote>
  <w:endnote w:type="continuationSeparator" w:id="0">
    <w:p w14:paraId="6D3C5601" w14:textId="77777777" w:rsidR="00102314" w:rsidRDefault="00102314" w:rsidP="008C7B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90888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B0A907" w14:textId="1122A554" w:rsidR="00102314" w:rsidRPr="00AD78D5" w:rsidRDefault="00AD78D5" w:rsidP="007E61ED">
        <w:pPr>
          <w:pStyle w:val="Footer"/>
          <w:tabs>
            <w:tab w:val="clear" w:pos="4680"/>
            <w:tab w:val="left" w:pos="180"/>
            <w:tab w:val="right" w:pos="9072"/>
          </w:tabs>
          <w:spacing w:after="60"/>
          <w:rPr>
            <w:color w:val="FFFFFF" w:themeColor="background1"/>
          </w:rPr>
        </w:pPr>
        <w:r w:rsidRPr="00AE6E52">
          <w:rPr>
            <w:noProof/>
            <w:color w:val="FFFFFF" w:themeColor="background1"/>
          </w:rPr>
          <w:drawing>
            <wp:anchor distT="0" distB="0" distL="114300" distR="114300" simplePos="0" relativeHeight="251694592" behindDoc="1" locked="0" layoutInCell="1" allowOverlap="1" wp14:anchorId="7A25F68F" wp14:editId="69B5B4EF">
              <wp:simplePos x="0" y="0"/>
              <wp:positionH relativeFrom="column">
                <wp:posOffset>3088005</wp:posOffset>
              </wp:positionH>
              <wp:positionV relativeFrom="paragraph">
                <wp:posOffset>-491490</wp:posOffset>
              </wp:positionV>
              <wp:extent cx="3762375" cy="704215"/>
              <wp:effectExtent l="0" t="0" r="9525" b="635"/>
              <wp:wrapNone/>
              <wp:docPr id="21" name="Picture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USP for Word 1_2.jpg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43893" t="87976" r="7677" b="4790"/>
                      <a:stretch/>
                    </pic:blipFill>
                    <pic:spPr bwMode="auto">
                      <a:xfrm>
                        <a:off x="0" y="0"/>
                        <a:ext cx="3762375" cy="70421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sdt>
          <w:sdtPr>
            <w:rPr>
              <w:color w:val="FFFFFF" w:themeColor="background1"/>
            </w:rPr>
            <w:id w:val="-114063590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r w:rsidR="00E932EE" w:rsidRPr="00E932EE">
              <w:rPr>
                <w:color w:val="auto"/>
              </w:rPr>
              <w:t>AHRQ Safety Program for Perinatal Care</w:t>
            </w:r>
            <w:r w:rsidR="00E932EE">
              <w:rPr>
                <w:color w:val="FFFFFF" w:themeColor="background1"/>
              </w:rPr>
              <w:tab/>
            </w:r>
            <w:r w:rsidR="007E61ED">
              <w:rPr>
                <w:color w:val="FFFFFF" w:themeColor="background1"/>
              </w:rPr>
              <w:t xml:space="preserve">Safe Med. </w:t>
            </w:r>
            <w:r>
              <w:rPr>
                <w:color w:val="FFFFFF" w:themeColor="background1"/>
              </w:rPr>
              <w:t>Administration</w:t>
            </w:r>
            <w:r w:rsidR="00E932EE">
              <w:rPr>
                <w:color w:val="FFFFFF" w:themeColor="background1"/>
              </w:rPr>
              <w:tab/>
            </w:r>
            <w:r w:rsidRPr="00AE6E52">
              <w:rPr>
                <w:color w:val="FFFFFF" w:themeColor="background1"/>
              </w:rPr>
              <w:fldChar w:fldCharType="begin"/>
            </w:r>
            <w:r w:rsidRPr="00AE6E52">
              <w:rPr>
                <w:color w:val="FFFFFF" w:themeColor="background1"/>
              </w:rPr>
              <w:instrText xml:space="preserve"> PAGE   \* MERGEFORMAT </w:instrText>
            </w:r>
            <w:r w:rsidRPr="00AE6E52">
              <w:rPr>
                <w:color w:val="FFFFFF" w:themeColor="background1"/>
              </w:rPr>
              <w:fldChar w:fldCharType="separate"/>
            </w:r>
            <w:r w:rsidR="00084C6B">
              <w:rPr>
                <w:noProof/>
                <w:color w:val="FFFFFF" w:themeColor="background1"/>
              </w:rPr>
              <w:t>2</w:t>
            </w:r>
            <w:r w:rsidRPr="00AE6E52">
              <w:rPr>
                <w:noProof/>
                <w:color w:val="FFFFFF" w:themeColor="background1"/>
              </w:rPr>
              <w:fldChar w:fldCharType="end"/>
            </w:r>
          </w:sdtContent>
        </w:sdt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CF6BCF" w14:textId="3D14A8CB" w:rsidR="00AD78D5" w:rsidRDefault="00AD78D5">
    <w:pPr>
      <w:pStyle w:val="Footer"/>
    </w:pPr>
    <w:r w:rsidRPr="00CB64EC">
      <w:rPr>
        <w:noProof/>
        <w:color w:val="auto"/>
        <w:sz w:val="18"/>
        <w:szCs w:val="18"/>
      </w:rPr>
      <mc:AlternateContent>
        <mc:Choice Requires="wps">
          <w:drawing>
            <wp:anchor distT="45720" distB="45720" distL="114300" distR="114300" simplePos="0" relativeHeight="251623936" behindDoc="0" locked="0" layoutInCell="1" allowOverlap="1" wp14:anchorId="5C9C3588" wp14:editId="45122DC2">
              <wp:simplePos x="0" y="0"/>
              <wp:positionH relativeFrom="column">
                <wp:posOffset>4434840</wp:posOffset>
              </wp:positionH>
              <wp:positionV relativeFrom="page">
                <wp:posOffset>9580880</wp:posOffset>
              </wp:positionV>
              <wp:extent cx="2203450" cy="402590"/>
              <wp:effectExtent l="0" t="0" r="0" b="0"/>
              <wp:wrapNone/>
              <wp:docPr id="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0" cy="4025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425127" w14:textId="6CC6EBC6" w:rsidR="00AD78D5" w:rsidRPr="00E163B1" w:rsidRDefault="00AD78D5" w:rsidP="00AD78D5">
                          <w:pPr>
                            <w:pStyle w:val="Footer"/>
                            <w:tabs>
                              <w:tab w:val="clear" w:pos="9360"/>
                            </w:tabs>
                            <w:spacing w:after="0"/>
                            <w:jc w:val="righ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E163B1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AHRQ Publication No. 17-0003-</w:t>
                          </w:r>
                          <w:r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19</w:t>
                          </w:r>
                          <w:r w:rsidRPr="00E163B1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-EF</w:t>
                          </w:r>
                        </w:p>
                        <w:p w14:paraId="76302A78" w14:textId="53BB7454" w:rsidR="00AD78D5" w:rsidRPr="00E163B1" w:rsidRDefault="003F0F69" w:rsidP="00AD78D5">
                          <w:pPr>
                            <w:pStyle w:val="Footer"/>
                            <w:tabs>
                              <w:tab w:val="clear" w:pos="9360"/>
                            </w:tabs>
                            <w:spacing w:after="0"/>
                            <w:jc w:val="righ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May</w:t>
                          </w:r>
                          <w:r w:rsidR="00AD78D5" w:rsidRPr="00E163B1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 xml:space="preserve"> 201</w:t>
                          </w:r>
                          <w:r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9.2pt;margin-top:754.4pt;width:173.5pt;height:31.7pt;z-index:251623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" filled="f" stroked="f">
              <v:textbox style="mso-fit-shape-to-text:t">
                <w:txbxContent>
                  <w:p w14:paraId="67425127" w14:textId="6CC6EBC6" w:rsidR="00AD78D5" w:rsidRPr="00E163B1" w:rsidRDefault="00AD78D5" w:rsidP="00AD78D5">
                    <w:pPr>
                      <w:pStyle w:val="Footer"/>
                      <w:tabs>
                        <w:tab w:val="clear" w:pos="9360"/>
                      </w:tabs>
                      <w:spacing w:after="0"/>
                      <w:jc w:val="right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E163B1">
                      <w:rPr>
                        <w:color w:val="FFFFFF" w:themeColor="background1"/>
                        <w:sz w:val="18"/>
                        <w:szCs w:val="18"/>
                      </w:rPr>
                      <w:t>AHRQ Publication No. 17-0003-</w:t>
                    </w:r>
                    <w:r>
                      <w:rPr>
                        <w:color w:val="FFFFFF" w:themeColor="background1"/>
                        <w:sz w:val="18"/>
                        <w:szCs w:val="18"/>
                      </w:rPr>
                      <w:t>19</w:t>
                    </w:r>
                    <w:r w:rsidRPr="00E163B1">
                      <w:rPr>
                        <w:color w:val="FFFFFF" w:themeColor="background1"/>
                        <w:sz w:val="18"/>
                        <w:szCs w:val="18"/>
                      </w:rPr>
                      <w:t>-EF</w:t>
                    </w:r>
                  </w:p>
                  <w:p w14:paraId="76302A78" w14:textId="53BB7454" w:rsidR="00AD78D5" w:rsidRPr="00E163B1" w:rsidRDefault="003F0F69" w:rsidP="00AD78D5">
                    <w:pPr>
                      <w:pStyle w:val="Footer"/>
                      <w:tabs>
                        <w:tab w:val="clear" w:pos="9360"/>
                      </w:tabs>
                      <w:spacing w:after="0"/>
                      <w:jc w:val="right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>
                      <w:rPr>
                        <w:color w:val="FFFFFF" w:themeColor="background1"/>
                        <w:sz w:val="18"/>
                        <w:szCs w:val="18"/>
                      </w:rPr>
                      <w:t>May</w:t>
                    </w:r>
                    <w:r w:rsidR="00AD78D5" w:rsidRPr="00E163B1">
                      <w:rPr>
                        <w:color w:val="FFFFFF" w:themeColor="background1"/>
                        <w:sz w:val="18"/>
                        <w:szCs w:val="18"/>
                      </w:rPr>
                      <w:t xml:space="preserve"> 201</w:t>
                    </w:r>
                    <w:r>
                      <w:rPr>
                        <w:color w:val="FFFFFF" w:themeColor="background1"/>
                        <w:sz w:val="18"/>
                        <w:szCs w:val="18"/>
                      </w:rPr>
                      <w:t>7</w:t>
                    </w: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9F0CD9" w14:textId="77777777" w:rsidR="00102314" w:rsidRDefault="00102314" w:rsidP="008C7B77">
      <w:r>
        <w:separator/>
      </w:r>
    </w:p>
  </w:footnote>
  <w:footnote w:type="continuationSeparator" w:id="0">
    <w:p w14:paraId="17B69A33" w14:textId="77777777" w:rsidR="00102314" w:rsidRDefault="00102314" w:rsidP="008C7B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37B5A2" w14:textId="165D6F62" w:rsidR="00AD78D5" w:rsidRPr="00AD78D5" w:rsidRDefault="00AD78D5" w:rsidP="00AD78D5">
    <w:pPr>
      <w:pStyle w:val="Header"/>
      <w:spacing w:after="240"/>
      <w:rPr>
        <w:b/>
        <w:sz w:val="28"/>
        <w:szCs w:val="28"/>
      </w:rPr>
    </w:pPr>
    <w:r>
      <w:rPr>
        <w:b/>
        <w:sz w:val="28"/>
        <w:szCs w:val="28"/>
      </w:rPr>
      <w:t>Safe Medication Administration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0A28C4" w14:textId="0833EBE6" w:rsidR="00295CD0" w:rsidRDefault="00295CD0" w:rsidP="00295CD0">
    <w:pPr>
      <w:pStyle w:val="Header"/>
      <w:spacing w:after="360"/>
      <w:rPr>
        <w:rFonts w:eastAsiaTheme="minorHAnsi"/>
        <w:b/>
        <w:color w:val="FFFFFF" w:themeColor="background1"/>
        <w:sz w:val="48"/>
        <w:szCs w:val="48"/>
      </w:rPr>
    </w:pPr>
    <w:r w:rsidRPr="00AD78D5">
      <w:rPr>
        <w:rFonts w:eastAsiaTheme="minorHAnsi"/>
        <w:b/>
        <w:noProof/>
        <w:color w:val="FFFFFF" w:themeColor="background1"/>
        <w:sz w:val="48"/>
        <w:szCs w:val="48"/>
      </w:rPr>
      <w:drawing>
        <wp:anchor distT="0" distB="0" distL="114300" distR="114300" simplePos="0" relativeHeight="251621888" behindDoc="1" locked="0" layoutInCell="1" allowOverlap="1" wp14:anchorId="08CAAC24" wp14:editId="623A98C0">
          <wp:simplePos x="0" y="0"/>
          <wp:positionH relativeFrom="column">
            <wp:posOffset>-904875</wp:posOffset>
          </wp:positionH>
          <wp:positionV relativeFrom="paragraph">
            <wp:posOffset>-457835</wp:posOffset>
          </wp:positionV>
          <wp:extent cx="7764145" cy="10058400"/>
          <wp:effectExtent l="0" t="0" r="825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SP for Word 1_bette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83" t="1148" r="7364" b="5364"/>
                  <a:stretch/>
                </pic:blipFill>
                <pic:spPr bwMode="auto">
                  <a:xfrm>
                    <a:off x="0" y="0"/>
                    <a:ext cx="7764145" cy="1005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78D5" w:rsidRPr="00AD78D5">
      <w:rPr>
        <w:rFonts w:eastAsiaTheme="minorHAnsi"/>
        <w:b/>
        <w:color w:val="FFFFFF" w:themeColor="background1"/>
        <w:sz w:val="48"/>
        <w:szCs w:val="48"/>
      </w:rPr>
      <w:t xml:space="preserve">AHRQ </w:t>
    </w:r>
    <w:r w:rsidRPr="00AD78D5">
      <w:rPr>
        <w:rFonts w:eastAsiaTheme="minorHAnsi"/>
        <w:b/>
        <w:color w:val="FFFFFF" w:themeColor="background1"/>
        <w:sz w:val="48"/>
        <w:szCs w:val="48"/>
      </w:rPr>
      <w:t>Safety Program for Perinatal Care</w:t>
    </w:r>
  </w:p>
  <w:p w14:paraId="24507350" w14:textId="479B5C76" w:rsidR="00AD78D5" w:rsidRPr="00AD78D5" w:rsidRDefault="00AD78D5" w:rsidP="00AD78D5">
    <w:pPr>
      <w:pStyle w:val="Header"/>
      <w:spacing w:after="240"/>
      <w:rPr>
        <w:b/>
        <w:sz w:val="28"/>
        <w:szCs w:val="28"/>
      </w:rPr>
    </w:pPr>
    <w:r>
      <w:rPr>
        <w:b/>
        <w:sz w:val="28"/>
        <w:szCs w:val="28"/>
      </w:rPr>
      <w:t>Safe Medication Administration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6588E28"/>
    <w:lvl w:ilvl="0">
      <w:start w:val="1"/>
      <w:numFmt w:val="bullet"/>
      <w:pStyle w:val="List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</w:abstractNum>
  <w:abstractNum w:abstractNumId="1">
    <w:nsid w:val="046B224B"/>
    <w:multiLevelType w:val="hybridMultilevel"/>
    <w:tmpl w:val="EB3E6CF2"/>
    <w:lvl w:ilvl="0" w:tplc="20A26E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3B1F7D"/>
    <w:multiLevelType w:val="hybridMultilevel"/>
    <w:tmpl w:val="79262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917916"/>
    <w:multiLevelType w:val="hybridMultilevel"/>
    <w:tmpl w:val="F1063632"/>
    <w:lvl w:ilvl="0" w:tplc="91C6C1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3953A4"/>
    <w:multiLevelType w:val="hybridMultilevel"/>
    <w:tmpl w:val="09AEAD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55F0214"/>
    <w:multiLevelType w:val="hybridMultilevel"/>
    <w:tmpl w:val="E886E27C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6">
    <w:nsid w:val="18750789"/>
    <w:multiLevelType w:val="hybridMultilevel"/>
    <w:tmpl w:val="E3B42D92"/>
    <w:lvl w:ilvl="0" w:tplc="935CBBD0">
      <w:start w:val="1"/>
      <w:numFmt w:val="bullet"/>
      <w:pStyle w:val="ListParagraph"/>
      <w:lvlText w:val=""/>
      <w:lvlJc w:val="left"/>
      <w:pPr>
        <w:ind w:left="90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C60588"/>
    <w:multiLevelType w:val="hybridMultilevel"/>
    <w:tmpl w:val="BEA09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7B7BC9"/>
    <w:multiLevelType w:val="hybridMultilevel"/>
    <w:tmpl w:val="24BEF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627D09"/>
    <w:multiLevelType w:val="hybridMultilevel"/>
    <w:tmpl w:val="464A14E8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0">
    <w:nsid w:val="298C259F"/>
    <w:multiLevelType w:val="hybridMultilevel"/>
    <w:tmpl w:val="062C0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E22AA0"/>
    <w:multiLevelType w:val="hybridMultilevel"/>
    <w:tmpl w:val="D0A01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283C44"/>
    <w:multiLevelType w:val="hybridMultilevel"/>
    <w:tmpl w:val="5A88A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154278"/>
    <w:multiLevelType w:val="hybridMultilevel"/>
    <w:tmpl w:val="41BC4040"/>
    <w:lvl w:ilvl="0" w:tplc="47BC60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6A2BD2">
      <w:numFmt w:val="bullet"/>
      <w:lvlText w:val="–"/>
      <w:lvlJc w:val="left"/>
      <w:pPr>
        <w:ind w:left="1800" w:hanging="720"/>
      </w:pPr>
      <w:rPr>
        <w:rFonts w:ascii="Arial" w:eastAsia="Calibr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6D6F2E"/>
    <w:multiLevelType w:val="hybridMultilevel"/>
    <w:tmpl w:val="47084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7E7E5A"/>
    <w:multiLevelType w:val="hybridMultilevel"/>
    <w:tmpl w:val="2B0CC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015A31"/>
    <w:multiLevelType w:val="hybridMultilevel"/>
    <w:tmpl w:val="3D487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F85CE4"/>
    <w:multiLevelType w:val="hybridMultilevel"/>
    <w:tmpl w:val="40FA3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BB4DF9"/>
    <w:multiLevelType w:val="hybridMultilevel"/>
    <w:tmpl w:val="5080D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BD64D2"/>
    <w:multiLevelType w:val="hybridMultilevel"/>
    <w:tmpl w:val="30BE5D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A037D1"/>
    <w:multiLevelType w:val="hybridMultilevel"/>
    <w:tmpl w:val="2B746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1771A6"/>
    <w:multiLevelType w:val="hybridMultilevel"/>
    <w:tmpl w:val="7DAA5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66760D"/>
    <w:multiLevelType w:val="hybridMultilevel"/>
    <w:tmpl w:val="57BE82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EC05A75"/>
    <w:multiLevelType w:val="hybridMultilevel"/>
    <w:tmpl w:val="FD0AF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E82DB8"/>
    <w:multiLevelType w:val="hybridMultilevel"/>
    <w:tmpl w:val="3AF09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503CAC"/>
    <w:multiLevelType w:val="hybridMultilevel"/>
    <w:tmpl w:val="7842F6EC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5EF8BFB6">
      <w:numFmt w:val="bullet"/>
      <w:pStyle w:val="Bullet2"/>
      <w:lvlText w:val="–"/>
      <w:lvlJc w:val="left"/>
      <w:pPr>
        <w:ind w:left="1507" w:hanging="360"/>
      </w:pPr>
      <w:rPr>
        <w:rFonts w:ascii="Arial" w:eastAsia="Calibri" w:hAnsi="Arial" w:cs="Arial" w:hint="default"/>
      </w:rPr>
    </w:lvl>
    <w:lvl w:ilvl="2" w:tplc="04090005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6">
    <w:nsid w:val="56956B5C"/>
    <w:multiLevelType w:val="hybridMultilevel"/>
    <w:tmpl w:val="FDF0A964"/>
    <w:lvl w:ilvl="0" w:tplc="04090001">
      <w:start w:val="1"/>
      <w:numFmt w:val="bullet"/>
      <w:lvlText w:val=""/>
      <w:lvlJc w:val="left"/>
      <w:pPr>
        <w:ind w:left="7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8" w:hanging="360"/>
      </w:pPr>
      <w:rPr>
        <w:rFonts w:ascii="Wingdings" w:hAnsi="Wingdings" w:hint="default"/>
      </w:rPr>
    </w:lvl>
  </w:abstractNum>
  <w:abstractNum w:abstractNumId="27">
    <w:nsid w:val="5FE21CBF"/>
    <w:multiLevelType w:val="hybridMultilevel"/>
    <w:tmpl w:val="09324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1A96509"/>
    <w:multiLevelType w:val="hybridMultilevel"/>
    <w:tmpl w:val="A532F9C8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6FC8B366">
      <w:start w:val="1"/>
      <w:numFmt w:val="bullet"/>
      <w:lvlText w:val="-"/>
      <w:lvlJc w:val="left"/>
      <w:pPr>
        <w:ind w:left="150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9">
    <w:nsid w:val="70251D6D"/>
    <w:multiLevelType w:val="hybridMultilevel"/>
    <w:tmpl w:val="39723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43755F"/>
    <w:multiLevelType w:val="hybridMultilevel"/>
    <w:tmpl w:val="B2063C4A"/>
    <w:lvl w:ilvl="0" w:tplc="6660DDA4">
      <w:start w:val="1"/>
      <w:numFmt w:val="bullet"/>
      <w:pStyle w:val="Sidequote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117F51"/>
    <w:multiLevelType w:val="hybridMultilevel"/>
    <w:tmpl w:val="46D0E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EFE3D8D"/>
    <w:multiLevelType w:val="hybridMultilevel"/>
    <w:tmpl w:val="FAF09506"/>
    <w:lvl w:ilvl="0" w:tplc="04090001">
      <w:start w:val="1"/>
      <w:numFmt w:val="bullet"/>
      <w:lvlText w:val=""/>
      <w:lvlJc w:val="left"/>
      <w:pPr>
        <w:ind w:left="87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3"/>
  </w:num>
  <w:num w:numId="3">
    <w:abstractNumId w:val="0"/>
  </w:num>
  <w:num w:numId="4">
    <w:abstractNumId w:val="5"/>
  </w:num>
  <w:num w:numId="5">
    <w:abstractNumId w:val="2"/>
  </w:num>
  <w:num w:numId="6">
    <w:abstractNumId w:val="29"/>
  </w:num>
  <w:num w:numId="7">
    <w:abstractNumId w:val="25"/>
  </w:num>
  <w:num w:numId="8">
    <w:abstractNumId w:val="14"/>
  </w:num>
  <w:num w:numId="9">
    <w:abstractNumId w:val="17"/>
  </w:num>
  <w:num w:numId="10">
    <w:abstractNumId w:val="27"/>
  </w:num>
  <w:num w:numId="11">
    <w:abstractNumId w:val="1"/>
  </w:num>
  <w:num w:numId="12">
    <w:abstractNumId w:val="7"/>
  </w:num>
  <w:num w:numId="13">
    <w:abstractNumId w:val="15"/>
  </w:num>
  <w:num w:numId="14">
    <w:abstractNumId w:val="18"/>
  </w:num>
  <w:num w:numId="15">
    <w:abstractNumId w:val="4"/>
  </w:num>
  <w:num w:numId="16">
    <w:abstractNumId w:val="24"/>
  </w:num>
  <w:num w:numId="17">
    <w:abstractNumId w:val="19"/>
  </w:num>
  <w:num w:numId="18">
    <w:abstractNumId w:val="8"/>
  </w:num>
  <w:num w:numId="19">
    <w:abstractNumId w:val="16"/>
  </w:num>
  <w:num w:numId="20">
    <w:abstractNumId w:val="23"/>
  </w:num>
  <w:num w:numId="21">
    <w:abstractNumId w:val="11"/>
  </w:num>
  <w:num w:numId="22">
    <w:abstractNumId w:val="10"/>
  </w:num>
  <w:num w:numId="23">
    <w:abstractNumId w:val="3"/>
  </w:num>
  <w:num w:numId="24">
    <w:abstractNumId w:val="21"/>
  </w:num>
  <w:num w:numId="25">
    <w:abstractNumId w:val="22"/>
  </w:num>
  <w:num w:numId="26">
    <w:abstractNumId w:val="31"/>
  </w:num>
  <w:num w:numId="27">
    <w:abstractNumId w:val="20"/>
  </w:num>
  <w:num w:numId="28">
    <w:abstractNumId w:val="12"/>
  </w:num>
  <w:num w:numId="29">
    <w:abstractNumId w:val="32"/>
  </w:num>
  <w:num w:numId="30">
    <w:abstractNumId w:val="26"/>
  </w:num>
  <w:num w:numId="31">
    <w:abstractNumId w:val="6"/>
  </w:num>
  <w:num w:numId="32">
    <w:abstractNumId w:val="6"/>
  </w:num>
  <w:num w:numId="33">
    <w:abstractNumId w:val="25"/>
  </w:num>
  <w:num w:numId="34">
    <w:abstractNumId w:val="25"/>
  </w:num>
  <w:num w:numId="35">
    <w:abstractNumId w:val="25"/>
  </w:num>
  <w:num w:numId="36">
    <w:abstractNumId w:val="25"/>
  </w:num>
  <w:num w:numId="37">
    <w:abstractNumId w:val="25"/>
  </w:num>
  <w:num w:numId="38">
    <w:abstractNumId w:val="25"/>
  </w:num>
  <w:num w:numId="39">
    <w:abstractNumId w:val="25"/>
  </w:num>
  <w:num w:numId="40">
    <w:abstractNumId w:val="25"/>
  </w:num>
  <w:num w:numId="41">
    <w:abstractNumId w:val="25"/>
  </w:num>
  <w:num w:numId="42">
    <w:abstractNumId w:val="25"/>
  </w:num>
  <w:num w:numId="43">
    <w:abstractNumId w:val="9"/>
  </w:num>
  <w:num w:numId="44">
    <w:abstractNumId w:val="28"/>
  </w:num>
  <w:num w:numId="45">
    <w:abstractNumId w:val="6"/>
  </w:num>
  <w:num w:numId="46">
    <w:abstractNumId w:val="6"/>
  </w:num>
  <w:numIdMacAtCleanup w:val="27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ahwati, Leila">
    <w15:presenceInfo w15:providerId="AD" w15:userId="S-1-5-21-2101533902-423532799-1776743176-41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F09"/>
    <w:rsid w:val="00004DA3"/>
    <w:rsid w:val="00007C10"/>
    <w:rsid w:val="00011FE7"/>
    <w:rsid w:val="000203D4"/>
    <w:rsid w:val="000245BE"/>
    <w:rsid w:val="00032377"/>
    <w:rsid w:val="00033DDF"/>
    <w:rsid w:val="000405B3"/>
    <w:rsid w:val="000444D3"/>
    <w:rsid w:val="00046100"/>
    <w:rsid w:val="00047E40"/>
    <w:rsid w:val="0006329B"/>
    <w:rsid w:val="00073F3E"/>
    <w:rsid w:val="00077DF2"/>
    <w:rsid w:val="00084C6B"/>
    <w:rsid w:val="00097C3B"/>
    <w:rsid w:val="000A5D49"/>
    <w:rsid w:val="000B4AF6"/>
    <w:rsid w:val="000B4F54"/>
    <w:rsid w:val="000B65A8"/>
    <w:rsid w:val="000C759E"/>
    <w:rsid w:val="000E2DEF"/>
    <w:rsid w:val="000F4EBB"/>
    <w:rsid w:val="00102314"/>
    <w:rsid w:val="00104C54"/>
    <w:rsid w:val="001138B5"/>
    <w:rsid w:val="00141306"/>
    <w:rsid w:val="00150578"/>
    <w:rsid w:val="00151E4C"/>
    <w:rsid w:val="00162AEC"/>
    <w:rsid w:val="00167A39"/>
    <w:rsid w:val="00170909"/>
    <w:rsid w:val="00192543"/>
    <w:rsid w:val="0019391D"/>
    <w:rsid w:val="001A688A"/>
    <w:rsid w:val="001B1F49"/>
    <w:rsid w:val="001B6FCB"/>
    <w:rsid w:val="001D37A1"/>
    <w:rsid w:val="001D496C"/>
    <w:rsid w:val="001D5C32"/>
    <w:rsid w:val="001E571E"/>
    <w:rsid w:val="001F5F29"/>
    <w:rsid w:val="00201533"/>
    <w:rsid w:val="00201BE0"/>
    <w:rsid w:val="00221F74"/>
    <w:rsid w:val="002245BC"/>
    <w:rsid w:val="002257A3"/>
    <w:rsid w:val="00230298"/>
    <w:rsid w:val="00233F00"/>
    <w:rsid w:val="00234665"/>
    <w:rsid w:val="0024740B"/>
    <w:rsid w:val="002547C4"/>
    <w:rsid w:val="0025628C"/>
    <w:rsid w:val="00264EB5"/>
    <w:rsid w:val="0027071D"/>
    <w:rsid w:val="00281028"/>
    <w:rsid w:val="00290853"/>
    <w:rsid w:val="00295CD0"/>
    <w:rsid w:val="002962DA"/>
    <w:rsid w:val="002B44B5"/>
    <w:rsid w:val="002C7EBD"/>
    <w:rsid w:val="002D11DB"/>
    <w:rsid w:val="002E0CAD"/>
    <w:rsid w:val="002E6E4F"/>
    <w:rsid w:val="002F02E1"/>
    <w:rsid w:val="002F33D4"/>
    <w:rsid w:val="002F5807"/>
    <w:rsid w:val="00311470"/>
    <w:rsid w:val="00317501"/>
    <w:rsid w:val="00326D49"/>
    <w:rsid w:val="00331A84"/>
    <w:rsid w:val="0033458C"/>
    <w:rsid w:val="00335FE5"/>
    <w:rsid w:val="003403B8"/>
    <w:rsid w:val="003446E8"/>
    <w:rsid w:val="00351215"/>
    <w:rsid w:val="00356CB4"/>
    <w:rsid w:val="00361187"/>
    <w:rsid w:val="00382F9A"/>
    <w:rsid w:val="00395E9D"/>
    <w:rsid w:val="003A46CC"/>
    <w:rsid w:val="003A6DE3"/>
    <w:rsid w:val="003B2A03"/>
    <w:rsid w:val="003B4660"/>
    <w:rsid w:val="003F0F69"/>
    <w:rsid w:val="003F1656"/>
    <w:rsid w:val="003F225D"/>
    <w:rsid w:val="003F3275"/>
    <w:rsid w:val="003F613C"/>
    <w:rsid w:val="003F6D01"/>
    <w:rsid w:val="003F7C1A"/>
    <w:rsid w:val="00403C98"/>
    <w:rsid w:val="00404DAB"/>
    <w:rsid w:val="00420B21"/>
    <w:rsid w:val="004210F6"/>
    <w:rsid w:val="00421E18"/>
    <w:rsid w:val="00423041"/>
    <w:rsid w:val="00424DE2"/>
    <w:rsid w:val="004335D6"/>
    <w:rsid w:val="00446E07"/>
    <w:rsid w:val="0046060B"/>
    <w:rsid w:val="004631FE"/>
    <w:rsid w:val="0046353E"/>
    <w:rsid w:val="004851DA"/>
    <w:rsid w:val="00491108"/>
    <w:rsid w:val="004A0DFF"/>
    <w:rsid w:val="004B4B36"/>
    <w:rsid w:val="004B75B3"/>
    <w:rsid w:val="004C3C90"/>
    <w:rsid w:val="004C4237"/>
    <w:rsid w:val="004C662C"/>
    <w:rsid w:val="004D1075"/>
    <w:rsid w:val="004D2CD4"/>
    <w:rsid w:val="004E2E48"/>
    <w:rsid w:val="00515E5E"/>
    <w:rsid w:val="00522DF6"/>
    <w:rsid w:val="00526258"/>
    <w:rsid w:val="00526F78"/>
    <w:rsid w:val="00532782"/>
    <w:rsid w:val="005342BF"/>
    <w:rsid w:val="005370F5"/>
    <w:rsid w:val="00543282"/>
    <w:rsid w:val="00543BB1"/>
    <w:rsid w:val="00545ACC"/>
    <w:rsid w:val="005475CC"/>
    <w:rsid w:val="00547F98"/>
    <w:rsid w:val="0055399E"/>
    <w:rsid w:val="0057092A"/>
    <w:rsid w:val="00571D58"/>
    <w:rsid w:val="00576167"/>
    <w:rsid w:val="00577526"/>
    <w:rsid w:val="00580661"/>
    <w:rsid w:val="0058345B"/>
    <w:rsid w:val="005A3E08"/>
    <w:rsid w:val="005A627A"/>
    <w:rsid w:val="005B6E44"/>
    <w:rsid w:val="005D38D2"/>
    <w:rsid w:val="005E6A5E"/>
    <w:rsid w:val="0060495D"/>
    <w:rsid w:val="00622953"/>
    <w:rsid w:val="00622F9D"/>
    <w:rsid w:val="00632C41"/>
    <w:rsid w:val="006357D7"/>
    <w:rsid w:val="0065039E"/>
    <w:rsid w:val="006526F4"/>
    <w:rsid w:val="0066136A"/>
    <w:rsid w:val="00661828"/>
    <w:rsid w:val="0066367D"/>
    <w:rsid w:val="00672C44"/>
    <w:rsid w:val="00682F43"/>
    <w:rsid w:val="006856D8"/>
    <w:rsid w:val="006B64A0"/>
    <w:rsid w:val="006C1B03"/>
    <w:rsid w:val="006E6531"/>
    <w:rsid w:val="006F5A00"/>
    <w:rsid w:val="006F7FEE"/>
    <w:rsid w:val="0070154A"/>
    <w:rsid w:val="00713685"/>
    <w:rsid w:val="007138C8"/>
    <w:rsid w:val="00715F68"/>
    <w:rsid w:val="0072066E"/>
    <w:rsid w:val="007273B9"/>
    <w:rsid w:val="00735B90"/>
    <w:rsid w:val="00752C4B"/>
    <w:rsid w:val="00762C35"/>
    <w:rsid w:val="00764609"/>
    <w:rsid w:val="00772CDE"/>
    <w:rsid w:val="007806AE"/>
    <w:rsid w:val="0079440F"/>
    <w:rsid w:val="007A1065"/>
    <w:rsid w:val="007A61F7"/>
    <w:rsid w:val="007A6C2A"/>
    <w:rsid w:val="007A6EF9"/>
    <w:rsid w:val="007B003C"/>
    <w:rsid w:val="007C303C"/>
    <w:rsid w:val="007D079E"/>
    <w:rsid w:val="007D5653"/>
    <w:rsid w:val="007E0047"/>
    <w:rsid w:val="007E61ED"/>
    <w:rsid w:val="007E653D"/>
    <w:rsid w:val="007F0763"/>
    <w:rsid w:val="007F3951"/>
    <w:rsid w:val="007F3FA2"/>
    <w:rsid w:val="00822DE5"/>
    <w:rsid w:val="00827203"/>
    <w:rsid w:val="00842581"/>
    <w:rsid w:val="008469EC"/>
    <w:rsid w:val="008509BE"/>
    <w:rsid w:val="00857553"/>
    <w:rsid w:val="008614B6"/>
    <w:rsid w:val="00864FE1"/>
    <w:rsid w:val="00881552"/>
    <w:rsid w:val="00881D80"/>
    <w:rsid w:val="008837A9"/>
    <w:rsid w:val="00884006"/>
    <w:rsid w:val="008945E9"/>
    <w:rsid w:val="008956D7"/>
    <w:rsid w:val="00897820"/>
    <w:rsid w:val="00897A23"/>
    <w:rsid w:val="008A04AC"/>
    <w:rsid w:val="008A1FF9"/>
    <w:rsid w:val="008A5205"/>
    <w:rsid w:val="008B28A4"/>
    <w:rsid w:val="008B564A"/>
    <w:rsid w:val="008B71DF"/>
    <w:rsid w:val="008C7B77"/>
    <w:rsid w:val="008E12F6"/>
    <w:rsid w:val="008E5CD7"/>
    <w:rsid w:val="008F13C5"/>
    <w:rsid w:val="008F2621"/>
    <w:rsid w:val="00902F4D"/>
    <w:rsid w:val="00906521"/>
    <w:rsid w:val="009118EA"/>
    <w:rsid w:val="0091199B"/>
    <w:rsid w:val="0091649B"/>
    <w:rsid w:val="00917056"/>
    <w:rsid w:val="009171E0"/>
    <w:rsid w:val="00925A59"/>
    <w:rsid w:val="00925DCF"/>
    <w:rsid w:val="00931297"/>
    <w:rsid w:val="00936917"/>
    <w:rsid w:val="0094122E"/>
    <w:rsid w:val="00974E16"/>
    <w:rsid w:val="009901E5"/>
    <w:rsid w:val="00992FB9"/>
    <w:rsid w:val="009B2C50"/>
    <w:rsid w:val="009B7CA2"/>
    <w:rsid w:val="009C68C0"/>
    <w:rsid w:val="009D4BA1"/>
    <w:rsid w:val="00A03954"/>
    <w:rsid w:val="00A0511B"/>
    <w:rsid w:val="00A0750E"/>
    <w:rsid w:val="00A12AA4"/>
    <w:rsid w:val="00A21B4D"/>
    <w:rsid w:val="00A31A4B"/>
    <w:rsid w:val="00A41018"/>
    <w:rsid w:val="00A41D0D"/>
    <w:rsid w:val="00A438BE"/>
    <w:rsid w:val="00A4691B"/>
    <w:rsid w:val="00A520AB"/>
    <w:rsid w:val="00A54A76"/>
    <w:rsid w:val="00A562A3"/>
    <w:rsid w:val="00A779D3"/>
    <w:rsid w:val="00AA0071"/>
    <w:rsid w:val="00AA0BAE"/>
    <w:rsid w:val="00AA2AE3"/>
    <w:rsid w:val="00AC42DD"/>
    <w:rsid w:val="00AD78D5"/>
    <w:rsid w:val="00AE672F"/>
    <w:rsid w:val="00AF09BC"/>
    <w:rsid w:val="00AF536F"/>
    <w:rsid w:val="00B03D28"/>
    <w:rsid w:val="00B0792D"/>
    <w:rsid w:val="00B1105C"/>
    <w:rsid w:val="00B22AF0"/>
    <w:rsid w:val="00B240ED"/>
    <w:rsid w:val="00B42600"/>
    <w:rsid w:val="00B509C8"/>
    <w:rsid w:val="00B52711"/>
    <w:rsid w:val="00B547E9"/>
    <w:rsid w:val="00B57025"/>
    <w:rsid w:val="00B870F5"/>
    <w:rsid w:val="00B96639"/>
    <w:rsid w:val="00BB467B"/>
    <w:rsid w:val="00BB6F89"/>
    <w:rsid w:val="00BB79BF"/>
    <w:rsid w:val="00BC7FDB"/>
    <w:rsid w:val="00BD1E7A"/>
    <w:rsid w:val="00BD63AB"/>
    <w:rsid w:val="00BD7226"/>
    <w:rsid w:val="00BE0464"/>
    <w:rsid w:val="00BE2CA5"/>
    <w:rsid w:val="00BE3C9E"/>
    <w:rsid w:val="00BE4236"/>
    <w:rsid w:val="00BE6BDC"/>
    <w:rsid w:val="00BE6FDF"/>
    <w:rsid w:val="00C045E3"/>
    <w:rsid w:val="00C068AD"/>
    <w:rsid w:val="00C07032"/>
    <w:rsid w:val="00C11956"/>
    <w:rsid w:val="00C20F84"/>
    <w:rsid w:val="00C2557C"/>
    <w:rsid w:val="00C37501"/>
    <w:rsid w:val="00C40BF5"/>
    <w:rsid w:val="00C43840"/>
    <w:rsid w:val="00C46A0C"/>
    <w:rsid w:val="00C47C5A"/>
    <w:rsid w:val="00C60834"/>
    <w:rsid w:val="00C75B02"/>
    <w:rsid w:val="00C8009E"/>
    <w:rsid w:val="00C808E2"/>
    <w:rsid w:val="00C957BC"/>
    <w:rsid w:val="00CA25CD"/>
    <w:rsid w:val="00CA54E4"/>
    <w:rsid w:val="00CA7B9B"/>
    <w:rsid w:val="00CC0134"/>
    <w:rsid w:val="00CD0F74"/>
    <w:rsid w:val="00CD4880"/>
    <w:rsid w:val="00CE11CE"/>
    <w:rsid w:val="00CF0A51"/>
    <w:rsid w:val="00CF2DB1"/>
    <w:rsid w:val="00D009C1"/>
    <w:rsid w:val="00D059A4"/>
    <w:rsid w:val="00D06650"/>
    <w:rsid w:val="00D106E4"/>
    <w:rsid w:val="00D140CD"/>
    <w:rsid w:val="00D14C0C"/>
    <w:rsid w:val="00D1552E"/>
    <w:rsid w:val="00D36FA7"/>
    <w:rsid w:val="00D43515"/>
    <w:rsid w:val="00D45C53"/>
    <w:rsid w:val="00D4623A"/>
    <w:rsid w:val="00D47244"/>
    <w:rsid w:val="00D50EB3"/>
    <w:rsid w:val="00D527C9"/>
    <w:rsid w:val="00D53ABB"/>
    <w:rsid w:val="00D72F09"/>
    <w:rsid w:val="00D74F8B"/>
    <w:rsid w:val="00D76F46"/>
    <w:rsid w:val="00D81344"/>
    <w:rsid w:val="00D81DF6"/>
    <w:rsid w:val="00D85F9A"/>
    <w:rsid w:val="00D97702"/>
    <w:rsid w:val="00DA7DC6"/>
    <w:rsid w:val="00DB33E5"/>
    <w:rsid w:val="00DB650F"/>
    <w:rsid w:val="00DC23B0"/>
    <w:rsid w:val="00DC5875"/>
    <w:rsid w:val="00DC76CB"/>
    <w:rsid w:val="00DE54CD"/>
    <w:rsid w:val="00DE5728"/>
    <w:rsid w:val="00E019F3"/>
    <w:rsid w:val="00E04068"/>
    <w:rsid w:val="00E07EAC"/>
    <w:rsid w:val="00E141D8"/>
    <w:rsid w:val="00E22AF9"/>
    <w:rsid w:val="00E2791E"/>
    <w:rsid w:val="00E34C1E"/>
    <w:rsid w:val="00E638EA"/>
    <w:rsid w:val="00E639ED"/>
    <w:rsid w:val="00E63C64"/>
    <w:rsid w:val="00E6563B"/>
    <w:rsid w:val="00E8554D"/>
    <w:rsid w:val="00E932EE"/>
    <w:rsid w:val="00EA759A"/>
    <w:rsid w:val="00EB10A0"/>
    <w:rsid w:val="00EB1AA5"/>
    <w:rsid w:val="00EB58E5"/>
    <w:rsid w:val="00ED4341"/>
    <w:rsid w:val="00EE7BC8"/>
    <w:rsid w:val="00EF18DC"/>
    <w:rsid w:val="00EF46A5"/>
    <w:rsid w:val="00F008B5"/>
    <w:rsid w:val="00F2378E"/>
    <w:rsid w:val="00F40575"/>
    <w:rsid w:val="00F43F11"/>
    <w:rsid w:val="00F47D31"/>
    <w:rsid w:val="00F6142D"/>
    <w:rsid w:val="00F64279"/>
    <w:rsid w:val="00F753FF"/>
    <w:rsid w:val="00F75489"/>
    <w:rsid w:val="00F75FC6"/>
    <w:rsid w:val="00F81633"/>
    <w:rsid w:val="00F84490"/>
    <w:rsid w:val="00F9199D"/>
    <w:rsid w:val="00F91FA8"/>
    <w:rsid w:val="00F94587"/>
    <w:rsid w:val="00FA47C8"/>
    <w:rsid w:val="00FA6819"/>
    <w:rsid w:val="00FA6D5F"/>
    <w:rsid w:val="00FD3D97"/>
    <w:rsid w:val="00FD7DD2"/>
    <w:rsid w:val="00FE0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46AFE7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7B77"/>
    <w:pPr>
      <w:spacing w:after="120" w:line="276" w:lineRule="auto"/>
    </w:pPr>
    <w:rPr>
      <w:rFonts w:ascii="Arial" w:hAnsi="Arial"/>
      <w:bCs/>
      <w:color w:val="000000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2F09"/>
    <w:pPr>
      <w:spacing w:after="0" w:line="240" w:lineRule="auto"/>
      <w:contextualSpacing/>
      <w:outlineLvl w:val="0"/>
    </w:pPr>
    <w:rPr>
      <w:rFonts w:eastAsia="Times New Roman" w:cs="Times New Roman"/>
      <w:b/>
      <w:bCs w:val="0"/>
      <w:sz w:val="24"/>
      <w:szCs w:val="2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68A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bCs w:val="0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D72F09"/>
    <w:rPr>
      <w:rFonts w:ascii="Arial" w:eastAsia="Times New Roman" w:hAnsi="Arial" w:cs="Times New Roman"/>
      <w:b/>
      <w:bCs/>
      <w:sz w:val="24"/>
      <w:szCs w:val="28"/>
    </w:rPr>
  </w:style>
  <w:style w:type="table" w:styleId="TableGrid">
    <w:name w:val="Table Grid"/>
    <w:basedOn w:val="TableNormal"/>
    <w:uiPriority w:val="59"/>
    <w:rsid w:val="00D72F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dequoteBullets">
    <w:name w:val="SidequoteBullets"/>
    <w:basedOn w:val="ListParagraph"/>
    <w:qFormat/>
    <w:rsid w:val="00D72F09"/>
    <w:pPr>
      <w:framePr w:hSpace="180" w:wrap="around" w:vAnchor="text" w:hAnchor="text" w:x="-3182" w:y="1"/>
      <w:numPr>
        <w:numId w:val="1"/>
      </w:numPr>
      <w:tabs>
        <w:tab w:val="num" w:pos="360"/>
      </w:tabs>
      <w:spacing w:after="0" w:line="240" w:lineRule="auto"/>
      <w:ind w:firstLine="0"/>
    </w:pPr>
    <w:rPr>
      <w:rFonts w:cs="Times New Roman"/>
      <w:sz w:val="20"/>
    </w:rPr>
  </w:style>
  <w:style w:type="paragraph" w:styleId="ListParagraph">
    <w:name w:val="List Paragraph"/>
    <w:basedOn w:val="Normal"/>
    <w:uiPriority w:val="34"/>
    <w:qFormat/>
    <w:rsid w:val="008C7B77"/>
    <w:pPr>
      <w:numPr>
        <w:numId w:val="31"/>
      </w:numPr>
      <w:contextualSpacing/>
    </w:pPr>
  </w:style>
  <w:style w:type="paragraph" w:styleId="NormalWeb">
    <w:name w:val="Normal (Web)"/>
    <w:basedOn w:val="Normal"/>
    <w:uiPriority w:val="99"/>
    <w:unhideWhenUsed/>
    <w:rsid w:val="0027071D"/>
    <w:pPr>
      <w:spacing w:before="100" w:beforeAutospacing="1" w:after="100" w:afterAutospacing="1" w:line="240" w:lineRule="auto"/>
    </w:pPr>
    <w:rPr>
      <w:rFonts w:ascii="Lucida Sans Unicode" w:eastAsia="Times New Roman" w:hAnsi="Lucida Sans Unicode" w:cs="Lucida Sans Unicode"/>
      <w:color w:val="555555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C7B77"/>
    <w:pPr>
      <w:tabs>
        <w:tab w:val="center" w:pos="4680"/>
        <w:tab w:val="right" w:pos="9360"/>
      </w:tabs>
      <w:spacing w:after="200"/>
      <w:jc w:val="center"/>
    </w:pPr>
    <w:rPr>
      <w:rFonts w:ascii="Calibri" w:hAnsi="Calibri"/>
      <w:bCs w:val="0"/>
      <w:color w:val="auto"/>
    </w:rPr>
  </w:style>
  <w:style w:type="character" w:customStyle="1" w:styleId="HeaderChar">
    <w:name w:val="Header Char"/>
    <w:link w:val="Header"/>
    <w:uiPriority w:val="99"/>
    <w:rsid w:val="008C7B77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77DF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77DF2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1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105C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543B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3BB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3BB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3BB1"/>
    <w:rPr>
      <w:b/>
      <w:bCs w:val="0"/>
    </w:rPr>
  </w:style>
  <w:style w:type="character" w:customStyle="1" w:styleId="CommentSubjectChar">
    <w:name w:val="Comment Subject Char"/>
    <w:link w:val="CommentSubject"/>
    <w:uiPriority w:val="99"/>
    <w:semiHidden/>
    <w:rsid w:val="00543BB1"/>
    <w:rPr>
      <w:b/>
      <w:bCs/>
    </w:rPr>
  </w:style>
  <w:style w:type="character" w:styleId="Hyperlink">
    <w:name w:val="Hyperlink"/>
    <w:uiPriority w:val="99"/>
    <w:unhideWhenUsed/>
    <w:rsid w:val="000A5D49"/>
    <w:rPr>
      <w:color w:val="0000FF"/>
      <w:u w:val="single"/>
    </w:rPr>
  </w:style>
  <w:style w:type="paragraph" w:customStyle="1" w:styleId="SayThis">
    <w:name w:val="Say This"/>
    <w:basedOn w:val="Normal"/>
    <w:qFormat/>
    <w:rsid w:val="00FA47C8"/>
    <w:rPr>
      <w:b/>
      <w:szCs w:val="24"/>
    </w:rPr>
  </w:style>
  <w:style w:type="paragraph" w:customStyle="1" w:styleId="SlideNumber">
    <w:name w:val="Slide Number"/>
    <w:basedOn w:val="Normal"/>
    <w:qFormat/>
    <w:rsid w:val="008C7B77"/>
    <w:pPr>
      <w:jc w:val="center"/>
    </w:pPr>
    <w:rPr>
      <w:b/>
      <w:i/>
      <w:sz w:val="24"/>
    </w:rPr>
  </w:style>
  <w:style w:type="paragraph" w:customStyle="1" w:styleId="ArielInstructions">
    <w:name w:val="Ariel Instructions"/>
    <w:basedOn w:val="Normal"/>
    <w:next w:val="Normal"/>
    <w:link w:val="ArielInstructionsChar"/>
    <w:qFormat/>
    <w:rsid w:val="0091199B"/>
    <w:pPr>
      <w:spacing w:after="200" w:line="240" w:lineRule="auto"/>
    </w:pPr>
    <w:rPr>
      <w:bCs w:val="0"/>
      <w:color w:val="auto"/>
      <w:kern w:val="24"/>
      <w:lang w:bidi="en-US"/>
    </w:rPr>
  </w:style>
  <w:style w:type="character" w:customStyle="1" w:styleId="ArielInstructionsChar">
    <w:name w:val="Ariel Instructions Char"/>
    <w:link w:val="ArielInstructions"/>
    <w:rsid w:val="0091199B"/>
    <w:rPr>
      <w:rFonts w:ascii="Arial" w:hAnsi="Arial"/>
      <w:kern w:val="24"/>
      <w:sz w:val="22"/>
      <w:szCs w:val="22"/>
      <w:lang w:eastAsia="en-US" w:bidi="en-US"/>
    </w:rPr>
  </w:style>
  <w:style w:type="paragraph" w:customStyle="1" w:styleId="BodyText1">
    <w:name w:val="Body Text1"/>
    <w:basedOn w:val="Normal"/>
    <w:rsid w:val="00FA47C8"/>
    <w:pPr>
      <w:spacing w:after="240" w:line="240" w:lineRule="auto"/>
    </w:pPr>
    <w:rPr>
      <w:rFonts w:eastAsia="Times New Roman" w:cs="Times New Roman"/>
      <w:bCs w:val="0"/>
      <w:color w:val="auto"/>
      <w:szCs w:val="20"/>
    </w:rPr>
  </w:style>
  <w:style w:type="paragraph" w:styleId="ListBullet">
    <w:name w:val="List Bullet"/>
    <w:basedOn w:val="Normal"/>
    <w:uiPriority w:val="99"/>
    <w:unhideWhenUsed/>
    <w:rsid w:val="00C068AD"/>
    <w:pPr>
      <w:numPr>
        <w:numId w:val="3"/>
      </w:numPr>
      <w:tabs>
        <w:tab w:val="clear" w:pos="360"/>
        <w:tab w:val="num" w:pos="720"/>
      </w:tabs>
      <w:spacing w:after="240" w:line="240" w:lineRule="auto"/>
      <w:ind w:left="720"/>
    </w:pPr>
    <w:rPr>
      <w:rFonts w:cs="Times New Roman"/>
      <w:bCs w:val="0"/>
      <w:color w:val="auto"/>
      <w:sz w:val="24"/>
      <w:lang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68AD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customStyle="1" w:styleId="ListParagraph2">
    <w:name w:val="List Paragraph 2"/>
    <w:basedOn w:val="Normal"/>
    <w:rsid w:val="0094122E"/>
  </w:style>
  <w:style w:type="paragraph" w:styleId="Revision">
    <w:name w:val="Revision"/>
    <w:hidden/>
    <w:uiPriority w:val="99"/>
    <w:semiHidden/>
    <w:rsid w:val="003F1656"/>
    <w:rPr>
      <w:rFonts w:ascii="Arial" w:hAnsi="Arial"/>
      <w:bCs/>
      <w:color w:val="000000"/>
      <w:sz w:val="22"/>
      <w:szCs w:val="22"/>
      <w:lang w:eastAsia="en-US"/>
    </w:rPr>
  </w:style>
  <w:style w:type="paragraph" w:customStyle="1" w:styleId="Bullet1">
    <w:name w:val="Bullet 1"/>
    <w:basedOn w:val="ListParagraph"/>
    <w:qFormat/>
    <w:rsid w:val="00FA47C8"/>
    <w:rPr>
      <w:rFonts w:asciiTheme="minorBidi" w:hAnsiTheme="minorBidi" w:cstheme="minorBidi"/>
    </w:rPr>
  </w:style>
  <w:style w:type="paragraph" w:customStyle="1" w:styleId="Bullet2">
    <w:name w:val="Bullet 2"/>
    <w:basedOn w:val="Normal"/>
    <w:qFormat/>
    <w:rsid w:val="00FA47C8"/>
    <w:pPr>
      <w:numPr>
        <w:ilvl w:val="1"/>
        <w:numId w:val="7"/>
      </w:numPr>
      <w:spacing w:line="240" w:lineRule="auto"/>
    </w:pPr>
    <w:rPr>
      <w:rFonts w:asciiTheme="minorBidi" w:hAnsiTheme="minorBid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7B77"/>
    <w:pPr>
      <w:spacing w:after="120" w:line="276" w:lineRule="auto"/>
    </w:pPr>
    <w:rPr>
      <w:rFonts w:ascii="Arial" w:hAnsi="Arial"/>
      <w:bCs/>
      <w:color w:val="000000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2F09"/>
    <w:pPr>
      <w:spacing w:after="0" w:line="240" w:lineRule="auto"/>
      <w:contextualSpacing/>
      <w:outlineLvl w:val="0"/>
    </w:pPr>
    <w:rPr>
      <w:rFonts w:eastAsia="Times New Roman" w:cs="Times New Roman"/>
      <w:b/>
      <w:bCs w:val="0"/>
      <w:sz w:val="24"/>
      <w:szCs w:val="2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68A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bCs w:val="0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D72F09"/>
    <w:rPr>
      <w:rFonts w:ascii="Arial" w:eastAsia="Times New Roman" w:hAnsi="Arial" w:cs="Times New Roman"/>
      <w:b/>
      <w:bCs/>
      <w:sz w:val="24"/>
      <w:szCs w:val="28"/>
    </w:rPr>
  </w:style>
  <w:style w:type="table" w:styleId="TableGrid">
    <w:name w:val="Table Grid"/>
    <w:basedOn w:val="TableNormal"/>
    <w:uiPriority w:val="59"/>
    <w:rsid w:val="00D72F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dequoteBullets">
    <w:name w:val="SidequoteBullets"/>
    <w:basedOn w:val="ListParagraph"/>
    <w:qFormat/>
    <w:rsid w:val="00D72F09"/>
    <w:pPr>
      <w:framePr w:hSpace="180" w:wrap="around" w:vAnchor="text" w:hAnchor="text" w:x="-3182" w:y="1"/>
      <w:numPr>
        <w:numId w:val="1"/>
      </w:numPr>
      <w:tabs>
        <w:tab w:val="num" w:pos="360"/>
      </w:tabs>
      <w:spacing w:after="0" w:line="240" w:lineRule="auto"/>
      <w:ind w:firstLine="0"/>
    </w:pPr>
    <w:rPr>
      <w:rFonts w:cs="Times New Roman"/>
      <w:sz w:val="20"/>
    </w:rPr>
  </w:style>
  <w:style w:type="paragraph" w:styleId="ListParagraph">
    <w:name w:val="List Paragraph"/>
    <w:basedOn w:val="Normal"/>
    <w:uiPriority w:val="34"/>
    <w:qFormat/>
    <w:rsid w:val="008C7B77"/>
    <w:pPr>
      <w:numPr>
        <w:numId w:val="31"/>
      </w:numPr>
      <w:contextualSpacing/>
    </w:pPr>
  </w:style>
  <w:style w:type="paragraph" w:styleId="NormalWeb">
    <w:name w:val="Normal (Web)"/>
    <w:basedOn w:val="Normal"/>
    <w:uiPriority w:val="99"/>
    <w:unhideWhenUsed/>
    <w:rsid w:val="0027071D"/>
    <w:pPr>
      <w:spacing w:before="100" w:beforeAutospacing="1" w:after="100" w:afterAutospacing="1" w:line="240" w:lineRule="auto"/>
    </w:pPr>
    <w:rPr>
      <w:rFonts w:ascii="Lucida Sans Unicode" w:eastAsia="Times New Roman" w:hAnsi="Lucida Sans Unicode" w:cs="Lucida Sans Unicode"/>
      <w:color w:val="555555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C7B77"/>
    <w:pPr>
      <w:tabs>
        <w:tab w:val="center" w:pos="4680"/>
        <w:tab w:val="right" w:pos="9360"/>
      </w:tabs>
      <w:spacing w:after="200"/>
      <w:jc w:val="center"/>
    </w:pPr>
    <w:rPr>
      <w:rFonts w:ascii="Calibri" w:hAnsi="Calibri"/>
      <w:bCs w:val="0"/>
      <w:color w:val="auto"/>
    </w:rPr>
  </w:style>
  <w:style w:type="character" w:customStyle="1" w:styleId="HeaderChar">
    <w:name w:val="Header Char"/>
    <w:link w:val="Header"/>
    <w:uiPriority w:val="99"/>
    <w:rsid w:val="008C7B77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77DF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77DF2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1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105C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543B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3BB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3BB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3BB1"/>
    <w:rPr>
      <w:b/>
      <w:bCs w:val="0"/>
    </w:rPr>
  </w:style>
  <w:style w:type="character" w:customStyle="1" w:styleId="CommentSubjectChar">
    <w:name w:val="Comment Subject Char"/>
    <w:link w:val="CommentSubject"/>
    <w:uiPriority w:val="99"/>
    <w:semiHidden/>
    <w:rsid w:val="00543BB1"/>
    <w:rPr>
      <w:b/>
      <w:bCs/>
    </w:rPr>
  </w:style>
  <w:style w:type="character" w:styleId="Hyperlink">
    <w:name w:val="Hyperlink"/>
    <w:uiPriority w:val="99"/>
    <w:unhideWhenUsed/>
    <w:rsid w:val="000A5D49"/>
    <w:rPr>
      <w:color w:val="0000FF"/>
      <w:u w:val="single"/>
    </w:rPr>
  </w:style>
  <w:style w:type="paragraph" w:customStyle="1" w:styleId="SayThis">
    <w:name w:val="Say This"/>
    <w:basedOn w:val="Normal"/>
    <w:qFormat/>
    <w:rsid w:val="00FA47C8"/>
    <w:rPr>
      <w:b/>
      <w:szCs w:val="24"/>
    </w:rPr>
  </w:style>
  <w:style w:type="paragraph" w:customStyle="1" w:styleId="SlideNumber">
    <w:name w:val="Slide Number"/>
    <w:basedOn w:val="Normal"/>
    <w:qFormat/>
    <w:rsid w:val="008C7B77"/>
    <w:pPr>
      <w:jc w:val="center"/>
    </w:pPr>
    <w:rPr>
      <w:b/>
      <w:i/>
      <w:sz w:val="24"/>
    </w:rPr>
  </w:style>
  <w:style w:type="paragraph" w:customStyle="1" w:styleId="ArielInstructions">
    <w:name w:val="Ariel Instructions"/>
    <w:basedOn w:val="Normal"/>
    <w:next w:val="Normal"/>
    <w:link w:val="ArielInstructionsChar"/>
    <w:qFormat/>
    <w:rsid w:val="0091199B"/>
    <w:pPr>
      <w:spacing w:after="200" w:line="240" w:lineRule="auto"/>
    </w:pPr>
    <w:rPr>
      <w:bCs w:val="0"/>
      <w:color w:val="auto"/>
      <w:kern w:val="24"/>
      <w:lang w:bidi="en-US"/>
    </w:rPr>
  </w:style>
  <w:style w:type="character" w:customStyle="1" w:styleId="ArielInstructionsChar">
    <w:name w:val="Ariel Instructions Char"/>
    <w:link w:val="ArielInstructions"/>
    <w:rsid w:val="0091199B"/>
    <w:rPr>
      <w:rFonts w:ascii="Arial" w:hAnsi="Arial"/>
      <w:kern w:val="24"/>
      <w:sz w:val="22"/>
      <w:szCs w:val="22"/>
      <w:lang w:eastAsia="en-US" w:bidi="en-US"/>
    </w:rPr>
  </w:style>
  <w:style w:type="paragraph" w:customStyle="1" w:styleId="BodyText1">
    <w:name w:val="Body Text1"/>
    <w:basedOn w:val="Normal"/>
    <w:rsid w:val="00FA47C8"/>
    <w:pPr>
      <w:spacing w:after="240" w:line="240" w:lineRule="auto"/>
    </w:pPr>
    <w:rPr>
      <w:rFonts w:eastAsia="Times New Roman" w:cs="Times New Roman"/>
      <w:bCs w:val="0"/>
      <w:color w:val="auto"/>
      <w:szCs w:val="20"/>
    </w:rPr>
  </w:style>
  <w:style w:type="paragraph" w:styleId="ListBullet">
    <w:name w:val="List Bullet"/>
    <w:basedOn w:val="Normal"/>
    <w:uiPriority w:val="99"/>
    <w:unhideWhenUsed/>
    <w:rsid w:val="00C068AD"/>
    <w:pPr>
      <w:numPr>
        <w:numId w:val="3"/>
      </w:numPr>
      <w:tabs>
        <w:tab w:val="clear" w:pos="360"/>
        <w:tab w:val="num" w:pos="720"/>
      </w:tabs>
      <w:spacing w:after="240" w:line="240" w:lineRule="auto"/>
      <w:ind w:left="720"/>
    </w:pPr>
    <w:rPr>
      <w:rFonts w:cs="Times New Roman"/>
      <w:bCs w:val="0"/>
      <w:color w:val="auto"/>
      <w:sz w:val="24"/>
      <w:lang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68AD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customStyle="1" w:styleId="ListParagraph2">
    <w:name w:val="List Paragraph 2"/>
    <w:basedOn w:val="Normal"/>
    <w:rsid w:val="0094122E"/>
  </w:style>
  <w:style w:type="paragraph" w:styleId="Revision">
    <w:name w:val="Revision"/>
    <w:hidden/>
    <w:uiPriority w:val="99"/>
    <w:semiHidden/>
    <w:rsid w:val="003F1656"/>
    <w:rPr>
      <w:rFonts w:ascii="Arial" w:hAnsi="Arial"/>
      <w:bCs/>
      <w:color w:val="000000"/>
      <w:sz w:val="22"/>
      <w:szCs w:val="22"/>
      <w:lang w:eastAsia="en-US"/>
    </w:rPr>
  </w:style>
  <w:style w:type="paragraph" w:customStyle="1" w:styleId="Bullet1">
    <w:name w:val="Bullet 1"/>
    <w:basedOn w:val="ListParagraph"/>
    <w:qFormat/>
    <w:rsid w:val="00FA47C8"/>
    <w:rPr>
      <w:rFonts w:asciiTheme="minorBidi" w:hAnsiTheme="minorBidi" w:cstheme="minorBidi"/>
    </w:rPr>
  </w:style>
  <w:style w:type="paragraph" w:customStyle="1" w:styleId="Bullet2">
    <w:name w:val="Bullet 2"/>
    <w:basedOn w:val="Normal"/>
    <w:qFormat/>
    <w:rsid w:val="00FA47C8"/>
    <w:pPr>
      <w:numPr>
        <w:ilvl w:val="1"/>
        <w:numId w:val="7"/>
      </w:numPr>
      <w:spacing w:line="240" w:lineRule="auto"/>
    </w:pPr>
    <w:rPr>
      <w:rFonts w:asciiTheme="minorBidi" w:hAnsiTheme="minorBid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3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50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510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50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971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80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051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0205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2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179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133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102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766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40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932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4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2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120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81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50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7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45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53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36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67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43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64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6871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798411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19423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1844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17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61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8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500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43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2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4036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71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3963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507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569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8983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86193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0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411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9327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049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0509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4558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6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48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0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768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9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813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8469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91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1285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1873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7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3372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4196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56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252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07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9677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286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8677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69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69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04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2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16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6966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5356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100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8684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527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0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3390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0537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98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2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756231">
          <w:marLeft w:val="0"/>
          <w:marRight w:val="0"/>
          <w:marTop w:val="0"/>
          <w:marBottom w:val="136"/>
          <w:divBdr>
            <w:top w:val="single" w:sz="12" w:space="0" w:color="FFFFFF"/>
            <w:left w:val="single" w:sz="12" w:space="0" w:color="FFFFFF"/>
            <w:bottom w:val="none" w:sz="0" w:space="0" w:color="auto"/>
            <w:right w:val="single" w:sz="12" w:space="0" w:color="FFFFFF"/>
          </w:divBdr>
          <w:divsChild>
            <w:div w:id="157898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25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5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21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48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876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517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798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0553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61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2212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4276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3062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5406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9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050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733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62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789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3014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4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814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704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5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5635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54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0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76652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2809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5318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727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000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5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43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694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27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053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748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320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307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01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83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110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38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685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7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12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63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89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615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734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017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41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654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485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0594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9514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061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529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2652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0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804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58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5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13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69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5668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14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02753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0598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8616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2596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9674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89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74372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1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2052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0966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3132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3463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571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6003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9885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35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437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146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47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8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6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1795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400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609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35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7996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2369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537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980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0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3563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7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2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12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8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165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939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6169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0189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18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7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94655">
          <w:marLeft w:val="20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5470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3725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4690">
          <w:marLeft w:val="20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678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0137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6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83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72366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8968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667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29424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414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51974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18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465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8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62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17458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927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21985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52865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9579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839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1649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288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3185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57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7981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954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382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93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02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header" Target="header2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microsoft.com/office/2011/relationships/commentsExtended" Target="commentsExtended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96EDE-696A-4E7B-A4A5-2C16BC31D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24</Pages>
  <Words>3304</Words>
  <Characters>18839</Characters>
  <Application>Microsoft Office Word</Application>
  <DocSecurity>0</DocSecurity>
  <Lines>156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RTI International</Company>
  <LinksUpToDate>false</LinksUpToDate>
  <CharactersWithSpaces>22099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Margot Schwartz</dc:creator>
  <cp:lastModifiedBy>Chris Heidenrich OCKT</cp:lastModifiedBy>
  <cp:revision>4</cp:revision>
  <cp:lastPrinted>2013-09-06T19:18:00Z</cp:lastPrinted>
  <dcterms:created xsi:type="dcterms:W3CDTF">2016-11-01T16:17:00Z</dcterms:created>
  <dcterms:modified xsi:type="dcterms:W3CDTF">2017-03-21T20:24:00Z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852174280</vt:i4>
  </property>
  <property fmtid="{D5CDD505-2E9C-101B-9397-08002B2CF9AE}" pid="3" name="_NewReviewCycle">
    <vt:lpwstr/>
  </property>
  <property fmtid="{D5CDD505-2E9C-101B-9397-08002B2CF9AE}" pid="4" name="_EmailSubject">
    <vt:lpwstr>Final Perinatal Safety flier with figure revision request</vt:lpwstr>
  </property>
  <property fmtid="{D5CDD505-2E9C-101B-9397-08002B2CF9AE}" pid="5" name="_AuthorEmail">
    <vt:lpwstr>Beth.Collinssharp@ahrq.hhs.gov</vt:lpwstr>
  </property>
  <property fmtid="{D5CDD505-2E9C-101B-9397-08002B2CF9AE}" pid="6" name="_AuthorEmailDisplayName">
    <vt:lpwstr>Collins Sharp, Beth (AHRQ)</vt:lpwstr>
  </property>
  <property fmtid="{D5CDD505-2E9C-101B-9397-08002B2CF9AE}" pid="7" name="_ReviewingToolsShownOnce">
    <vt:lpwstr/>
  </property>
</Properties>
</file>