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02282" w14:textId="77777777" w:rsidR="00BD387E" w:rsidRPr="00BA1937" w:rsidRDefault="00BD387E" w:rsidP="00B95092">
      <w:pPr>
        <w:pStyle w:val="BodyText"/>
        <w:spacing w:before="240"/>
      </w:pPr>
      <w:bookmarkStart w:id="0" w:name="_GoBack"/>
      <w:bookmarkEnd w:id="0"/>
      <w:r w:rsidRPr="00BA1937">
        <w:rPr>
          <w:b/>
        </w:rPr>
        <w:t xml:space="preserve">Purpose of the tool: </w:t>
      </w:r>
      <w:r>
        <w:t xml:space="preserve">This tool </w:t>
      </w:r>
      <w:r w:rsidRPr="00F5392C">
        <w:t xml:space="preserve">describes the key perinatal safety elements with examples </w:t>
      </w:r>
      <w:r>
        <w:t>for the safe administration of</w:t>
      </w:r>
      <w:r w:rsidRPr="00F5392C">
        <w:t xml:space="preserve"> </w:t>
      </w:r>
      <w:r w:rsidRPr="00BA1937">
        <w:t xml:space="preserve">magnesium sulfate </w:t>
      </w:r>
      <w:r>
        <w:t>during labor</w:t>
      </w:r>
      <w:r w:rsidRPr="00BA1937">
        <w:t xml:space="preserve">. </w:t>
      </w:r>
      <w:r w:rsidRPr="00F5392C">
        <w:t>The key elements are presented within the framework of the Comprehensive Unit-</w:t>
      </w:r>
      <w:r w:rsidR="007B1B3A">
        <w:t>b</w:t>
      </w:r>
      <w:r w:rsidRPr="00F5392C">
        <w:t>ased Safety Program (CUSP).</w:t>
      </w:r>
    </w:p>
    <w:p w14:paraId="63D8C432" w14:textId="77777777" w:rsidR="00BD387E" w:rsidRDefault="00BD387E" w:rsidP="00BD387E">
      <w:pPr>
        <w:pStyle w:val="BodyText"/>
      </w:pPr>
      <w:r w:rsidRPr="00BA1937">
        <w:rPr>
          <w:b/>
        </w:rPr>
        <w:t xml:space="preserve">Who should use this tool: </w:t>
      </w:r>
      <w:r w:rsidRPr="00BA1937">
        <w:t xml:space="preserve">Nurses, physicians, midwives, pharmacists, and other labor and delivery (L&amp;D) unit staff responsible for the preparation and administration of </w:t>
      </w:r>
      <w:r>
        <w:t>magnesium sulfate</w:t>
      </w:r>
      <w:r>
        <w:rPr>
          <w:vertAlign w:val="subscript"/>
        </w:rPr>
        <w:t xml:space="preserve"> </w:t>
      </w:r>
      <w:r>
        <w:t>during labor.</w:t>
      </w:r>
    </w:p>
    <w:p w14:paraId="0DEB8C62" w14:textId="77777777" w:rsidR="00BD387E" w:rsidRPr="00391419" w:rsidRDefault="00BD387E" w:rsidP="00BD387E">
      <w:pPr>
        <w:pStyle w:val="BodyText"/>
        <w:rPr>
          <w:szCs w:val="24"/>
        </w:rPr>
      </w:pPr>
      <w:r w:rsidRPr="00BA1937">
        <w:rPr>
          <w:b/>
        </w:rPr>
        <w:t>How to use this tool:</w:t>
      </w:r>
      <w:r w:rsidRPr="00391419">
        <w:rPr>
          <w:szCs w:val="24"/>
        </w:rPr>
        <w:t xml:space="preserve"> Review the </w:t>
      </w:r>
      <w:r>
        <w:rPr>
          <w:szCs w:val="24"/>
        </w:rPr>
        <w:t xml:space="preserve">key perinatal safety elements </w:t>
      </w:r>
      <w:r w:rsidRPr="00391419">
        <w:rPr>
          <w:szCs w:val="24"/>
        </w:rPr>
        <w:t xml:space="preserve">with L&amp;D leadership </w:t>
      </w:r>
      <w:r>
        <w:rPr>
          <w:szCs w:val="24"/>
        </w:rPr>
        <w:t xml:space="preserve">and unit staff </w:t>
      </w:r>
      <w:r w:rsidRPr="00391419">
        <w:rPr>
          <w:szCs w:val="24"/>
        </w:rPr>
        <w:t xml:space="preserve">to determine </w:t>
      </w:r>
      <w:r>
        <w:rPr>
          <w:szCs w:val="24"/>
        </w:rPr>
        <w:t>how the elements will be implemented on your L&amp;D unit</w:t>
      </w:r>
      <w:r w:rsidRPr="00391419">
        <w:rPr>
          <w:szCs w:val="24"/>
        </w:rPr>
        <w:t xml:space="preserve">. Consider any existing facility policies or processes </w:t>
      </w:r>
      <w:r>
        <w:rPr>
          <w:szCs w:val="24"/>
        </w:rPr>
        <w:t xml:space="preserve">related to magnesium sulfate use. </w:t>
      </w:r>
      <w:r w:rsidRPr="006E4852">
        <w:rPr>
          <w:szCs w:val="24"/>
        </w:rPr>
        <w:t>Consider using preprinted orders, standing orders, and staff tra</w:t>
      </w:r>
      <w:r>
        <w:rPr>
          <w:szCs w:val="24"/>
        </w:rPr>
        <w:t xml:space="preserve">ining to support implementation. </w:t>
      </w:r>
      <w:r w:rsidRPr="005369A3">
        <w:rPr>
          <w:rFonts w:cs="Arial"/>
        </w:rPr>
        <w:t xml:space="preserve">A sample of how some of these key perinatal safety elements can be incorporated into a unit approach to </w:t>
      </w:r>
      <w:r>
        <w:rPr>
          <w:rFonts w:cs="Arial"/>
        </w:rPr>
        <w:t>safe magnesium sulfate administration</w:t>
      </w:r>
      <w:r w:rsidRPr="005369A3">
        <w:rPr>
          <w:rFonts w:cs="Arial"/>
        </w:rPr>
        <w:t xml:space="preserve"> is provided in the Appendix of this tool.</w:t>
      </w:r>
    </w:p>
    <w:p w14:paraId="20753364" w14:textId="79F35089" w:rsidR="00BD387E" w:rsidRDefault="00BD387E" w:rsidP="009F76D4">
      <w:pPr>
        <w:pStyle w:val="Heading1"/>
      </w:pPr>
      <w:r>
        <w:t>Key Perinatal Safety Elements</w:t>
      </w:r>
    </w:p>
    <w:p w14:paraId="066593B4" w14:textId="01E024A8" w:rsidR="009F76D4" w:rsidRPr="009F76D4" w:rsidRDefault="009F76D4" w:rsidP="009F76D4">
      <w:pPr>
        <w:pBdr>
          <w:top w:val="single" w:sz="4" w:space="1" w:color="auto"/>
          <w:left w:val="single" w:sz="4" w:space="4" w:color="auto"/>
          <w:bottom w:val="single" w:sz="4" w:space="1" w:color="auto"/>
          <w:right w:val="single" w:sz="4" w:space="4" w:color="auto"/>
        </w:pBdr>
        <w:shd w:val="clear" w:color="auto" w:fill="D9D9D9" w:themeFill="background1" w:themeFillShade="D9"/>
        <w:spacing w:after="20"/>
        <w:rPr>
          <w:lang w:bidi="en-US"/>
        </w:rPr>
      </w:pPr>
      <w:r w:rsidRPr="005101ED">
        <w:rPr>
          <w:rFonts w:asciiTheme="minorBidi" w:hAnsiTheme="minorBidi"/>
          <w:b/>
          <w:i/>
          <w:szCs w:val="24"/>
        </w:rPr>
        <w:t>Standardize When Possible (CUSP Science of Safety)</w:t>
      </w:r>
    </w:p>
    <w:tbl>
      <w:tblPr>
        <w:tblStyle w:val="TableGrid"/>
        <w:tblW w:w="9558" w:type="dxa"/>
        <w:tblLook w:val="04A0" w:firstRow="1" w:lastRow="0" w:firstColumn="1" w:lastColumn="0" w:noHBand="0" w:noVBand="1"/>
        <w:tblDescription w:val="Key Perinatal Safety Elements"/>
      </w:tblPr>
      <w:tblGrid>
        <w:gridCol w:w="3618"/>
        <w:gridCol w:w="5940"/>
      </w:tblGrid>
      <w:tr w:rsidR="00BD387E" w:rsidRPr="005101ED" w14:paraId="59814530" w14:textId="77777777" w:rsidTr="009F76D4">
        <w:trPr>
          <w:cantSplit/>
          <w:tblHeader/>
        </w:trPr>
        <w:tc>
          <w:tcPr>
            <w:tcW w:w="3618" w:type="dxa"/>
          </w:tcPr>
          <w:p w14:paraId="7CBA375B" w14:textId="77777777" w:rsidR="00BD387E" w:rsidRPr="005101ED" w:rsidRDefault="00BD387E" w:rsidP="00BE256C">
            <w:pPr>
              <w:rPr>
                <w:rFonts w:asciiTheme="minorBidi" w:hAnsiTheme="minorBidi" w:cstheme="minorBidi"/>
                <w:b/>
                <w:szCs w:val="24"/>
              </w:rPr>
            </w:pPr>
            <w:r w:rsidRPr="005101ED">
              <w:rPr>
                <w:rFonts w:asciiTheme="minorBidi" w:hAnsiTheme="minorBidi" w:cstheme="minorBidi"/>
                <w:b/>
                <w:szCs w:val="24"/>
              </w:rPr>
              <w:t>Key Perinatal Safety Elements</w:t>
            </w:r>
          </w:p>
        </w:tc>
        <w:tc>
          <w:tcPr>
            <w:tcW w:w="5940" w:type="dxa"/>
          </w:tcPr>
          <w:p w14:paraId="0EEA9C77" w14:textId="77777777" w:rsidR="00BD387E" w:rsidRPr="005101ED" w:rsidRDefault="00BD387E" w:rsidP="00BE256C">
            <w:pPr>
              <w:rPr>
                <w:rFonts w:asciiTheme="minorBidi" w:hAnsiTheme="minorBidi" w:cstheme="minorBidi"/>
                <w:b/>
                <w:szCs w:val="24"/>
              </w:rPr>
            </w:pPr>
            <w:r w:rsidRPr="005101ED">
              <w:rPr>
                <w:rFonts w:asciiTheme="minorBidi" w:hAnsiTheme="minorBidi" w:cstheme="minorBidi"/>
                <w:b/>
                <w:szCs w:val="24"/>
              </w:rPr>
              <w:t>Examples</w:t>
            </w:r>
          </w:p>
        </w:tc>
      </w:tr>
      <w:tr w:rsidR="00BD387E" w:rsidRPr="005101ED" w14:paraId="69C5F656" w14:textId="77777777" w:rsidTr="009F76D4">
        <w:trPr>
          <w:cantSplit/>
        </w:trPr>
        <w:tc>
          <w:tcPr>
            <w:tcW w:w="3618" w:type="dxa"/>
          </w:tcPr>
          <w:p w14:paraId="4F4838F9" w14:textId="77777777" w:rsidR="00BD387E" w:rsidRPr="005101ED" w:rsidRDefault="00BD387E" w:rsidP="00467187">
            <w:pPr>
              <w:rPr>
                <w:szCs w:val="24"/>
              </w:rPr>
            </w:pPr>
            <w:r w:rsidRPr="005101ED">
              <w:rPr>
                <w:szCs w:val="24"/>
              </w:rPr>
              <w:t xml:space="preserve">Standard criteria </w:t>
            </w:r>
            <w:r w:rsidR="00467187">
              <w:rPr>
                <w:szCs w:val="24"/>
              </w:rPr>
              <w:t>established</w:t>
            </w:r>
            <w:r w:rsidRPr="005101ED">
              <w:rPr>
                <w:szCs w:val="24"/>
              </w:rPr>
              <w:t xml:space="preserve"> for magnesium sulfate use.</w:t>
            </w:r>
          </w:p>
        </w:tc>
        <w:tc>
          <w:tcPr>
            <w:tcW w:w="5940" w:type="dxa"/>
          </w:tcPr>
          <w:p w14:paraId="20BE8FEF" w14:textId="77777777" w:rsidR="00BD387E" w:rsidRPr="005101ED" w:rsidRDefault="00BD387E" w:rsidP="00815F50">
            <w:pPr>
              <w:pStyle w:val="TableBullet1"/>
            </w:pPr>
            <w:r w:rsidRPr="005101ED">
              <w:t>Criteria for use of magnesium sulfate are established.</w:t>
            </w:r>
          </w:p>
          <w:p w14:paraId="49A497BE" w14:textId="7CB60917" w:rsidR="00BD387E" w:rsidRPr="005101ED" w:rsidRDefault="00BD387E" w:rsidP="00815F50">
            <w:pPr>
              <w:pStyle w:val="TableBullet2"/>
            </w:pPr>
            <w:r w:rsidRPr="005101ED">
              <w:t>Medical indications for use vary. Several professional organizations, guidelines, and evidence reviews offer examples of maternal and fetal conditions that may be indications for use of magnesium sulfate.</w:t>
            </w:r>
            <w:r w:rsidR="00244854">
              <w:rPr>
                <w:vertAlign w:val="superscript"/>
              </w:rPr>
              <w:t>1-</w:t>
            </w:r>
            <w:r w:rsidRPr="005101ED">
              <w:rPr>
                <w:vertAlign w:val="superscript"/>
              </w:rPr>
              <w:t>7</w:t>
            </w:r>
          </w:p>
          <w:p w14:paraId="4A5E3EA5" w14:textId="693D45FB" w:rsidR="00BD387E" w:rsidRPr="005101ED" w:rsidRDefault="00BD387E" w:rsidP="00B935CD">
            <w:pPr>
              <w:pStyle w:val="TableBullet2"/>
            </w:pPr>
            <w:r w:rsidRPr="005101ED">
              <w:t>Absence of contraindications for magnesium sulfate are verified and documented. Contraindications on the manufacturer’s drug label include</w:t>
            </w:r>
            <w:r w:rsidR="00E7687F" w:rsidRPr="005101ED">
              <w:rPr>
                <w:vertAlign w:val="superscript"/>
              </w:rPr>
              <w:t>8</w:t>
            </w:r>
            <w:r w:rsidR="00516668">
              <w:rPr>
                <w:rFonts w:cs="Arial"/>
              </w:rPr>
              <w:t>—</w:t>
            </w:r>
          </w:p>
          <w:p w14:paraId="1C962BFE" w14:textId="77777777" w:rsidR="00BD387E" w:rsidRPr="005101ED" w:rsidRDefault="00BD387E" w:rsidP="00815F50">
            <w:pPr>
              <w:pStyle w:val="TableBullet3"/>
            </w:pPr>
            <w:r w:rsidRPr="005101ED">
              <w:t>Patients with heart block</w:t>
            </w:r>
          </w:p>
          <w:p w14:paraId="48225FE7" w14:textId="773DD639" w:rsidR="00BD387E" w:rsidRPr="005101ED" w:rsidRDefault="00BD387E" w:rsidP="00815F50">
            <w:pPr>
              <w:pStyle w:val="TableBullet3"/>
            </w:pPr>
            <w:r w:rsidRPr="005101ED">
              <w:t>Patients with myocardial damage</w:t>
            </w:r>
          </w:p>
        </w:tc>
      </w:tr>
    </w:tbl>
    <w:p w14:paraId="6A881DC7" w14:textId="5B31C3E4" w:rsidR="00757412" w:rsidRDefault="00757412" w:rsidP="00757412">
      <w:pPr>
        <w:jc w:val="right"/>
      </w:pPr>
    </w:p>
    <w:p w14:paraId="1F34E902" w14:textId="4BDBA9C6" w:rsidR="009F76D4" w:rsidRDefault="009F76D4" w:rsidP="009F76D4">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after="20"/>
      </w:pPr>
      <w:r w:rsidRPr="005101ED">
        <w:rPr>
          <w:rFonts w:asciiTheme="minorBidi" w:hAnsiTheme="minorBidi"/>
          <w:b/>
          <w:i/>
          <w:szCs w:val="24"/>
        </w:rPr>
        <w:lastRenderedPageBreak/>
        <w:t>Standardize When Possible (CUSP Science of Safety) (cont</w:t>
      </w:r>
      <w:r>
        <w:rPr>
          <w:rFonts w:asciiTheme="minorBidi" w:hAnsiTheme="minorBidi"/>
          <w:b/>
          <w:i/>
          <w:szCs w:val="24"/>
        </w:rPr>
        <w:t>inue</w:t>
      </w:r>
      <w:r w:rsidRPr="005101ED">
        <w:rPr>
          <w:rFonts w:asciiTheme="minorBidi" w:hAnsiTheme="minorBidi"/>
          <w:b/>
          <w:i/>
          <w:szCs w:val="24"/>
        </w:rPr>
        <w:t>d)</w:t>
      </w:r>
    </w:p>
    <w:tbl>
      <w:tblPr>
        <w:tblStyle w:val="TableGrid"/>
        <w:tblW w:w="9558" w:type="dxa"/>
        <w:tblLook w:val="04A0" w:firstRow="1" w:lastRow="0" w:firstColumn="1" w:lastColumn="0" w:noHBand="0" w:noVBand="1"/>
        <w:tblDescription w:val="Key Perinatal Safety Elements"/>
      </w:tblPr>
      <w:tblGrid>
        <w:gridCol w:w="3618"/>
        <w:gridCol w:w="5940"/>
      </w:tblGrid>
      <w:tr w:rsidR="00757412" w:rsidRPr="005101ED" w14:paraId="605A5460" w14:textId="77777777" w:rsidTr="009F76D4">
        <w:trPr>
          <w:cantSplit/>
          <w:tblHeader/>
        </w:trPr>
        <w:tc>
          <w:tcPr>
            <w:tcW w:w="3618" w:type="dxa"/>
          </w:tcPr>
          <w:p w14:paraId="05087251" w14:textId="77777777" w:rsidR="00757412" w:rsidRPr="005101ED" w:rsidRDefault="00757412" w:rsidP="009F76D4">
            <w:pPr>
              <w:keepNext/>
              <w:keepLines/>
              <w:rPr>
                <w:rFonts w:asciiTheme="minorBidi" w:hAnsiTheme="minorBidi" w:cstheme="minorBidi"/>
                <w:b/>
                <w:szCs w:val="24"/>
              </w:rPr>
            </w:pPr>
            <w:r w:rsidRPr="005101ED">
              <w:rPr>
                <w:rFonts w:asciiTheme="minorBidi" w:hAnsiTheme="minorBidi" w:cstheme="minorBidi"/>
                <w:b/>
                <w:szCs w:val="24"/>
              </w:rPr>
              <w:t>Key Perinatal Safety Elements</w:t>
            </w:r>
          </w:p>
        </w:tc>
        <w:tc>
          <w:tcPr>
            <w:tcW w:w="5940" w:type="dxa"/>
          </w:tcPr>
          <w:p w14:paraId="30163E21" w14:textId="77777777" w:rsidR="00757412" w:rsidRPr="005101ED" w:rsidRDefault="00757412" w:rsidP="009F76D4">
            <w:pPr>
              <w:keepNext/>
              <w:keepLines/>
              <w:rPr>
                <w:rFonts w:asciiTheme="minorBidi" w:hAnsiTheme="minorBidi" w:cstheme="minorBidi"/>
                <w:b/>
                <w:szCs w:val="24"/>
              </w:rPr>
            </w:pPr>
            <w:r w:rsidRPr="005101ED">
              <w:rPr>
                <w:rFonts w:asciiTheme="minorBidi" w:hAnsiTheme="minorBidi" w:cstheme="minorBidi"/>
                <w:b/>
                <w:szCs w:val="24"/>
              </w:rPr>
              <w:t>Examples</w:t>
            </w:r>
          </w:p>
        </w:tc>
      </w:tr>
      <w:tr w:rsidR="00757412" w:rsidRPr="005101ED" w14:paraId="74BE6017" w14:textId="77777777" w:rsidTr="009F76D4">
        <w:trPr>
          <w:cantSplit/>
        </w:trPr>
        <w:tc>
          <w:tcPr>
            <w:tcW w:w="3618" w:type="dxa"/>
          </w:tcPr>
          <w:p w14:paraId="0463BF4B" w14:textId="77777777" w:rsidR="00757412" w:rsidRDefault="006C75EE" w:rsidP="00BE256C">
            <w:pPr>
              <w:rPr>
                <w:szCs w:val="24"/>
              </w:rPr>
            </w:pPr>
            <w:r w:rsidRPr="005101ED">
              <w:rPr>
                <w:szCs w:val="24"/>
              </w:rPr>
              <w:t>Standard criteria established, met, and documented for magnesium sulfate use.</w:t>
            </w:r>
          </w:p>
          <w:p w14:paraId="01AE609D" w14:textId="77777777" w:rsidR="006C75EE" w:rsidRPr="005101ED" w:rsidRDefault="006C75EE" w:rsidP="00BE256C">
            <w:pPr>
              <w:rPr>
                <w:szCs w:val="24"/>
              </w:rPr>
            </w:pPr>
            <w:r>
              <w:rPr>
                <w:szCs w:val="24"/>
              </w:rPr>
              <w:t>(continued)</w:t>
            </w:r>
          </w:p>
        </w:tc>
        <w:tc>
          <w:tcPr>
            <w:tcW w:w="5940" w:type="dxa"/>
          </w:tcPr>
          <w:p w14:paraId="19BD1BA3" w14:textId="77777777" w:rsidR="005101ED" w:rsidRPr="005101ED" w:rsidRDefault="005101ED" w:rsidP="00B94ED3">
            <w:pPr>
              <w:pStyle w:val="TableBullet2"/>
            </w:pPr>
            <w:r w:rsidRPr="005101ED">
              <w:t>In addition, the FDA and professional organizations offer warnings against use of magnesium sulfate longer than 5 to 7 days because of risk of fetal and neonatal bone demineralization and fractures.</w:t>
            </w:r>
            <w:r w:rsidRPr="005101ED">
              <w:rPr>
                <w:vertAlign w:val="superscript"/>
              </w:rPr>
              <w:t>3,9</w:t>
            </w:r>
          </w:p>
          <w:p w14:paraId="06DA0354" w14:textId="77777777" w:rsidR="00757412" w:rsidRPr="005101ED" w:rsidRDefault="00757412" w:rsidP="00815F50">
            <w:pPr>
              <w:pStyle w:val="TableBullet1"/>
            </w:pPr>
            <w:r w:rsidRPr="005101ED">
              <w:t>Staff with requisite training and supplies available to respond to magnesium-related adverse events, for example respiratory depression.</w:t>
            </w:r>
            <w:r w:rsidRPr="005101ED">
              <w:rPr>
                <w:vertAlign w:val="superscript"/>
              </w:rPr>
              <w:t>10,11</w:t>
            </w:r>
          </w:p>
        </w:tc>
      </w:tr>
      <w:tr w:rsidR="00BD387E" w:rsidRPr="005101ED" w14:paraId="048A6B6C" w14:textId="77777777" w:rsidTr="009F76D4">
        <w:trPr>
          <w:cantSplit/>
        </w:trPr>
        <w:tc>
          <w:tcPr>
            <w:tcW w:w="3618" w:type="dxa"/>
          </w:tcPr>
          <w:p w14:paraId="4679437F" w14:textId="77777777" w:rsidR="00BD387E" w:rsidRPr="005101ED" w:rsidRDefault="00BD387E" w:rsidP="00BE256C">
            <w:pPr>
              <w:rPr>
                <w:szCs w:val="24"/>
                <w:vertAlign w:val="superscript"/>
              </w:rPr>
            </w:pPr>
            <w:r w:rsidRPr="005101ED">
              <w:rPr>
                <w:szCs w:val="24"/>
              </w:rPr>
              <w:t>Use uniform and standard drug packaging, preparation, and labeling.</w:t>
            </w:r>
            <w:r w:rsidRPr="005101ED">
              <w:rPr>
                <w:szCs w:val="24"/>
                <w:vertAlign w:val="superscript"/>
              </w:rPr>
              <w:t>12</w:t>
            </w:r>
          </w:p>
        </w:tc>
        <w:tc>
          <w:tcPr>
            <w:tcW w:w="5940" w:type="dxa"/>
          </w:tcPr>
          <w:p w14:paraId="351F43C4" w14:textId="77777777" w:rsidR="00BD387E" w:rsidRPr="005101ED" w:rsidRDefault="00BD387E" w:rsidP="00815F50">
            <w:pPr>
              <w:pStyle w:val="TableBullet1"/>
            </w:pPr>
            <w:r w:rsidRPr="005101ED">
              <w:t>Unit-established process for using manufacturer’s premixed bags or pharmacy-prepared bags of magnesium sulfate for both loading dose (bolus) and maintenance infusion. Medication errors are more common in unit-prepared bags</w:t>
            </w:r>
            <w:r w:rsidR="006C75EE">
              <w:t>,</w:t>
            </w:r>
            <w:r w:rsidRPr="005101ED">
              <w:t xml:space="preserve"> so this practice should be avoided.</w:t>
            </w:r>
            <w:r w:rsidRPr="005101ED">
              <w:rPr>
                <w:vertAlign w:val="superscript"/>
              </w:rPr>
              <w:t>12</w:t>
            </w:r>
          </w:p>
          <w:p w14:paraId="0B778DDF" w14:textId="77777777" w:rsidR="00BD387E" w:rsidRPr="005101ED" w:rsidRDefault="00BD387E" w:rsidP="00815F50">
            <w:pPr>
              <w:pStyle w:val="TableBullet1"/>
            </w:pPr>
            <w:r w:rsidRPr="005101ED">
              <w:t>Pharmacy and nursing staff should use a consistent approach to labeling all magnesium sulfate bags and tubing used to administer the medication.</w:t>
            </w:r>
            <w:r w:rsidRPr="005101ED">
              <w:rPr>
                <w:vertAlign w:val="superscript"/>
              </w:rPr>
              <w:t>11</w:t>
            </w:r>
          </w:p>
        </w:tc>
      </w:tr>
      <w:tr w:rsidR="00BD387E" w:rsidRPr="005101ED" w14:paraId="01247AEA" w14:textId="77777777" w:rsidTr="009F76D4">
        <w:trPr>
          <w:cantSplit/>
        </w:trPr>
        <w:tc>
          <w:tcPr>
            <w:tcW w:w="3618" w:type="dxa"/>
          </w:tcPr>
          <w:p w14:paraId="4D47C5AE" w14:textId="77777777" w:rsidR="00BD387E" w:rsidRPr="005101ED" w:rsidRDefault="00BD387E" w:rsidP="005101ED">
            <w:pPr>
              <w:rPr>
                <w:szCs w:val="24"/>
              </w:rPr>
            </w:pPr>
            <w:r w:rsidRPr="005101ED">
              <w:rPr>
                <w:szCs w:val="24"/>
              </w:rPr>
              <w:t>Standardize magnesium sulfate dosing using a calibrated infusion pump with free-flow protection.</w:t>
            </w:r>
          </w:p>
        </w:tc>
        <w:tc>
          <w:tcPr>
            <w:tcW w:w="5940" w:type="dxa"/>
          </w:tcPr>
          <w:p w14:paraId="55778DEF" w14:textId="77777777" w:rsidR="00BD387E" w:rsidRPr="005101ED" w:rsidRDefault="00BD387E" w:rsidP="00815F50">
            <w:pPr>
              <w:pStyle w:val="TableBullet1"/>
            </w:pPr>
            <w:r w:rsidRPr="005101ED">
              <w:t>Limit the number of different kinds of infusion pumps to maximize staff familiarity with infusion equipment.</w:t>
            </w:r>
            <w:r w:rsidRPr="005101ED">
              <w:rPr>
                <w:vertAlign w:val="superscript"/>
              </w:rPr>
              <w:t>10</w:t>
            </w:r>
          </w:p>
          <w:p w14:paraId="668CEEFA" w14:textId="77777777" w:rsidR="00BD387E" w:rsidRPr="005101ED" w:rsidRDefault="00BD387E" w:rsidP="00815F50">
            <w:pPr>
              <w:pStyle w:val="TableBullet1"/>
            </w:pPr>
            <w:r w:rsidRPr="005101ED">
              <w:t>Establish the unit’s standard approach for administering a loading dose (bolus). Use of the maintenance infusion to administer a bolus manually is a high-risk practice that should be avoided. Safe dosing options include</w:t>
            </w:r>
            <w:r w:rsidR="006C75EE">
              <w:rPr>
                <w:rFonts w:cs="Arial"/>
              </w:rPr>
              <w:t>—</w:t>
            </w:r>
          </w:p>
          <w:p w14:paraId="47B8CEE7" w14:textId="77777777" w:rsidR="00BD387E" w:rsidRPr="005101ED" w:rsidRDefault="00BD387E" w:rsidP="00815F50">
            <w:pPr>
              <w:pStyle w:val="TableBullet2"/>
            </w:pPr>
            <w:r w:rsidRPr="005101ED">
              <w:t>Administering the bolus from the maintenance infusion using a “smart” infusion pump that has the following safety features:</w:t>
            </w:r>
            <w:r w:rsidRPr="005101ED">
              <w:rPr>
                <w:vertAlign w:val="superscript"/>
              </w:rPr>
              <w:t>10</w:t>
            </w:r>
          </w:p>
          <w:p w14:paraId="17E644D8" w14:textId="77777777" w:rsidR="00BD387E" w:rsidRPr="005101ED" w:rsidRDefault="00BD387E" w:rsidP="00815F50">
            <w:pPr>
              <w:pStyle w:val="TableBullet3"/>
            </w:pPr>
            <w:r w:rsidRPr="005101ED">
              <w:t>Pump includes a bolus dose feature that allows programming to automatically switch to the continuous infusion rate at the end of the bolus AND staff are trained to use this feature.</w:t>
            </w:r>
          </w:p>
          <w:p w14:paraId="77EBCC89" w14:textId="77777777" w:rsidR="00BD387E" w:rsidRPr="005101ED" w:rsidRDefault="00BD387E" w:rsidP="00815F50">
            <w:pPr>
              <w:pStyle w:val="TableBullet3"/>
            </w:pPr>
            <w:r w:rsidRPr="005101ED">
              <w:t xml:space="preserve">Separate dose limits can be set for bolus doses and maintenance doses. </w:t>
            </w:r>
          </w:p>
          <w:p w14:paraId="2C129B35" w14:textId="77777777" w:rsidR="00BD387E" w:rsidRPr="005101ED" w:rsidRDefault="00BD387E" w:rsidP="00815F50">
            <w:pPr>
              <w:pStyle w:val="TableBullet3"/>
            </w:pPr>
            <w:r w:rsidRPr="005101ED">
              <w:t>Dose limit alerts are operational at all times.</w:t>
            </w:r>
          </w:p>
          <w:p w14:paraId="60D90868" w14:textId="77777777" w:rsidR="00BD387E" w:rsidRPr="005101ED" w:rsidRDefault="00BD387E" w:rsidP="00815F50">
            <w:pPr>
              <w:pStyle w:val="TableBullet3"/>
            </w:pPr>
            <w:r w:rsidRPr="005101ED">
              <w:t>Dose limit alerts are configured as a “hard stop,” requiring pump to be reprogrammed if dose exceeds limits.</w:t>
            </w:r>
          </w:p>
        </w:tc>
      </w:tr>
    </w:tbl>
    <w:p w14:paraId="6F8C2385" w14:textId="7FC84BCB" w:rsidR="00757412" w:rsidRDefault="00757412" w:rsidP="00757412">
      <w:pPr>
        <w:jc w:val="right"/>
      </w:pPr>
    </w:p>
    <w:p w14:paraId="42109811" w14:textId="11A69E9E" w:rsidR="009F76D4" w:rsidRDefault="009F76D4" w:rsidP="009F76D4">
      <w:pPr>
        <w:pBdr>
          <w:top w:val="single" w:sz="4" w:space="1" w:color="auto"/>
          <w:left w:val="single" w:sz="4" w:space="4" w:color="auto"/>
          <w:bottom w:val="single" w:sz="4" w:space="1" w:color="auto"/>
          <w:right w:val="single" w:sz="4" w:space="4" w:color="auto"/>
        </w:pBdr>
        <w:shd w:val="clear" w:color="auto" w:fill="D9D9D9" w:themeFill="background1" w:themeFillShade="D9"/>
        <w:spacing w:after="20"/>
      </w:pPr>
      <w:r w:rsidRPr="005101ED">
        <w:rPr>
          <w:rFonts w:asciiTheme="minorBidi" w:hAnsiTheme="minorBidi"/>
          <w:b/>
          <w:i/>
          <w:szCs w:val="24"/>
        </w:rPr>
        <w:lastRenderedPageBreak/>
        <w:t>Standardize When Possible (CUSP Science of Safety) (cont</w:t>
      </w:r>
      <w:r>
        <w:rPr>
          <w:rFonts w:asciiTheme="minorBidi" w:hAnsiTheme="minorBidi"/>
          <w:b/>
          <w:i/>
          <w:szCs w:val="24"/>
        </w:rPr>
        <w:t>inue</w:t>
      </w:r>
      <w:r w:rsidRPr="005101ED">
        <w:rPr>
          <w:rFonts w:asciiTheme="minorBidi" w:hAnsiTheme="minorBidi"/>
          <w:b/>
          <w:i/>
          <w:szCs w:val="24"/>
        </w:rPr>
        <w:t>d)</w:t>
      </w:r>
    </w:p>
    <w:tbl>
      <w:tblPr>
        <w:tblStyle w:val="TableGrid"/>
        <w:tblW w:w="9558" w:type="dxa"/>
        <w:tblLook w:val="04A0" w:firstRow="1" w:lastRow="0" w:firstColumn="1" w:lastColumn="0" w:noHBand="0" w:noVBand="1"/>
        <w:tblDescription w:val="Key Perinatal Safety Elements"/>
      </w:tblPr>
      <w:tblGrid>
        <w:gridCol w:w="3618"/>
        <w:gridCol w:w="5940"/>
      </w:tblGrid>
      <w:tr w:rsidR="00757412" w:rsidRPr="005101ED" w14:paraId="668AD882" w14:textId="77777777" w:rsidTr="009F76D4">
        <w:trPr>
          <w:cantSplit/>
          <w:tblHeader/>
        </w:trPr>
        <w:tc>
          <w:tcPr>
            <w:tcW w:w="3618" w:type="dxa"/>
          </w:tcPr>
          <w:p w14:paraId="0D47BB77" w14:textId="77777777" w:rsidR="00757412" w:rsidRPr="005101ED" w:rsidRDefault="00757412" w:rsidP="00BE256C">
            <w:pPr>
              <w:rPr>
                <w:rFonts w:asciiTheme="minorBidi" w:hAnsiTheme="minorBidi" w:cstheme="minorBidi"/>
                <w:b/>
                <w:szCs w:val="24"/>
              </w:rPr>
            </w:pPr>
            <w:r w:rsidRPr="005101ED">
              <w:rPr>
                <w:rFonts w:asciiTheme="minorBidi" w:hAnsiTheme="minorBidi" w:cstheme="minorBidi"/>
                <w:b/>
                <w:szCs w:val="24"/>
              </w:rPr>
              <w:t>Key Perinatal Safety Elements</w:t>
            </w:r>
          </w:p>
        </w:tc>
        <w:tc>
          <w:tcPr>
            <w:tcW w:w="5940" w:type="dxa"/>
          </w:tcPr>
          <w:p w14:paraId="13EF8340" w14:textId="77777777" w:rsidR="00757412" w:rsidRPr="005101ED" w:rsidRDefault="00757412" w:rsidP="00BE256C">
            <w:pPr>
              <w:rPr>
                <w:rFonts w:asciiTheme="minorBidi" w:hAnsiTheme="minorBidi" w:cstheme="minorBidi"/>
                <w:b/>
                <w:szCs w:val="24"/>
              </w:rPr>
            </w:pPr>
            <w:r w:rsidRPr="005101ED">
              <w:rPr>
                <w:rFonts w:asciiTheme="minorBidi" w:hAnsiTheme="minorBidi" w:cstheme="minorBidi"/>
                <w:b/>
                <w:szCs w:val="24"/>
              </w:rPr>
              <w:t>Examples</w:t>
            </w:r>
          </w:p>
        </w:tc>
      </w:tr>
      <w:tr w:rsidR="00757412" w:rsidRPr="005101ED" w14:paraId="46030110" w14:textId="77777777" w:rsidTr="009F76D4">
        <w:trPr>
          <w:cantSplit/>
        </w:trPr>
        <w:tc>
          <w:tcPr>
            <w:tcW w:w="3618" w:type="dxa"/>
          </w:tcPr>
          <w:p w14:paraId="77A0DE25" w14:textId="77777777" w:rsidR="00757412" w:rsidRPr="005101ED" w:rsidRDefault="00CC54CE" w:rsidP="00BE256C">
            <w:pPr>
              <w:rPr>
                <w:rFonts w:asciiTheme="minorBidi" w:hAnsiTheme="minorBidi"/>
                <w:szCs w:val="24"/>
              </w:rPr>
            </w:pPr>
            <w:r w:rsidRPr="005101ED">
              <w:rPr>
                <w:szCs w:val="24"/>
              </w:rPr>
              <w:t>Standardize magnesium sulfate dosing using a calibrated infusion pump with free-flow protection</w:t>
            </w:r>
            <w:r w:rsidR="006C75EE">
              <w:rPr>
                <w:szCs w:val="24"/>
              </w:rPr>
              <w:t>.</w:t>
            </w:r>
            <w:r>
              <w:rPr>
                <w:szCs w:val="24"/>
              </w:rPr>
              <w:t xml:space="preserve"> (continued)</w:t>
            </w:r>
          </w:p>
        </w:tc>
        <w:tc>
          <w:tcPr>
            <w:tcW w:w="5940" w:type="dxa"/>
          </w:tcPr>
          <w:p w14:paraId="7177395C" w14:textId="77777777" w:rsidR="005101ED" w:rsidRPr="005101ED" w:rsidRDefault="005101ED" w:rsidP="00751190">
            <w:pPr>
              <w:pStyle w:val="TableBullet2"/>
            </w:pPr>
            <w:r w:rsidRPr="005101ED">
              <w:t>If a smart infusion pump with these safety features is not available, then loading dose should be administered via a separate bag. Premixed or pharmacy-prepared bags (e.g., 4</w:t>
            </w:r>
            <w:r w:rsidR="00446D81">
              <w:t xml:space="preserve"> </w:t>
            </w:r>
            <w:r w:rsidRPr="005101ED">
              <w:t>g/100</w:t>
            </w:r>
            <w:r w:rsidR="00446D81">
              <w:t xml:space="preserve"> </w:t>
            </w:r>
            <w:r w:rsidRPr="005101ED">
              <w:t>ml or 8</w:t>
            </w:r>
            <w:r w:rsidR="00446D81">
              <w:t xml:space="preserve"> </w:t>
            </w:r>
            <w:r w:rsidRPr="005101ED">
              <w:t xml:space="preserve">g/100 ml) should be used unitwide to reduce variability and risk of error. </w:t>
            </w:r>
          </w:p>
          <w:p w14:paraId="05E06B72" w14:textId="77777777" w:rsidR="005101ED" w:rsidRPr="005101ED" w:rsidRDefault="005101ED" w:rsidP="00B935CD">
            <w:pPr>
              <w:pStyle w:val="TableBullet1"/>
            </w:pPr>
            <w:r w:rsidRPr="005101ED">
              <w:t>The same standard preparation either premixed or pharmacy-prepared bags (e.g., 20</w:t>
            </w:r>
            <w:r w:rsidR="00446D81">
              <w:t xml:space="preserve"> </w:t>
            </w:r>
            <w:r w:rsidRPr="005101ED">
              <w:t>g/500</w:t>
            </w:r>
            <w:r w:rsidR="00446D81">
              <w:t>-</w:t>
            </w:r>
            <w:r w:rsidRPr="005101ED">
              <w:t>ml bag) unitwide for maintenance infusion.</w:t>
            </w:r>
            <w:r w:rsidRPr="005101ED">
              <w:rPr>
                <w:vertAlign w:val="superscript"/>
              </w:rPr>
              <w:t>13</w:t>
            </w:r>
          </w:p>
          <w:p w14:paraId="0D86B2FC" w14:textId="77777777" w:rsidR="005101ED" w:rsidRDefault="005101ED" w:rsidP="00B935CD">
            <w:pPr>
              <w:pStyle w:val="TableBullet2"/>
            </w:pPr>
            <w:r w:rsidRPr="005101ED">
              <w:t>Use of a 500</w:t>
            </w:r>
            <w:r w:rsidR="00446D81">
              <w:t>-</w:t>
            </w:r>
            <w:r w:rsidRPr="005101ED">
              <w:t>ml bag can help distinguish the bag from liter bags containing fluids or other medications.</w:t>
            </w:r>
            <w:r w:rsidRPr="005101ED">
              <w:rPr>
                <w:vertAlign w:val="superscript"/>
              </w:rPr>
              <w:t>11</w:t>
            </w:r>
          </w:p>
          <w:p w14:paraId="038D145D" w14:textId="77777777" w:rsidR="00757412" w:rsidRPr="005101ED" w:rsidRDefault="00757412" w:rsidP="00B935CD">
            <w:pPr>
              <w:pStyle w:val="TableBullet2"/>
            </w:pPr>
            <w:r w:rsidRPr="005101ED">
              <w:t>The smaller volume also reduces the amount of magnesium that can be delivered in the event of an accidental rapid infusion (e.g., pump programming error or failure).</w:t>
            </w:r>
          </w:p>
          <w:p w14:paraId="5652EAB5" w14:textId="77777777" w:rsidR="00757412" w:rsidRPr="005101ED" w:rsidRDefault="00757412" w:rsidP="00446D81">
            <w:pPr>
              <w:pStyle w:val="TableBullet1"/>
              <w:rPr>
                <w:rFonts w:asciiTheme="minorBidi" w:hAnsiTheme="minorBidi"/>
              </w:rPr>
            </w:pPr>
            <w:r w:rsidRPr="005101ED">
              <w:t xml:space="preserve">Complete removal of the line from the </w:t>
            </w:r>
            <w:r w:rsidR="00446D81">
              <w:t>intravenous (</w:t>
            </w:r>
            <w:r w:rsidRPr="005101ED">
              <w:t>IV</w:t>
            </w:r>
            <w:r w:rsidR="00446D81">
              <w:t>)</w:t>
            </w:r>
            <w:r w:rsidRPr="005101ED">
              <w:t xml:space="preserve"> port when magnesium sulfate therapy is discontinued to avoid accidental infusion.</w:t>
            </w:r>
            <w:r w:rsidRPr="005101ED">
              <w:rPr>
                <w:vertAlign w:val="superscript"/>
              </w:rPr>
              <w:t>10,11</w:t>
            </w:r>
          </w:p>
        </w:tc>
      </w:tr>
      <w:tr w:rsidR="00BD387E" w:rsidRPr="005101ED" w14:paraId="77D5C485" w14:textId="77777777" w:rsidTr="009F76D4">
        <w:trPr>
          <w:cantSplit/>
        </w:trPr>
        <w:tc>
          <w:tcPr>
            <w:tcW w:w="3618" w:type="dxa"/>
          </w:tcPr>
          <w:p w14:paraId="7C4C9E72" w14:textId="77777777" w:rsidR="00BD387E" w:rsidRPr="005101ED" w:rsidRDefault="00BD387E" w:rsidP="00BE256C">
            <w:pPr>
              <w:rPr>
                <w:rFonts w:asciiTheme="minorBidi" w:hAnsiTheme="minorBidi" w:cstheme="minorBidi"/>
                <w:szCs w:val="24"/>
              </w:rPr>
            </w:pPr>
            <w:r w:rsidRPr="005101ED">
              <w:rPr>
                <w:rFonts w:asciiTheme="minorBidi" w:hAnsiTheme="minorBidi" w:cstheme="minorBidi"/>
                <w:szCs w:val="24"/>
              </w:rPr>
              <w:t>Use uniform parameters for maternal and fetal monitoring and provider notification prior to initiation of magnesium sulfate and during infusion.</w:t>
            </w:r>
          </w:p>
        </w:tc>
        <w:tc>
          <w:tcPr>
            <w:tcW w:w="5940" w:type="dxa"/>
          </w:tcPr>
          <w:p w14:paraId="2267813D" w14:textId="77777777" w:rsidR="00BD387E" w:rsidRPr="005101ED" w:rsidRDefault="00BD387E" w:rsidP="00997245">
            <w:pPr>
              <w:spacing w:after="60"/>
              <w:rPr>
                <w:rFonts w:asciiTheme="minorBidi" w:hAnsiTheme="minorBidi" w:cstheme="minorBidi"/>
                <w:szCs w:val="24"/>
              </w:rPr>
            </w:pPr>
            <w:r w:rsidRPr="005101ED">
              <w:rPr>
                <w:rFonts w:asciiTheme="minorBidi" w:hAnsiTheme="minorBidi" w:cstheme="minorBidi"/>
                <w:szCs w:val="24"/>
              </w:rPr>
              <w:t xml:space="preserve">The use of uniform parameters for fetal and maternal monitoring and provider notification before and during magnesium sulfate use minimizes variability across providers and nursing staff in order to reduce the risk of error. </w:t>
            </w:r>
          </w:p>
        </w:tc>
      </w:tr>
      <w:tr w:rsidR="00BD387E" w:rsidRPr="005101ED" w14:paraId="640A4582" w14:textId="77777777" w:rsidTr="009F76D4">
        <w:trPr>
          <w:cantSplit/>
        </w:trPr>
        <w:tc>
          <w:tcPr>
            <w:tcW w:w="3618" w:type="dxa"/>
          </w:tcPr>
          <w:p w14:paraId="5EE10778" w14:textId="77777777" w:rsidR="00BD387E" w:rsidRPr="005101ED" w:rsidRDefault="00BD387E" w:rsidP="00BE256C">
            <w:pPr>
              <w:rPr>
                <w:rFonts w:asciiTheme="minorBidi" w:hAnsiTheme="minorBidi" w:cstheme="minorBidi"/>
                <w:szCs w:val="24"/>
              </w:rPr>
            </w:pPr>
            <w:r w:rsidRPr="005101ED">
              <w:rPr>
                <w:rFonts w:asciiTheme="minorBidi" w:hAnsiTheme="minorBidi" w:cstheme="minorBidi"/>
                <w:szCs w:val="24"/>
              </w:rPr>
              <w:t>Standardize laboratory reporting of serum magnesium levels.</w:t>
            </w:r>
          </w:p>
        </w:tc>
        <w:tc>
          <w:tcPr>
            <w:tcW w:w="5940" w:type="dxa"/>
          </w:tcPr>
          <w:p w14:paraId="79E868D2" w14:textId="77777777" w:rsidR="00BD387E" w:rsidRPr="005101ED" w:rsidRDefault="00BD387E" w:rsidP="00997245">
            <w:pPr>
              <w:spacing w:after="60"/>
              <w:rPr>
                <w:rFonts w:asciiTheme="minorBidi" w:hAnsiTheme="minorBidi" w:cstheme="minorBidi"/>
                <w:szCs w:val="24"/>
                <w:vertAlign w:val="superscript"/>
              </w:rPr>
            </w:pPr>
            <w:r w:rsidRPr="005101ED">
              <w:rPr>
                <w:rFonts w:asciiTheme="minorBidi" w:hAnsiTheme="minorBidi" w:cstheme="minorBidi"/>
                <w:szCs w:val="24"/>
              </w:rPr>
              <w:t>Hospital policy and process for uniform reporting of serum magnesium levels. Magnesium levels can be reported as milligrams per deciliter</w:t>
            </w:r>
            <w:r w:rsidR="00446D81">
              <w:rPr>
                <w:rFonts w:asciiTheme="minorBidi" w:hAnsiTheme="minorBidi" w:cstheme="minorBidi"/>
                <w:szCs w:val="24"/>
              </w:rPr>
              <w:t xml:space="preserve"> </w:t>
            </w:r>
            <w:r w:rsidRPr="005101ED">
              <w:rPr>
                <w:rFonts w:asciiTheme="minorBidi" w:hAnsiTheme="minorBidi" w:cstheme="minorBidi"/>
                <w:szCs w:val="24"/>
              </w:rPr>
              <w:t>(</w:t>
            </w:r>
            <w:r w:rsidR="00997245">
              <w:rPr>
                <w:rFonts w:asciiTheme="minorBidi" w:hAnsiTheme="minorBidi" w:cstheme="minorBidi"/>
                <w:szCs w:val="24"/>
              </w:rPr>
              <w:t>mg/</w:t>
            </w:r>
            <w:proofErr w:type="spellStart"/>
            <w:r w:rsidRPr="005101ED">
              <w:rPr>
                <w:rFonts w:asciiTheme="minorBidi" w:hAnsiTheme="minorBidi" w:cstheme="minorBidi"/>
                <w:szCs w:val="24"/>
              </w:rPr>
              <w:t>dL</w:t>
            </w:r>
            <w:proofErr w:type="spellEnd"/>
            <w:r w:rsidRPr="005101ED">
              <w:rPr>
                <w:rFonts w:asciiTheme="minorBidi" w:hAnsiTheme="minorBidi" w:cstheme="minorBidi"/>
                <w:szCs w:val="24"/>
              </w:rPr>
              <w:t xml:space="preserve">), </w:t>
            </w:r>
            <w:proofErr w:type="spellStart"/>
            <w:r w:rsidRPr="005101ED">
              <w:rPr>
                <w:rFonts w:asciiTheme="minorBidi" w:hAnsiTheme="minorBidi" w:cstheme="minorBidi"/>
                <w:szCs w:val="24"/>
              </w:rPr>
              <w:t>milliequivalents</w:t>
            </w:r>
            <w:proofErr w:type="spellEnd"/>
            <w:r w:rsidRPr="005101ED">
              <w:rPr>
                <w:rFonts w:asciiTheme="minorBidi" w:hAnsiTheme="minorBidi" w:cstheme="minorBidi"/>
                <w:szCs w:val="24"/>
              </w:rPr>
              <w:t xml:space="preserve"> per liter (</w:t>
            </w:r>
            <w:proofErr w:type="spellStart"/>
            <w:r w:rsidRPr="005101ED">
              <w:rPr>
                <w:rFonts w:asciiTheme="minorBidi" w:hAnsiTheme="minorBidi" w:cstheme="minorBidi"/>
                <w:szCs w:val="24"/>
              </w:rPr>
              <w:t>mEq</w:t>
            </w:r>
            <w:proofErr w:type="spellEnd"/>
            <w:r w:rsidRPr="005101ED">
              <w:rPr>
                <w:rFonts w:asciiTheme="minorBidi" w:hAnsiTheme="minorBidi" w:cstheme="minorBidi"/>
                <w:szCs w:val="24"/>
              </w:rPr>
              <w:t xml:space="preserve">/L) and </w:t>
            </w:r>
            <w:proofErr w:type="spellStart"/>
            <w:r w:rsidRPr="005101ED">
              <w:rPr>
                <w:rFonts w:asciiTheme="minorBidi" w:hAnsiTheme="minorBidi" w:cstheme="minorBidi"/>
                <w:szCs w:val="24"/>
              </w:rPr>
              <w:t>millimoles</w:t>
            </w:r>
            <w:proofErr w:type="spellEnd"/>
            <w:r w:rsidRPr="005101ED">
              <w:rPr>
                <w:rFonts w:asciiTheme="minorBidi" w:hAnsiTheme="minorBidi" w:cstheme="minorBidi"/>
                <w:szCs w:val="24"/>
              </w:rPr>
              <w:t xml:space="preserve"> per liter (</w:t>
            </w:r>
            <w:proofErr w:type="spellStart"/>
            <w:r w:rsidRPr="005101ED">
              <w:rPr>
                <w:rFonts w:asciiTheme="minorBidi" w:hAnsiTheme="minorBidi" w:cstheme="minorBidi"/>
                <w:szCs w:val="24"/>
              </w:rPr>
              <w:t>mmmol</w:t>
            </w:r>
            <w:proofErr w:type="spellEnd"/>
            <w:r w:rsidRPr="005101ED">
              <w:rPr>
                <w:rFonts w:asciiTheme="minorBidi" w:hAnsiTheme="minorBidi" w:cstheme="minorBidi"/>
                <w:szCs w:val="24"/>
              </w:rPr>
              <w:t>/L), and the same magnesium level would be reported using different numbers depending on the unit of measure. Bedside staff, providers, and lab personnel should agree on one unit for reporting and communicating magnesium levels to avoid miscommunication and delays in timely care.</w:t>
            </w:r>
            <w:r w:rsidRPr="005101ED">
              <w:rPr>
                <w:rFonts w:asciiTheme="minorBidi" w:hAnsiTheme="minorBidi" w:cstheme="minorBidi"/>
                <w:szCs w:val="24"/>
                <w:vertAlign w:val="superscript"/>
              </w:rPr>
              <w:t>10</w:t>
            </w:r>
          </w:p>
        </w:tc>
      </w:tr>
    </w:tbl>
    <w:p w14:paraId="79198AED" w14:textId="6A75A6EA" w:rsidR="00BD387E" w:rsidRDefault="00BD387E" w:rsidP="00BD387E">
      <w:pPr>
        <w:spacing w:after="0"/>
        <w:rPr>
          <w:sz w:val="12"/>
          <w:szCs w:val="12"/>
        </w:rPr>
      </w:pPr>
    </w:p>
    <w:p w14:paraId="3E9145F6" w14:textId="6635B7DF" w:rsidR="009F76D4" w:rsidRPr="001C207A" w:rsidRDefault="009F76D4" w:rsidP="009F76D4">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after="20"/>
        <w:rPr>
          <w:sz w:val="12"/>
          <w:szCs w:val="12"/>
        </w:rPr>
      </w:pPr>
      <w:r w:rsidRPr="005101ED">
        <w:rPr>
          <w:rFonts w:asciiTheme="minorBidi" w:hAnsiTheme="minorBidi"/>
          <w:b/>
          <w:i/>
          <w:szCs w:val="24"/>
        </w:rPr>
        <w:lastRenderedPageBreak/>
        <w:t>Create Independent Checks (CUSP Science of Safety)</w:t>
      </w:r>
    </w:p>
    <w:tbl>
      <w:tblPr>
        <w:tblStyle w:val="TableGrid"/>
        <w:tblW w:w="9558" w:type="dxa"/>
        <w:tblLayout w:type="fixed"/>
        <w:tblLook w:val="04A0" w:firstRow="1" w:lastRow="0" w:firstColumn="1" w:lastColumn="0" w:noHBand="0" w:noVBand="1"/>
        <w:tblDescription w:val="Key Perinatal Safety Elements"/>
      </w:tblPr>
      <w:tblGrid>
        <w:gridCol w:w="3618"/>
        <w:gridCol w:w="5940"/>
      </w:tblGrid>
      <w:tr w:rsidR="00BD387E" w:rsidRPr="005101ED" w14:paraId="7C83251D" w14:textId="77777777" w:rsidTr="009F76D4">
        <w:trPr>
          <w:cantSplit/>
          <w:tblHeader/>
        </w:trPr>
        <w:tc>
          <w:tcPr>
            <w:tcW w:w="3618" w:type="dxa"/>
          </w:tcPr>
          <w:p w14:paraId="4E1C656F" w14:textId="77777777" w:rsidR="00BD387E" w:rsidRPr="005101ED" w:rsidRDefault="00BD387E" w:rsidP="00BE256C">
            <w:pPr>
              <w:keepNext/>
              <w:rPr>
                <w:rFonts w:asciiTheme="minorBidi" w:hAnsiTheme="minorBidi" w:cstheme="minorBidi"/>
                <w:b/>
                <w:szCs w:val="24"/>
              </w:rPr>
            </w:pPr>
            <w:r w:rsidRPr="005101ED">
              <w:rPr>
                <w:rFonts w:asciiTheme="minorBidi" w:hAnsiTheme="minorBidi" w:cstheme="minorBidi"/>
                <w:b/>
                <w:szCs w:val="24"/>
              </w:rPr>
              <w:t>Key Perinatal Safety Elements</w:t>
            </w:r>
          </w:p>
        </w:tc>
        <w:tc>
          <w:tcPr>
            <w:tcW w:w="5940" w:type="dxa"/>
          </w:tcPr>
          <w:p w14:paraId="326C36E8" w14:textId="77777777" w:rsidR="00BD387E" w:rsidRPr="005101ED" w:rsidRDefault="00BD387E" w:rsidP="00BE256C">
            <w:pPr>
              <w:keepNext/>
              <w:rPr>
                <w:rFonts w:asciiTheme="minorBidi" w:hAnsiTheme="minorBidi" w:cstheme="minorBidi"/>
                <w:b/>
                <w:szCs w:val="24"/>
              </w:rPr>
            </w:pPr>
            <w:r w:rsidRPr="005101ED">
              <w:rPr>
                <w:rFonts w:asciiTheme="minorBidi" w:hAnsiTheme="minorBidi" w:cstheme="minorBidi"/>
                <w:b/>
                <w:szCs w:val="24"/>
              </w:rPr>
              <w:t>Examples</w:t>
            </w:r>
          </w:p>
        </w:tc>
      </w:tr>
      <w:tr w:rsidR="00BD387E" w:rsidRPr="005101ED" w14:paraId="5B5B9089" w14:textId="77777777" w:rsidTr="009F76D4">
        <w:trPr>
          <w:cantSplit/>
        </w:trPr>
        <w:tc>
          <w:tcPr>
            <w:tcW w:w="3618" w:type="dxa"/>
          </w:tcPr>
          <w:p w14:paraId="4E33CAA3" w14:textId="77777777" w:rsidR="00BD387E" w:rsidRPr="005101ED" w:rsidRDefault="00BD387E" w:rsidP="00BE256C">
            <w:pPr>
              <w:rPr>
                <w:szCs w:val="24"/>
              </w:rPr>
            </w:pPr>
            <w:r w:rsidRPr="005101ED">
              <w:rPr>
                <w:rFonts w:asciiTheme="minorBidi" w:hAnsiTheme="minorBidi" w:cstheme="minorBidi"/>
                <w:szCs w:val="24"/>
              </w:rPr>
              <w:t>Assess appropriateness of magnesium use in patient by staff other than the ordering provider.</w:t>
            </w:r>
          </w:p>
        </w:tc>
        <w:tc>
          <w:tcPr>
            <w:tcW w:w="5940" w:type="dxa"/>
          </w:tcPr>
          <w:p w14:paraId="33F1A7DB" w14:textId="77777777" w:rsidR="00BD387E" w:rsidRPr="005101ED" w:rsidRDefault="00BD387E" w:rsidP="00BE256C">
            <w:pPr>
              <w:spacing w:after="60"/>
              <w:rPr>
                <w:rFonts w:asciiTheme="minorBidi" w:hAnsiTheme="minorBidi" w:cstheme="minorBidi"/>
                <w:szCs w:val="24"/>
              </w:rPr>
            </w:pPr>
            <w:r w:rsidRPr="005101ED">
              <w:rPr>
                <w:rFonts w:asciiTheme="minorBidi" w:hAnsiTheme="minorBidi" w:cstheme="minorBidi"/>
                <w:szCs w:val="24"/>
              </w:rPr>
              <w:t xml:space="preserve">An independent verification of indications and maternal and fetal status per unit-established standard criteria can minimize medication use in cases where risk may exceed benefit. </w:t>
            </w:r>
            <w:r w:rsidR="002B6424">
              <w:rPr>
                <w:rFonts w:asciiTheme="minorBidi" w:hAnsiTheme="minorBidi" w:cstheme="minorBidi"/>
                <w:szCs w:val="24"/>
              </w:rPr>
              <w:t>These criteria may include</w:t>
            </w:r>
            <w:r w:rsidR="002B6424">
              <w:rPr>
                <w:szCs w:val="24"/>
              </w:rPr>
              <w:t>—</w:t>
            </w:r>
          </w:p>
          <w:p w14:paraId="58C151D3" w14:textId="77777777" w:rsidR="00BD387E" w:rsidRPr="00B935CD" w:rsidRDefault="007964AA" w:rsidP="00B935CD">
            <w:pPr>
              <w:pStyle w:val="TableBullet1a-Indentundertext"/>
            </w:pPr>
            <w:r>
              <w:t>i</w:t>
            </w:r>
            <w:r w:rsidR="00BD387E" w:rsidRPr="00B935CD">
              <w:t>ndications for use (e.g., neuroprotection of fetus during preterm labor, seizure prophylaxis for preeclampsia)</w:t>
            </w:r>
          </w:p>
          <w:p w14:paraId="0B6D009E" w14:textId="77777777" w:rsidR="00BD387E" w:rsidRPr="005101ED" w:rsidRDefault="007964AA" w:rsidP="00B935CD">
            <w:pPr>
              <w:pStyle w:val="TableBullet1a-Indentundertext"/>
            </w:pPr>
            <w:r>
              <w:t>c</w:t>
            </w:r>
            <w:r w:rsidR="00BD387E" w:rsidRPr="005101ED">
              <w:t>ontraindications for use</w:t>
            </w:r>
          </w:p>
          <w:p w14:paraId="6FBD75A0" w14:textId="77777777" w:rsidR="00BD387E" w:rsidRPr="005101ED" w:rsidRDefault="007964AA" w:rsidP="00B935CD">
            <w:pPr>
              <w:pStyle w:val="TableBullet1a-Indentundertext"/>
            </w:pPr>
            <w:r>
              <w:t>m</w:t>
            </w:r>
            <w:r w:rsidR="00BD387E" w:rsidRPr="005101ED">
              <w:t>aternal status prior to initiation</w:t>
            </w:r>
          </w:p>
          <w:p w14:paraId="52567F39" w14:textId="77777777" w:rsidR="00BD387E" w:rsidRPr="005101ED" w:rsidRDefault="007964AA" w:rsidP="00B935CD">
            <w:pPr>
              <w:pStyle w:val="TableBullet1a-Indentundertext"/>
            </w:pPr>
            <w:r>
              <w:t>f</w:t>
            </w:r>
            <w:r w:rsidR="00BD387E" w:rsidRPr="005101ED">
              <w:t>etal status prior to initiation</w:t>
            </w:r>
          </w:p>
        </w:tc>
      </w:tr>
      <w:tr w:rsidR="00BD387E" w:rsidRPr="005101ED" w14:paraId="7505D9AA" w14:textId="77777777" w:rsidTr="009F76D4">
        <w:trPr>
          <w:cantSplit/>
        </w:trPr>
        <w:tc>
          <w:tcPr>
            <w:tcW w:w="3618" w:type="dxa"/>
          </w:tcPr>
          <w:p w14:paraId="62C4C803" w14:textId="77777777" w:rsidR="00BD387E" w:rsidRPr="005101ED" w:rsidRDefault="00BD387E" w:rsidP="00BE256C">
            <w:pPr>
              <w:rPr>
                <w:rFonts w:asciiTheme="minorBidi" w:hAnsiTheme="minorBidi" w:cstheme="minorBidi"/>
                <w:szCs w:val="24"/>
              </w:rPr>
            </w:pPr>
            <w:r w:rsidRPr="005101ED">
              <w:rPr>
                <w:rFonts w:asciiTheme="minorBidi" w:hAnsiTheme="minorBidi" w:cstheme="minorBidi"/>
                <w:szCs w:val="24"/>
              </w:rPr>
              <w:t>Use preprinted orders or electronic order entry for magnesium sulfate order.</w:t>
            </w:r>
          </w:p>
        </w:tc>
        <w:tc>
          <w:tcPr>
            <w:tcW w:w="5940" w:type="dxa"/>
          </w:tcPr>
          <w:p w14:paraId="3239F8AD" w14:textId="77777777" w:rsidR="00BD387E" w:rsidRPr="005101ED" w:rsidRDefault="00BD387E" w:rsidP="00BE256C">
            <w:pPr>
              <w:rPr>
                <w:rFonts w:asciiTheme="minorBidi" w:hAnsiTheme="minorBidi" w:cstheme="minorBidi"/>
                <w:szCs w:val="24"/>
                <w:vertAlign w:val="superscript"/>
              </w:rPr>
            </w:pPr>
            <w:r w:rsidRPr="005101ED">
              <w:rPr>
                <w:rFonts w:asciiTheme="minorBidi" w:hAnsiTheme="minorBidi" w:cstheme="minorBidi"/>
                <w:szCs w:val="24"/>
              </w:rPr>
              <w:t>Unit process for ordering magnesium using preprinted orders or electronic order entry reduces dosing errors due to incorrect dose or illegible orders. Avoidance of abbreviations for magnesium sulfate.</w:t>
            </w:r>
            <w:r w:rsidRPr="005101ED">
              <w:rPr>
                <w:rFonts w:asciiTheme="minorBidi" w:hAnsiTheme="minorBidi" w:cstheme="minorBidi"/>
                <w:szCs w:val="24"/>
                <w:vertAlign w:val="superscript"/>
              </w:rPr>
              <w:t>10,12</w:t>
            </w:r>
          </w:p>
        </w:tc>
      </w:tr>
      <w:tr w:rsidR="00BD387E" w:rsidRPr="005101ED" w14:paraId="235DF766" w14:textId="77777777" w:rsidTr="009F76D4">
        <w:trPr>
          <w:cantSplit/>
        </w:trPr>
        <w:tc>
          <w:tcPr>
            <w:tcW w:w="3618" w:type="dxa"/>
          </w:tcPr>
          <w:p w14:paraId="7C7C4045" w14:textId="77777777" w:rsidR="00BD387E" w:rsidRPr="005101ED" w:rsidRDefault="00BD387E" w:rsidP="00BE256C">
            <w:pPr>
              <w:rPr>
                <w:rFonts w:asciiTheme="minorBidi" w:hAnsiTheme="minorBidi" w:cstheme="minorBidi"/>
                <w:szCs w:val="24"/>
              </w:rPr>
            </w:pPr>
            <w:r w:rsidRPr="005101ED">
              <w:rPr>
                <w:rFonts w:asciiTheme="minorBidi" w:hAnsiTheme="minorBidi" w:cstheme="minorBidi"/>
                <w:szCs w:val="24"/>
              </w:rPr>
              <w:t>Use independent verification whenever there is a rate change or a new magnesium sulfate bag is hung.</w:t>
            </w:r>
          </w:p>
        </w:tc>
        <w:tc>
          <w:tcPr>
            <w:tcW w:w="5940" w:type="dxa"/>
          </w:tcPr>
          <w:p w14:paraId="45BA9E76" w14:textId="77777777" w:rsidR="00BD387E" w:rsidRPr="005101ED" w:rsidRDefault="00BD387E" w:rsidP="00BE256C">
            <w:pPr>
              <w:rPr>
                <w:rFonts w:asciiTheme="minorBidi" w:hAnsiTheme="minorBidi" w:cstheme="minorBidi"/>
                <w:szCs w:val="24"/>
                <w:vertAlign w:val="superscript"/>
              </w:rPr>
            </w:pPr>
            <w:r w:rsidRPr="005101ED">
              <w:rPr>
                <w:rFonts w:asciiTheme="minorBidi" w:hAnsiTheme="minorBidi" w:cstheme="minorBidi"/>
                <w:szCs w:val="24"/>
              </w:rPr>
              <w:t xml:space="preserve">A second qualified staff member independently checks that the magnesium bag is clearly labeled, contains the correct dose, and that tubing and pump are set up correctly whenever a new bag is hung or </w:t>
            </w:r>
            <w:r w:rsidR="00997245">
              <w:rPr>
                <w:rFonts w:asciiTheme="minorBidi" w:hAnsiTheme="minorBidi" w:cstheme="minorBidi"/>
                <w:szCs w:val="24"/>
              </w:rPr>
              <w:t xml:space="preserve">a </w:t>
            </w:r>
            <w:r w:rsidRPr="005101ED">
              <w:rPr>
                <w:rFonts w:asciiTheme="minorBidi" w:hAnsiTheme="minorBidi" w:cstheme="minorBidi"/>
                <w:szCs w:val="24"/>
              </w:rPr>
              <w:t>rate change is made.</w:t>
            </w:r>
            <w:r w:rsidRPr="005101ED">
              <w:rPr>
                <w:rFonts w:asciiTheme="minorBidi" w:hAnsiTheme="minorBidi" w:cstheme="minorBidi"/>
                <w:szCs w:val="24"/>
                <w:vertAlign w:val="superscript"/>
              </w:rPr>
              <w:t>10</w:t>
            </w:r>
            <w:r w:rsidRPr="005101ED">
              <w:rPr>
                <w:rFonts w:asciiTheme="minorBidi" w:hAnsiTheme="minorBidi" w:cstheme="minorBidi"/>
                <w:szCs w:val="24"/>
              </w:rPr>
              <w:t xml:space="preserve"> This verification is facilitated by tracing the tubing by hand from the IV bag to the pump, and then to the patient.</w:t>
            </w:r>
            <w:r w:rsidRPr="005101ED">
              <w:rPr>
                <w:rFonts w:asciiTheme="minorBidi" w:hAnsiTheme="minorBidi" w:cstheme="minorBidi"/>
                <w:szCs w:val="24"/>
                <w:vertAlign w:val="superscript"/>
              </w:rPr>
              <w:t>14</w:t>
            </w:r>
          </w:p>
        </w:tc>
      </w:tr>
      <w:tr w:rsidR="00BD387E" w:rsidRPr="005101ED" w14:paraId="18FB2FB9" w14:textId="77777777" w:rsidTr="009F76D4">
        <w:trPr>
          <w:cantSplit/>
        </w:trPr>
        <w:tc>
          <w:tcPr>
            <w:tcW w:w="3618" w:type="dxa"/>
          </w:tcPr>
          <w:p w14:paraId="66E8D86C" w14:textId="77777777" w:rsidR="00BD387E" w:rsidRPr="005101ED" w:rsidRDefault="00BD387E" w:rsidP="00BE256C">
            <w:pPr>
              <w:rPr>
                <w:szCs w:val="24"/>
              </w:rPr>
            </w:pPr>
            <w:r w:rsidRPr="005101ED">
              <w:rPr>
                <w:rFonts w:asciiTheme="minorBidi" w:hAnsiTheme="minorBidi" w:cstheme="minorBidi"/>
                <w:szCs w:val="24"/>
              </w:rPr>
              <w:t>Use uniform parameters for maternal and fetal monitoring at regular intervals.</w:t>
            </w:r>
          </w:p>
        </w:tc>
        <w:tc>
          <w:tcPr>
            <w:tcW w:w="5940" w:type="dxa"/>
          </w:tcPr>
          <w:p w14:paraId="0DC3954F" w14:textId="77777777" w:rsidR="00BD387E" w:rsidRPr="005101ED" w:rsidRDefault="00BD387E" w:rsidP="00BE256C">
            <w:pPr>
              <w:rPr>
                <w:rFonts w:asciiTheme="minorBidi" w:hAnsiTheme="minorBidi" w:cstheme="minorBidi"/>
                <w:szCs w:val="24"/>
                <w:vertAlign w:val="superscript"/>
              </w:rPr>
            </w:pPr>
            <w:r w:rsidRPr="005101ED">
              <w:rPr>
                <w:rFonts w:asciiTheme="minorBidi" w:hAnsiTheme="minorBidi" w:cstheme="minorBidi"/>
                <w:szCs w:val="24"/>
              </w:rPr>
              <w:t>Use uniform parameters for maternal and fetal monitoring at regular time intervals per unit-established processes during loading dose and maintenance infusion to identify changes in status. Various clinical references offer parameters for monitoring:</w:t>
            </w:r>
            <w:r w:rsidRPr="005101ED">
              <w:rPr>
                <w:rFonts w:asciiTheme="minorBidi" w:hAnsiTheme="minorBidi" w:cstheme="minorBidi"/>
                <w:szCs w:val="24"/>
                <w:vertAlign w:val="superscript"/>
              </w:rPr>
              <w:t>3,10,15</w:t>
            </w:r>
          </w:p>
          <w:p w14:paraId="2343A4A9" w14:textId="77777777" w:rsidR="00BD387E" w:rsidRPr="005101ED" w:rsidRDefault="00BD387E" w:rsidP="00B935CD">
            <w:pPr>
              <w:pStyle w:val="TableBullet1a-Indentundertext"/>
            </w:pPr>
            <w:r w:rsidRPr="005101ED">
              <w:rPr>
                <w:i/>
              </w:rPr>
              <w:t xml:space="preserve">Assessment </w:t>
            </w:r>
            <w:r w:rsidR="00EA6EF5">
              <w:rPr>
                <w:i/>
              </w:rPr>
              <w:t>p</w:t>
            </w:r>
            <w:r w:rsidRPr="005101ED">
              <w:rPr>
                <w:i/>
              </w:rPr>
              <w:t xml:space="preserve">rior to </w:t>
            </w:r>
            <w:r w:rsidR="00EA6EF5">
              <w:rPr>
                <w:i/>
              </w:rPr>
              <w:t>i</w:t>
            </w:r>
            <w:r w:rsidRPr="005101ED">
              <w:rPr>
                <w:i/>
              </w:rPr>
              <w:t>nitiation</w:t>
            </w:r>
            <w:r w:rsidRPr="005101ED">
              <w:t xml:space="preserve">: </w:t>
            </w:r>
            <w:r w:rsidR="00BE256C">
              <w:t>V</w:t>
            </w:r>
            <w:r w:rsidRPr="005101ED">
              <w:t xml:space="preserve">ital signs, deep tendon reflexes/clonus, level of consciousness, symptoms such as headache, visual disturbances, nausea/vomiting, epigastric pain, tocography, and </w:t>
            </w:r>
            <w:r w:rsidR="00EA6EF5">
              <w:t>fetal heart rate (</w:t>
            </w:r>
            <w:r w:rsidRPr="005101ED">
              <w:t>FHR</w:t>
            </w:r>
            <w:r w:rsidR="00EA6EF5">
              <w:t>)</w:t>
            </w:r>
            <w:r w:rsidRPr="005101ED">
              <w:t xml:space="preserve"> (antepartum and intrapartum only).</w:t>
            </w:r>
          </w:p>
          <w:p w14:paraId="75109A45" w14:textId="6981FBCD" w:rsidR="00BD387E" w:rsidRPr="001748A1" w:rsidRDefault="00BD387E" w:rsidP="007070DB">
            <w:pPr>
              <w:pStyle w:val="TableBullet1a-Indentundertext"/>
            </w:pPr>
            <w:r w:rsidRPr="005101ED">
              <w:rPr>
                <w:i/>
              </w:rPr>
              <w:t xml:space="preserve">Assessment </w:t>
            </w:r>
            <w:r w:rsidR="00EA6EF5">
              <w:rPr>
                <w:i/>
              </w:rPr>
              <w:t>d</w:t>
            </w:r>
            <w:r w:rsidRPr="005101ED">
              <w:rPr>
                <w:i/>
              </w:rPr>
              <w:t xml:space="preserve">uring </w:t>
            </w:r>
            <w:r w:rsidR="00EA6EF5">
              <w:rPr>
                <w:i/>
              </w:rPr>
              <w:t>i</w:t>
            </w:r>
            <w:r w:rsidRPr="005101ED">
              <w:rPr>
                <w:i/>
              </w:rPr>
              <w:t>nfusion</w:t>
            </w:r>
            <w:r w:rsidRPr="005101ED">
              <w:t xml:space="preserve">: </w:t>
            </w:r>
            <w:r w:rsidR="00BE256C">
              <w:t>V</w:t>
            </w:r>
            <w:r w:rsidRPr="005101ED">
              <w:t xml:space="preserve">ital signs, with specific focus on oxygen saturation and respiratory pattern, deep tendon reflexes, fluid intake/output, tocography, signs and symptoms of labor progression, </w:t>
            </w:r>
            <w:r w:rsidR="002B6424">
              <w:t>worsening signs/symptoms of pre</w:t>
            </w:r>
            <w:r w:rsidRPr="005101ED">
              <w:t xml:space="preserve">eclampsia, magnesium toxicity, and fluid overload. </w:t>
            </w:r>
            <w:r w:rsidR="007070DB" w:rsidRPr="005101ED">
              <w:t>Typically, a nurse</w:t>
            </w:r>
          </w:p>
        </w:tc>
      </w:tr>
    </w:tbl>
    <w:p w14:paraId="776279FC" w14:textId="5D1BB5D4" w:rsidR="001748A1" w:rsidRDefault="001748A1" w:rsidP="001748A1">
      <w:pPr>
        <w:spacing w:after="0" w:line="200" w:lineRule="exact"/>
        <w:jc w:val="right"/>
      </w:pPr>
    </w:p>
    <w:p w14:paraId="0B1B6EEC" w14:textId="367AF7B3" w:rsidR="009F76D4" w:rsidRDefault="009F76D4" w:rsidP="007070DB">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20"/>
      </w:pPr>
      <w:r w:rsidRPr="005101ED">
        <w:rPr>
          <w:rFonts w:asciiTheme="minorBidi" w:hAnsiTheme="minorBidi"/>
          <w:b/>
          <w:i/>
          <w:szCs w:val="24"/>
        </w:rPr>
        <w:lastRenderedPageBreak/>
        <w:t>Create Independent Checks (CUSP Science of Safety) (cont</w:t>
      </w:r>
      <w:r>
        <w:rPr>
          <w:rFonts w:asciiTheme="minorBidi" w:hAnsiTheme="minorBidi"/>
          <w:b/>
          <w:i/>
          <w:szCs w:val="24"/>
        </w:rPr>
        <w:t>inue</w:t>
      </w:r>
      <w:r w:rsidRPr="005101ED">
        <w:rPr>
          <w:rFonts w:asciiTheme="minorBidi" w:hAnsiTheme="minorBidi"/>
          <w:b/>
          <w:i/>
          <w:szCs w:val="24"/>
        </w:rPr>
        <w:t>d)</w:t>
      </w:r>
    </w:p>
    <w:tbl>
      <w:tblPr>
        <w:tblStyle w:val="TableGrid"/>
        <w:tblW w:w="9558" w:type="dxa"/>
        <w:tblLayout w:type="fixed"/>
        <w:tblLook w:val="04A0" w:firstRow="1" w:lastRow="0" w:firstColumn="1" w:lastColumn="0" w:noHBand="0" w:noVBand="1"/>
        <w:tblDescription w:val="Key Perinatal Safety Elements"/>
      </w:tblPr>
      <w:tblGrid>
        <w:gridCol w:w="3618"/>
        <w:gridCol w:w="5940"/>
      </w:tblGrid>
      <w:tr w:rsidR="001748A1" w:rsidRPr="005101ED" w14:paraId="797F7187" w14:textId="77777777" w:rsidTr="009F76D4">
        <w:trPr>
          <w:cantSplit/>
          <w:tblHeader/>
        </w:trPr>
        <w:tc>
          <w:tcPr>
            <w:tcW w:w="3618" w:type="dxa"/>
          </w:tcPr>
          <w:p w14:paraId="1575625A" w14:textId="77777777" w:rsidR="001748A1" w:rsidRPr="005101ED" w:rsidRDefault="001748A1" w:rsidP="00BE256C">
            <w:pPr>
              <w:keepNext/>
              <w:rPr>
                <w:rFonts w:asciiTheme="minorBidi" w:hAnsiTheme="minorBidi" w:cstheme="minorBidi"/>
                <w:b/>
                <w:szCs w:val="24"/>
              </w:rPr>
            </w:pPr>
            <w:r w:rsidRPr="005101ED">
              <w:rPr>
                <w:rFonts w:asciiTheme="minorBidi" w:hAnsiTheme="minorBidi" w:cstheme="minorBidi"/>
                <w:b/>
                <w:szCs w:val="24"/>
              </w:rPr>
              <w:t>Key Perinatal Safety Elements</w:t>
            </w:r>
          </w:p>
        </w:tc>
        <w:tc>
          <w:tcPr>
            <w:tcW w:w="5940" w:type="dxa"/>
          </w:tcPr>
          <w:p w14:paraId="534AD94E" w14:textId="77777777" w:rsidR="001748A1" w:rsidRPr="005101ED" w:rsidRDefault="001748A1" w:rsidP="00BE256C">
            <w:pPr>
              <w:keepNext/>
              <w:rPr>
                <w:rFonts w:asciiTheme="minorBidi" w:hAnsiTheme="minorBidi" w:cstheme="minorBidi"/>
                <w:b/>
                <w:szCs w:val="24"/>
              </w:rPr>
            </w:pPr>
            <w:r w:rsidRPr="005101ED">
              <w:rPr>
                <w:rFonts w:asciiTheme="minorBidi" w:hAnsiTheme="minorBidi" w:cstheme="minorBidi"/>
                <w:b/>
                <w:szCs w:val="24"/>
              </w:rPr>
              <w:t>Examples</w:t>
            </w:r>
          </w:p>
        </w:tc>
      </w:tr>
      <w:tr w:rsidR="001748A1" w:rsidRPr="005101ED" w14:paraId="0AF0A4BC" w14:textId="77777777" w:rsidTr="009F76D4">
        <w:trPr>
          <w:cantSplit/>
        </w:trPr>
        <w:tc>
          <w:tcPr>
            <w:tcW w:w="3618" w:type="dxa"/>
          </w:tcPr>
          <w:p w14:paraId="29335356" w14:textId="77777777" w:rsidR="001748A1" w:rsidRPr="005101ED" w:rsidRDefault="00EA6EF5" w:rsidP="00BE256C">
            <w:pPr>
              <w:rPr>
                <w:rFonts w:asciiTheme="minorBidi" w:hAnsiTheme="minorBidi"/>
                <w:szCs w:val="24"/>
              </w:rPr>
            </w:pPr>
            <w:r w:rsidRPr="005101ED">
              <w:rPr>
                <w:rFonts w:asciiTheme="minorBidi" w:hAnsiTheme="minorBidi" w:cstheme="minorBidi"/>
                <w:szCs w:val="24"/>
              </w:rPr>
              <w:t>Use uniform parameters for maternal and fetal monitoring at regular intervals.</w:t>
            </w:r>
            <w:r>
              <w:rPr>
                <w:rFonts w:asciiTheme="minorBidi" w:hAnsiTheme="minorBidi" w:cstheme="minorBidi"/>
                <w:szCs w:val="24"/>
              </w:rPr>
              <w:t xml:space="preserve"> (continued)</w:t>
            </w:r>
          </w:p>
        </w:tc>
        <w:tc>
          <w:tcPr>
            <w:tcW w:w="5940" w:type="dxa"/>
          </w:tcPr>
          <w:p w14:paraId="3110D77F" w14:textId="2EA0CA69" w:rsidR="001748A1" w:rsidRPr="005101ED" w:rsidRDefault="007070DB" w:rsidP="00B935CD">
            <w:pPr>
              <w:pStyle w:val="TableBullet1a-Indentundertext"/>
              <w:numPr>
                <w:ilvl w:val="0"/>
                <w:numId w:val="0"/>
              </w:numPr>
              <w:ind w:left="720"/>
            </w:pPr>
            <w:r w:rsidRPr="005101ED">
              <w:t>should remain at the</w:t>
            </w:r>
            <w:r>
              <w:t xml:space="preserve"> </w:t>
            </w:r>
            <w:r w:rsidRPr="005101ED">
              <w:t xml:space="preserve">bedside during the loading dose to monitor initial </w:t>
            </w:r>
            <w:r w:rsidR="001748A1" w:rsidRPr="005101ED">
              <w:t>response and reassure patient regarding commonly experienced side effects.</w:t>
            </w:r>
          </w:p>
          <w:p w14:paraId="6E27E106" w14:textId="77777777" w:rsidR="001748A1" w:rsidRPr="00B935CD" w:rsidRDefault="001748A1" w:rsidP="00BE256C">
            <w:pPr>
              <w:pStyle w:val="TableBullet1a-Indentundertext"/>
            </w:pPr>
            <w:r w:rsidRPr="00B935CD">
              <w:rPr>
                <w:i/>
                <w:iCs/>
              </w:rPr>
              <w:t>Use of serum magnesium levels:</w:t>
            </w:r>
            <w:r w:rsidRPr="00B935CD">
              <w:t xml:space="preserve"> </w:t>
            </w:r>
            <w:r w:rsidR="00BE256C">
              <w:t>R</w:t>
            </w:r>
            <w:r w:rsidRPr="00B935CD">
              <w:t>egular, routine serum levels do not always correlate with clinical symptoms and are not needed for most patients. However, regular, routine serum levels may be useful for patients with impaired renal function.</w:t>
            </w:r>
          </w:p>
        </w:tc>
      </w:tr>
      <w:tr w:rsidR="00BD387E" w:rsidRPr="005101ED" w14:paraId="428CBA91" w14:textId="77777777" w:rsidTr="009F76D4">
        <w:trPr>
          <w:cantSplit/>
        </w:trPr>
        <w:tc>
          <w:tcPr>
            <w:tcW w:w="3618" w:type="dxa"/>
          </w:tcPr>
          <w:p w14:paraId="4CEC7605" w14:textId="77777777" w:rsidR="00BD387E" w:rsidRPr="005101ED" w:rsidRDefault="00BD387E" w:rsidP="00BE256C">
            <w:pPr>
              <w:rPr>
                <w:rFonts w:asciiTheme="minorBidi" w:hAnsiTheme="minorBidi" w:cstheme="minorBidi"/>
                <w:szCs w:val="24"/>
              </w:rPr>
            </w:pPr>
            <w:r w:rsidRPr="005101ED">
              <w:rPr>
                <w:rFonts w:asciiTheme="minorBidi" w:hAnsiTheme="minorBidi" w:cstheme="minorBidi"/>
                <w:szCs w:val="24"/>
              </w:rPr>
              <w:t>Use maternal and fetal parameters for provider notification.</w:t>
            </w:r>
          </w:p>
          <w:p w14:paraId="267880B9" w14:textId="77777777" w:rsidR="00BD387E" w:rsidRPr="005101ED" w:rsidRDefault="00BD387E" w:rsidP="00BE256C">
            <w:pPr>
              <w:rPr>
                <w:rFonts w:asciiTheme="minorBidi" w:hAnsiTheme="minorBidi" w:cstheme="minorBidi"/>
                <w:szCs w:val="24"/>
              </w:rPr>
            </w:pPr>
          </w:p>
        </w:tc>
        <w:tc>
          <w:tcPr>
            <w:tcW w:w="5940" w:type="dxa"/>
          </w:tcPr>
          <w:p w14:paraId="77EF0A0D" w14:textId="77777777" w:rsidR="00BD387E" w:rsidRPr="005101ED" w:rsidRDefault="00BD387E" w:rsidP="00BE256C">
            <w:pPr>
              <w:rPr>
                <w:rFonts w:asciiTheme="minorBidi" w:hAnsiTheme="minorBidi" w:cstheme="minorBidi"/>
                <w:szCs w:val="24"/>
              </w:rPr>
            </w:pPr>
            <w:r w:rsidRPr="005101ED">
              <w:rPr>
                <w:rFonts w:asciiTheme="minorBidi" w:hAnsiTheme="minorBidi" w:cstheme="minorBidi"/>
                <w:szCs w:val="24"/>
              </w:rPr>
              <w:t xml:space="preserve">Use of uniform, unit-established parameters for provider notification ensures that signs of potential adverse effects or clinical deterioration are communicated for situational awareness and response if needed. </w:t>
            </w:r>
          </w:p>
          <w:p w14:paraId="2861948D" w14:textId="77777777" w:rsidR="00BD387E" w:rsidRPr="005101ED" w:rsidRDefault="00BD387E" w:rsidP="00EA6EF5">
            <w:pPr>
              <w:pStyle w:val="TableBullet1a-Indentundertext"/>
            </w:pPr>
            <w:r w:rsidRPr="005101ED">
              <w:t>Provider-notification criteria can be based on patient vital signs, FHR patterns, and signs and symptoms of labor progression, worsening signs/symptoms of preeclampsia, magnesium toxicity, or labor progression. Various clinical reviews and references offer some suggested parameters for notification.</w:t>
            </w:r>
            <w:r w:rsidRPr="005101ED">
              <w:rPr>
                <w:vertAlign w:val="superscript"/>
              </w:rPr>
              <w:t>10,15</w:t>
            </w:r>
          </w:p>
        </w:tc>
      </w:tr>
      <w:tr w:rsidR="00BD387E" w:rsidRPr="005101ED" w14:paraId="3141A7B1" w14:textId="77777777" w:rsidTr="009F76D4">
        <w:trPr>
          <w:cantSplit/>
        </w:trPr>
        <w:tc>
          <w:tcPr>
            <w:tcW w:w="3618" w:type="dxa"/>
          </w:tcPr>
          <w:p w14:paraId="2BDE223F" w14:textId="77777777" w:rsidR="00BD387E" w:rsidRPr="005101ED" w:rsidRDefault="00BD387E" w:rsidP="00BE256C">
            <w:pPr>
              <w:rPr>
                <w:rFonts w:asciiTheme="minorBidi" w:hAnsiTheme="minorBidi" w:cstheme="minorBidi"/>
                <w:szCs w:val="24"/>
              </w:rPr>
            </w:pPr>
            <w:r w:rsidRPr="005101ED">
              <w:rPr>
                <w:szCs w:val="24"/>
              </w:rPr>
              <w:t>Have standing orders for nurses to respond to signs and symptoms of magnesium toxicity, with quick access to antidote.</w:t>
            </w:r>
          </w:p>
        </w:tc>
        <w:tc>
          <w:tcPr>
            <w:tcW w:w="5940" w:type="dxa"/>
          </w:tcPr>
          <w:p w14:paraId="03D48F00" w14:textId="77777777" w:rsidR="00BD387E" w:rsidRPr="005101ED" w:rsidRDefault="00BD387E" w:rsidP="00BE256C">
            <w:pPr>
              <w:pStyle w:val="Bullet-Blank-2"/>
              <w:numPr>
                <w:ilvl w:val="0"/>
                <w:numId w:val="0"/>
              </w:numPr>
              <w:rPr>
                <w:sz w:val="24"/>
                <w:szCs w:val="24"/>
              </w:rPr>
            </w:pPr>
            <w:r w:rsidRPr="005101ED">
              <w:rPr>
                <w:rFonts w:asciiTheme="minorBidi" w:hAnsiTheme="minorBidi" w:cstheme="minorBidi"/>
                <w:sz w:val="24"/>
                <w:szCs w:val="24"/>
              </w:rPr>
              <w:t xml:space="preserve">Use of uniform, unit-established standing orders allows nurses to provide initial management in response to suspected magnesium toxicity. </w:t>
            </w:r>
            <w:r w:rsidRPr="005101ED">
              <w:rPr>
                <w:sz w:val="24"/>
                <w:szCs w:val="24"/>
              </w:rPr>
              <w:t>Magnesium toxicity is a clinical diagnosis</w:t>
            </w:r>
            <w:r w:rsidR="00EA6EF5">
              <w:rPr>
                <w:sz w:val="24"/>
                <w:szCs w:val="24"/>
              </w:rPr>
              <w:t>,</w:t>
            </w:r>
            <w:r w:rsidRPr="005101ED">
              <w:rPr>
                <w:sz w:val="24"/>
                <w:szCs w:val="24"/>
              </w:rPr>
              <w:t xml:space="preserve"> and serum levels do not always correlate with clinical signs and symptoms; thus, nurses who monitor patients receiving magnesium sulfate should</w:t>
            </w:r>
            <w:r w:rsidR="00EA6EF5">
              <w:rPr>
                <w:sz w:val="24"/>
                <w:szCs w:val="24"/>
              </w:rPr>
              <w:t>—</w:t>
            </w:r>
          </w:p>
          <w:p w14:paraId="0C7EAAC0" w14:textId="77777777" w:rsidR="00BD387E" w:rsidRPr="005101ED" w:rsidRDefault="007964AA" w:rsidP="00B935CD">
            <w:pPr>
              <w:pStyle w:val="TableBullet1a-Indentundertext"/>
            </w:pPr>
            <w:r>
              <w:t>k</w:t>
            </w:r>
            <w:r w:rsidR="00CC54CE">
              <w:t xml:space="preserve">now </w:t>
            </w:r>
            <w:r w:rsidR="00BD387E" w:rsidRPr="005101ED">
              <w:t>how to recognize the signs and symptoms of toxicity</w:t>
            </w:r>
          </w:p>
          <w:p w14:paraId="7269409E" w14:textId="1A503415" w:rsidR="00BD387E" w:rsidRDefault="00BD387E" w:rsidP="00B935CD">
            <w:pPr>
              <w:pStyle w:val="TableBullet1a-Indentundertext"/>
            </w:pPr>
            <w:r w:rsidRPr="005101ED">
              <w:t xml:space="preserve">have ready access to </w:t>
            </w:r>
            <w:r w:rsidR="000B3662">
              <w:t xml:space="preserve">the antidote, </w:t>
            </w:r>
            <w:r w:rsidRPr="005101ED">
              <w:t>calcium gluconate</w:t>
            </w:r>
            <w:r w:rsidR="000B3662">
              <w:t xml:space="preserve">, </w:t>
            </w:r>
            <w:r w:rsidRPr="005101ED">
              <w:t>via a kit stored in the patient’s room or easily accessible on the unit</w:t>
            </w:r>
          </w:p>
          <w:p w14:paraId="4AE0E86E" w14:textId="77777777" w:rsidR="001748A1" w:rsidRPr="005101ED" w:rsidRDefault="001748A1" w:rsidP="00B935CD">
            <w:pPr>
              <w:pStyle w:val="TableBullet1a-Indentundertext"/>
            </w:pPr>
            <w:r w:rsidRPr="005101ED">
              <w:t>know how to temporarily support ventilation and activate a rapid response for advanced airway support</w:t>
            </w:r>
            <w:r w:rsidR="005A0150">
              <w:t xml:space="preserve"> </w:t>
            </w:r>
          </w:p>
        </w:tc>
      </w:tr>
    </w:tbl>
    <w:p w14:paraId="3ECB0213" w14:textId="77777777" w:rsidR="002B6424" w:rsidRDefault="002B6424" w:rsidP="00757412">
      <w:pPr>
        <w:jc w:val="right"/>
      </w:pPr>
    </w:p>
    <w:p w14:paraId="0D1B6567" w14:textId="505DC667" w:rsidR="002B6424" w:rsidRDefault="002B6424" w:rsidP="002B6424">
      <w:r>
        <w:br w:type="page"/>
      </w:r>
    </w:p>
    <w:p w14:paraId="3891305D" w14:textId="34F93C8C" w:rsidR="009F76D4" w:rsidRDefault="009F76D4" w:rsidP="009F76D4">
      <w:pPr>
        <w:pBdr>
          <w:top w:val="single" w:sz="4" w:space="1" w:color="auto"/>
          <w:left w:val="single" w:sz="4" w:space="4" w:color="auto"/>
          <w:bottom w:val="single" w:sz="4" w:space="1" w:color="auto"/>
          <w:right w:val="single" w:sz="4" w:space="4" w:color="auto"/>
        </w:pBdr>
        <w:shd w:val="clear" w:color="auto" w:fill="D9D9D9" w:themeFill="background1" w:themeFillShade="D9"/>
        <w:spacing w:after="20"/>
      </w:pPr>
      <w:r w:rsidRPr="005101ED">
        <w:rPr>
          <w:rFonts w:asciiTheme="minorBidi" w:hAnsiTheme="minorBidi"/>
          <w:b/>
          <w:i/>
          <w:szCs w:val="24"/>
        </w:rPr>
        <w:lastRenderedPageBreak/>
        <w:t>Create Independent Checks (CUSP Science of Safety) (cont</w:t>
      </w:r>
      <w:r>
        <w:rPr>
          <w:rFonts w:asciiTheme="minorBidi" w:hAnsiTheme="minorBidi"/>
          <w:b/>
          <w:i/>
          <w:szCs w:val="24"/>
        </w:rPr>
        <w:t>inue</w:t>
      </w:r>
      <w:r w:rsidRPr="005101ED">
        <w:rPr>
          <w:rFonts w:asciiTheme="minorBidi" w:hAnsiTheme="minorBidi"/>
          <w:b/>
          <w:i/>
          <w:szCs w:val="24"/>
        </w:rPr>
        <w:t>d)</w:t>
      </w:r>
    </w:p>
    <w:tbl>
      <w:tblPr>
        <w:tblStyle w:val="TableGrid"/>
        <w:tblW w:w="9558" w:type="dxa"/>
        <w:tblLayout w:type="fixed"/>
        <w:tblLook w:val="04A0" w:firstRow="1" w:lastRow="0" w:firstColumn="1" w:lastColumn="0" w:noHBand="0" w:noVBand="1"/>
        <w:tblDescription w:val="Key Perinatal Safety Elements"/>
      </w:tblPr>
      <w:tblGrid>
        <w:gridCol w:w="3618"/>
        <w:gridCol w:w="5940"/>
      </w:tblGrid>
      <w:tr w:rsidR="002B6424" w:rsidRPr="005101ED" w14:paraId="01E0016E" w14:textId="77777777" w:rsidTr="009F76D4">
        <w:trPr>
          <w:cantSplit/>
          <w:tblHeader/>
        </w:trPr>
        <w:tc>
          <w:tcPr>
            <w:tcW w:w="3618" w:type="dxa"/>
          </w:tcPr>
          <w:p w14:paraId="4A0E1784" w14:textId="77777777" w:rsidR="002B6424" w:rsidRPr="005101ED" w:rsidRDefault="002B6424" w:rsidP="00491BD3">
            <w:pPr>
              <w:keepNext/>
              <w:rPr>
                <w:rFonts w:asciiTheme="minorBidi" w:hAnsiTheme="minorBidi" w:cstheme="minorBidi"/>
                <w:b/>
                <w:szCs w:val="24"/>
              </w:rPr>
            </w:pPr>
            <w:r w:rsidRPr="005101ED">
              <w:rPr>
                <w:rFonts w:asciiTheme="minorBidi" w:hAnsiTheme="minorBidi" w:cstheme="minorBidi"/>
                <w:b/>
                <w:szCs w:val="24"/>
              </w:rPr>
              <w:t>Key Perinatal Safety Elements</w:t>
            </w:r>
          </w:p>
        </w:tc>
        <w:tc>
          <w:tcPr>
            <w:tcW w:w="5940" w:type="dxa"/>
          </w:tcPr>
          <w:p w14:paraId="19A8F587" w14:textId="77777777" w:rsidR="002B6424" w:rsidRPr="005101ED" w:rsidRDefault="002B6424" w:rsidP="00491BD3">
            <w:pPr>
              <w:keepNext/>
              <w:rPr>
                <w:rFonts w:asciiTheme="minorBidi" w:hAnsiTheme="minorBidi" w:cstheme="minorBidi"/>
                <w:b/>
                <w:szCs w:val="24"/>
              </w:rPr>
            </w:pPr>
            <w:r w:rsidRPr="005101ED">
              <w:rPr>
                <w:rFonts w:asciiTheme="minorBidi" w:hAnsiTheme="minorBidi" w:cstheme="minorBidi"/>
                <w:b/>
                <w:szCs w:val="24"/>
              </w:rPr>
              <w:t>Examples</w:t>
            </w:r>
          </w:p>
        </w:tc>
      </w:tr>
      <w:tr w:rsidR="00757412" w:rsidRPr="005101ED" w14:paraId="0012FC4E" w14:textId="77777777" w:rsidTr="009F76D4">
        <w:trPr>
          <w:cantSplit/>
        </w:trPr>
        <w:tc>
          <w:tcPr>
            <w:tcW w:w="3618" w:type="dxa"/>
          </w:tcPr>
          <w:p w14:paraId="09A39415" w14:textId="77777777" w:rsidR="00757412" w:rsidRPr="005101ED" w:rsidRDefault="00CC54CE" w:rsidP="00BE256C">
            <w:pPr>
              <w:rPr>
                <w:szCs w:val="24"/>
              </w:rPr>
            </w:pPr>
            <w:r w:rsidRPr="005101ED">
              <w:rPr>
                <w:szCs w:val="24"/>
              </w:rPr>
              <w:t>Have standing orders for nurses to respond to signs and symptoms of magnesium toxicity, with quick access to antidote</w:t>
            </w:r>
            <w:r>
              <w:rPr>
                <w:szCs w:val="24"/>
              </w:rPr>
              <w:t>. (continued)</w:t>
            </w:r>
          </w:p>
        </w:tc>
        <w:tc>
          <w:tcPr>
            <w:tcW w:w="5940" w:type="dxa"/>
          </w:tcPr>
          <w:tbl>
            <w:tblPr>
              <w:tblStyle w:val="TableGrid"/>
              <w:tblW w:w="5557" w:type="dxa"/>
              <w:tblInd w:w="360" w:type="dxa"/>
              <w:tblLayout w:type="fixed"/>
              <w:tblLook w:val="04A0" w:firstRow="1" w:lastRow="0" w:firstColumn="1" w:lastColumn="0" w:noHBand="0" w:noVBand="1"/>
              <w:tblDescription w:val="magnesium levels and symptoms"/>
            </w:tblPr>
            <w:tblGrid>
              <w:gridCol w:w="3487"/>
              <w:gridCol w:w="2070"/>
            </w:tblGrid>
            <w:tr w:rsidR="00757412" w:rsidRPr="005101ED" w14:paraId="20408AC2" w14:textId="77777777" w:rsidTr="009F76D4">
              <w:trPr>
                <w:cantSplit/>
                <w:tblHeader/>
              </w:trPr>
              <w:tc>
                <w:tcPr>
                  <w:tcW w:w="3487" w:type="dxa"/>
                </w:tcPr>
                <w:p w14:paraId="6374A92B" w14:textId="77777777" w:rsidR="00757412" w:rsidRPr="005101ED" w:rsidRDefault="00757412" w:rsidP="00BE256C">
                  <w:pPr>
                    <w:pStyle w:val="Bullet-Blank-2"/>
                    <w:numPr>
                      <w:ilvl w:val="0"/>
                      <w:numId w:val="0"/>
                    </w:numPr>
                    <w:jc w:val="center"/>
                    <w:rPr>
                      <w:b/>
                      <w:sz w:val="24"/>
                      <w:szCs w:val="24"/>
                    </w:rPr>
                  </w:pPr>
                  <w:r w:rsidRPr="005101ED">
                    <w:rPr>
                      <w:b/>
                      <w:sz w:val="24"/>
                      <w:szCs w:val="24"/>
                    </w:rPr>
                    <w:t>Symptoms</w:t>
                  </w:r>
                </w:p>
              </w:tc>
              <w:tc>
                <w:tcPr>
                  <w:tcW w:w="2070" w:type="dxa"/>
                </w:tcPr>
                <w:p w14:paraId="0D8AC8A8" w14:textId="77777777" w:rsidR="00757412" w:rsidRPr="005101ED" w:rsidRDefault="00757412" w:rsidP="00BE256C">
                  <w:pPr>
                    <w:pStyle w:val="Bullet-Blank-2"/>
                    <w:numPr>
                      <w:ilvl w:val="0"/>
                      <w:numId w:val="0"/>
                    </w:numPr>
                    <w:jc w:val="center"/>
                    <w:rPr>
                      <w:b/>
                      <w:sz w:val="24"/>
                      <w:szCs w:val="24"/>
                    </w:rPr>
                  </w:pPr>
                  <w:r w:rsidRPr="005101ED">
                    <w:rPr>
                      <w:b/>
                      <w:sz w:val="24"/>
                      <w:szCs w:val="24"/>
                    </w:rPr>
                    <w:t>Magnesium Level (mg/dl)</w:t>
                  </w:r>
                </w:p>
              </w:tc>
            </w:tr>
            <w:tr w:rsidR="00757412" w:rsidRPr="005101ED" w14:paraId="602CDC38" w14:textId="77777777" w:rsidTr="009F76D4">
              <w:trPr>
                <w:cantSplit/>
              </w:trPr>
              <w:tc>
                <w:tcPr>
                  <w:tcW w:w="3487" w:type="dxa"/>
                </w:tcPr>
                <w:p w14:paraId="6717F104" w14:textId="77777777" w:rsidR="00757412" w:rsidRPr="005101ED" w:rsidRDefault="00757412" w:rsidP="00BE256C">
                  <w:pPr>
                    <w:pStyle w:val="Bullet-Blank-2"/>
                    <w:numPr>
                      <w:ilvl w:val="0"/>
                      <w:numId w:val="0"/>
                    </w:numPr>
                    <w:rPr>
                      <w:sz w:val="24"/>
                      <w:szCs w:val="24"/>
                    </w:rPr>
                  </w:pPr>
                  <w:r w:rsidRPr="005101ED">
                    <w:rPr>
                      <w:color w:val="000000"/>
                      <w:sz w:val="24"/>
                      <w:szCs w:val="24"/>
                      <w:lang w:bidi="ar-SA"/>
                    </w:rPr>
                    <w:t>Normal adult values</w:t>
                  </w:r>
                </w:p>
              </w:tc>
              <w:tc>
                <w:tcPr>
                  <w:tcW w:w="2070" w:type="dxa"/>
                </w:tcPr>
                <w:p w14:paraId="1C861DAB" w14:textId="77777777" w:rsidR="00757412" w:rsidRPr="005101ED" w:rsidRDefault="00757412" w:rsidP="001748A1">
                  <w:pPr>
                    <w:pStyle w:val="Bullet-Blank-2"/>
                    <w:numPr>
                      <w:ilvl w:val="0"/>
                      <w:numId w:val="0"/>
                    </w:numPr>
                    <w:jc w:val="center"/>
                    <w:rPr>
                      <w:sz w:val="24"/>
                      <w:szCs w:val="24"/>
                    </w:rPr>
                  </w:pPr>
                  <w:r w:rsidRPr="005101ED">
                    <w:rPr>
                      <w:sz w:val="24"/>
                      <w:szCs w:val="24"/>
                    </w:rPr>
                    <w:t>1.7</w:t>
                  </w:r>
                  <w:r w:rsidR="001748A1">
                    <w:rPr>
                      <w:sz w:val="24"/>
                      <w:szCs w:val="24"/>
                    </w:rPr>
                    <w:t>–</w:t>
                  </w:r>
                  <w:r w:rsidRPr="005101ED">
                    <w:rPr>
                      <w:sz w:val="24"/>
                      <w:szCs w:val="24"/>
                    </w:rPr>
                    <w:t>2.4</w:t>
                  </w:r>
                </w:p>
              </w:tc>
            </w:tr>
            <w:tr w:rsidR="00757412" w:rsidRPr="005101ED" w14:paraId="31028193" w14:textId="77777777" w:rsidTr="009F76D4">
              <w:trPr>
                <w:cantSplit/>
              </w:trPr>
              <w:tc>
                <w:tcPr>
                  <w:tcW w:w="3487" w:type="dxa"/>
                </w:tcPr>
                <w:p w14:paraId="34094BE7" w14:textId="77777777" w:rsidR="00757412" w:rsidRPr="005101ED" w:rsidRDefault="00757412" w:rsidP="00BE256C">
                  <w:pPr>
                    <w:pStyle w:val="Bullet-Blank-2"/>
                    <w:numPr>
                      <w:ilvl w:val="0"/>
                      <w:numId w:val="0"/>
                    </w:numPr>
                    <w:rPr>
                      <w:color w:val="000000"/>
                      <w:sz w:val="24"/>
                      <w:szCs w:val="24"/>
                      <w:lang w:bidi="ar-SA"/>
                    </w:rPr>
                  </w:pPr>
                  <w:r w:rsidRPr="005101ED">
                    <w:rPr>
                      <w:color w:val="000000"/>
                      <w:sz w:val="24"/>
                      <w:szCs w:val="24"/>
                      <w:lang w:bidi="ar-SA"/>
                    </w:rPr>
                    <w:t>Therapeutic range</w:t>
                  </w:r>
                </w:p>
              </w:tc>
              <w:tc>
                <w:tcPr>
                  <w:tcW w:w="2070" w:type="dxa"/>
                </w:tcPr>
                <w:p w14:paraId="63B1A48C" w14:textId="77777777" w:rsidR="00757412" w:rsidRPr="005101ED" w:rsidRDefault="00757412" w:rsidP="001748A1">
                  <w:pPr>
                    <w:pStyle w:val="Bullet-Blank-2"/>
                    <w:numPr>
                      <w:ilvl w:val="0"/>
                      <w:numId w:val="0"/>
                    </w:numPr>
                    <w:jc w:val="center"/>
                    <w:rPr>
                      <w:sz w:val="24"/>
                      <w:szCs w:val="24"/>
                    </w:rPr>
                  </w:pPr>
                  <w:r w:rsidRPr="005101ED">
                    <w:rPr>
                      <w:sz w:val="24"/>
                      <w:szCs w:val="24"/>
                    </w:rPr>
                    <w:t>5</w:t>
                  </w:r>
                  <w:r w:rsidR="001748A1">
                    <w:rPr>
                      <w:sz w:val="24"/>
                      <w:szCs w:val="24"/>
                    </w:rPr>
                    <w:t>–</w:t>
                  </w:r>
                  <w:r w:rsidRPr="005101ED">
                    <w:rPr>
                      <w:sz w:val="24"/>
                      <w:szCs w:val="24"/>
                    </w:rPr>
                    <w:t>9</w:t>
                  </w:r>
                </w:p>
              </w:tc>
            </w:tr>
            <w:tr w:rsidR="00757412" w:rsidRPr="005101ED" w14:paraId="2386226B" w14:textId="77777777" w:rsidTr="009F76D4">
              <w:trPr>
                <w:cantSplit/>
              </w:trPr>
              <w:tc>
                <w:tcPr>
                  <w:tcW w:w="3487" w:type="dxa"/>
                </w:tcPr>
                <w:p w14:paraId="4831C1C3" w14:textId="77777777" w:rsidR="00757412" w:rsidRPr="005101ED" w:rsidRDefault="00757412" w:rsidP="00BE256C">
                  <w:pPr>
                    <w:pStyle w:val="Bullet-Blank-2"/>
                    <w:numPr>
                      <w:ilvl w:val="0"/>
                      <w:numId w:val="0"/>
                    </w:numPr>
                    <w:rPr>
                      <w:color w:val="000000"/>
                      <w:sz w:val="24"/>
                      <w:szCs w:val="24"/>
                      <w:lang w:bidi="ar-SA"/>
                    </w:rPr>
                  </w:pPr>
                  <w:r w:rsidRPr="005101ED">
                    <w:rPr>
                      <w:color w:val="000000"/>
                      <w:sz w:val="24"/>
                      <w:szCs w:val="24"/>
                      <w:lang w:bidi="ar-SA"/>
                    </w:rPr>
                    <w:t>Loss of patellar reflexes</w:t>
                  </w:r>
                </w:p>
              </w:tc>
              <w:tc>
                <w:tcPr>
                  <w:tcW w:w="2070" w:type="dxa"/>
                </w:tcPr>
                <w:p w14:paraId="37E33C1E" w14:textId="77777777" w:rsidR="00757412" w:rsidRPr="005101ED" w:rsidRDefault="00757412" w:rsidP="001748A1">
                  <w:pPr>
                    <w:pStyle w:val="Bullet-Blank-2"/>
                    <w:numPr>
                      <w:ilvl w:val="0"/>
                      <w:numId w:val="0"/>
                    </w:numPr>
                    <w:jc w:val="center"/>
                    <w:rPr>
                      <w:sz w:val="24"/>
                      <w:szCs w:val="24"/>
                    </w:rPr>
                  </w:pPr>
                  <w:r w:rsidRPr="005101ED">
                    <w:rPr>
                      <w:sz w:val="24"/>
                      <w:szCs w:val="24"/>
                    </w:rPr>
                    <w:t>8</w:t>
                  </w:r>
                  <w:r w:rsidR="001748A1">
                    <w:rPr>
                      <w:sz w:val="24"/>
                      <w:szCs w:val="24"/>
                    </w:rPr>
                    <w:t>–</w:t>
                  </w:r>
                  <w:r w:rsidRPr="005101ED">
                    <w:rPr>
                      <w:sz w:val="24"/>
                      <w:szCs w:val="24"/>
                    </w:rPr>
                    <w:t>12</w:t>
                  </w:r>
                </w:p>
              </w:tc>
            </w:tr>
            <w:tr w:rsidR="00757412" w:rsidRPr="005101ED" w14:paraId="1208E529" w14:textId="77777777" w:rsidTr="009F76D4">
              <w:trPr>
                <w:cantSplit/>
              </w:trPr>
              <w:tc>
                <w:tcPr>
                  <w:tcW w:w="3487" w:type="dxa"/>
                </w:tcPr>
                <w:p w14:paraId="6BE31C57" w14:textId="77777777" w:rsidR="00757412" w:rsidRPr="005101ED" w:rsidRDefault="00757412" w:rsidP="00BE256C">
                  <w:pPr>
                    <w:pStyle w:val="Bullet-Blank-2"/>
                    <w:numPr>
                      <w:ilvl w:val="0"/>
                      <w:numId w:val="0"/>
                    </w:numPr>
                    <w:rPr>
                      <w:color w:val="000000"/>
                      <w:sz w:val="24"/>
                      <w:szCs w:val="24"/>
                      <w:lang w:bidi="ar-SA"/>
                    </w:rPr>
                  </w:pPr>
                  <w:r w:rsidRPr="005101ED">
                    <w:rPr>
                      <w:color w:val="000000"/>
                      <w:sz w:val="24"/>
                      <w:szCs w:val="24"/>
                      <w:lang w:bidi="ar-SA"/>
                    </w:rPr>
                    <w:t>Feelings of warmth, flushing</w:t>
                  </w:r>
                </w:p>
              </w:tc>
              <w:tc>
                <w:tcPr>
                  <w:tcW w:w="2070" w:type="dxa"/>
                </w:tcPr>
                <w:p w14:paraId="02C31BA9" w14:textId="77777777" w:rsidR="00757412" w:rsidRPr="005101ED" w:rsidRDefault="00757412" w:rsidP="001748A1">
                  <w:pPr>
                    <w:pStyle w:val="Bullet-Blank-2"/>
                    <w:numPr>
                      <w:ilvl w:val="0"/>
                      <w:numId w:val="0"/>
                    </w:numPr>
                    <w:jc w:val="center"/>
                    <w:rPr>
                      <w:sz w:val="24"/>
                      <w:szCs w:val="24"/>
                    </w:rPr>
                  </w:pPr>
                  <w:r w:rsidRPr="005101ED">
                    <w:rPr>
                      <w:sz w:val="24"/>
                      <w:szCs w:val="24"/>
                    </w:rPr>
                    <w:t>9</w:t>
                  </w:r>
                  <w:r w:rsidR="001748A1">
                    <w:rPr>
                      <w:sz w:val="24"/>
                      <w:szCs w:val="24"/>
                    </w:rPr>
                    <w:t>–</w:t>
                  </w:r>
                  <w:r w:rsidRPr="005101ED">
                    <w:rPr>
                      <w:sz w:val="24"/>
                      <w:szCs w:val="24"/>
                    </w:rPr>
                    <w:t>12</w:t>
                  </w:r>
                </w:p>
              </w:tc>
            </w:tr>
            <w:tr w:rsidR="00757412" w:rsidRPr="005101ED" w14:paraId="767F029D" w14:textId="77777777" w:rsidTr="009F76D4">
              <w:trPr>
                <w:cantSplit/>
              </w:trPr>
              <w:tc>
                <w:tcPr>
                  <w:tcW w:w="3487" w:type="dxa"/>
                </w:tcPr>
                <w:p w14:paraId="7A4C034D" w14:textId="77777777" w:rsidR="00757412" w:rsidRPr="005101ED" w:rsidRDefault="00757412" w:rsidP="00BE256C">
                  <w:pPr>
                    <w:pStyle w:val="Bullet-Blank-2"/>
                    <w:numPr>
                      <w:ilvl w:val="0"/>
                      <w:numId w:val="0"/>
                    </w:numPr>
                    <w:rPr>
                      <w:color w:val="000000"/>
                      <w:sz w:val="24"/>
                      <w:szCs w:val="24"/>
                      <w:lang w:bidi="ar-SA"/>
                    </w:rPr>
                  </w:pPr>
                  <w:r w:rsidRPr="005101ED">
                    <w:rPr>
                      <w:color w:val="000000"/>
                      <w:sz w:val="24"/>
                      <w:szCs w:val="24"/>
                      <w:lang w:bidi="ar-SA"/>
                    </w:rPr>
                    <w:t>Somnolence</w:t>
                  </w:r>
                </w:p>
              </w:tc>
              <w:tc>
                <w:tcPr>
                  <w:tcW w:w="2070" w:type="dxa"/>
                </w:tcPr>
                <w:p w14:paraId="512794A9" w14:textId="77777777" w:rsidR="00757412" w:rsidRPr="005101ED" w:rsidRDefault="001748A1" w:rsidP="00BE256C">
                  <w:pPr>
                    <w:pStyle w:val="Bullet-Blank-2"/>
                    <w:numPr>
                      <w:ilvl w:val="0"/>
                      <w:numId w:val="0"/>
                    </w:numPr>
                    <w:jc w:val="center"/>
                    <w:rPr>
                      <w:sz w:val="24"/>
                      <w:szCs w:val="24"/>
                    </w:rPr>
                  </w:pPr>
                  <w:r>
                    <w:rPr>
                      <w:sz w:val="24"/>
                      <w:szCs w:val="24"/>
                    </w:rPr>
                    <w:t>10–</w:t>
                  </w:r>
                  <w:r w:rsidR="00757412" w:rsidRPr="005101ED">
                    <w:rPr>
                      <w:sz w:val="24"/>
                      <w:szCs w:val="24"/>
                    </w:rPr>
                    <w:t>12</w:t>
                  </w:r>
                </w:p>
              </w:tc>
            </w:tr>
            <w:tr w:rsidR="00757412" w:rsidRPr="005101ED" w14:paraId="74C1408E" w14:textId="77777777" w:rsidTr="009F76D4">
              <w:trPr>
                <w:cantSplit/>
              </w:trPr>
              <w:tc>
                <w:tcPr>
                  <w:tcW w:w="3487" w:type="dxa"/>
                </w:tcPr>
                <w:p w14:paraId="01943E78" w14:textId="77777777" w:rsidR="00757412" w:rsidRPr="005101ED" w:rsidRDefault="00757412" w:rsidP="00BE256C">
                  <w:pPr>
                    <w:pStyle w:val="Bullet-Blank-2"/>
                    <w:numPr>
                      <w:ilvl w:val="0"/>
                      <w:numId w:val="0"/>
                    </w:numPr>
                    <w:rPr>
                      <w:color w:val="000000"/>
                      <w:sz w:val="24"/>
                      <w:szCs w:val="24"/>
                      <w:lang w:bidi="ar-SA"/>
                    </w:rPr>
                  </w:pPr>
                  <w:r w:rsidRPr="005101ED">
                    <w:rPr>
                      <w:color w:val="000000"/>
                      <w:sz w:val="24"/>
                      <w:szCs w:val="24"/>
                      <w:lang w:bidi="ar-SA"/>
                    </w:rPr>
                    <w:t>Respiratory difficulty/depression</w:t>
                  </w:r>
                </w:p>
              </w:tc>
              <w:tc>
                <w:tcPr>
                  <w:tcW w:w="2070" w:type="dxa"/>
                </w:tcPr>
                <w:p w14:paraId="2F2D37C5" w14:textId="77777777" w:rsidR="00757412" w:rsidRPr="005101ED" w:rsidRDefault="001748A1" w:rsidP="00BE256C">
                  <w:pPr>
                    <w:pStyle w:val="Bullet-Blank-2"/>
                    <w:numPr>
                      <w:ilvl w:val="0"/>
                      <w:numId w:val="0"/>
                    </w:numPr>
                    <w:jc w:val="center"/>
                    <w:rPr>
                      <w:sz w:val="24"/>
                      <w:szCs w:val="24"/>
                    </w:rPr>
                  </w:pPr>
                  <w:r>
                    <w:rPr>
                      <w:sz w:val="24"/>
                      <w:szCs w:val="24"/>
                    </w:rPr>
                    <w:t>12–</w:t>
                  </w:r>
                  <w:r w:rsidR="00757412" w:rsidRPr="005101ED">
                    <w:rPr>
                      <w:sz w:val="24"/>
                      <w:szCs w:val="24"/>
                    </w:rPr>
                    <w:t>16</w:t>
                  </w:r>
                </w:p>
              </w:tc>
            </w:tr>
            <w:tr w:rsidR="00757412" w:rsidRPr="005101ED" w14:paraId="3DB1F7B3" w14:textId="77777777" w:rsidTr="009F76D4">
              <w:trPr>
                <w:cantSplit/>
              </w:trPr>
              <w:tc>
                <w:tcPr>
                  <w:tcW w:w="3487" w:type="dxa"/>
                </w:tcPr>
                <w:p w14:paraId="34D67193" w14:textId="77777777" w:rsidR="00757412" w:rsidRPr="005101ED" w:rsidRDefault="00757412" w:rsidP="00BE256C">
                  <w:pPr>
                    <w:pStyle w:val="Bullet-Blank-2"/>
                    <w:numPr>
                      <w:ilvl w:val="0"/>
                      <w:numId w:val="0"/>
                    </w:numPr>
                    <w:rPr>
                      <w:color w:val="000000"/>
                      <w:sz w:val="24"/>
                      <w:szCs w:val="24"/>
                      <w:lang w:bidi="ar-SA"/>
                    </w:rPr>
                  </w:pPr>
                  <w:r w:rsidRPr="005101ED">
                    <w:rPr>
                      <w:color w:val="000000"/>
                      <w:sz w:val="24"/>
                      <w:szCs w:val="24"/>
                      <w:lang w:bidi="ar-SA"/>
                    </w:rPr>
                    <w:t>Muscular paralysis</w:t>
                  </w:r>
                </w:p>
              </w:tc>
              <w:tc>
                <w:tcPr>
                  <w:tcW w:w="2070" w:type="dxa"/>
                </w:tcPr>
                <w:p w14:paraId="21CFD884" w14:textId="77777777" w:rsidR="00757412" w:rsidRPr="005101ED" w:rsidRDefault="001748A1" w:rsidP="00BE256C">
                  <w:pPr>
                    <w:pStyle w:val="Bullet-Blank-2"/>
                    <w:numPr>
                      <w:ilvl w:val="0"/>
                      <w:numId w:val="0"/>
                    </w:numPr>
                    <w:jc w:val="center"/>
                    <w:rPr>
                      <w:sz w:val="24"/>
                      <w:szCs w:val="24"/>
                    </w:rPr>
                  </w:pPr>
                  <w:r>
                    <w:rPr>
                      <w:sz w:val="24"/>
                      <w:szCs w:val="24"/>
                    </w:rPr>
                    <w:t>15–</w:t>
                  </w:r>
                  <w:r w:rsidR="00757412" w:rsidRPr="005101ED">
                    <w:rPr>
                      <w:sz w:val="24"/>
                      <w:szCs w:val="24"/>
                    </w:rPr>
                    <w:t>17</w:t>
                  </w:r>
                </w:p>
              </w:tc>
            </w:tr>
            <w:tr w:rsidR="00757412" w:rsidRPr="005101ED" w14:paraId="187CC875" w14:textId="77777777" w:rsidTr="009F76D4">
              <w:trPr>
                <w:cantSplit/>
              </w:trPr>
              <w:tc>
                <w:tcPr>
                  <w:tcW w:w="3487" w:type="dxa"/>
                </w:tcPr>
                <w:p w14:paraId="6F786D42" w14:textId="77777777" w:rsidR="00757412" w:rsidRPr="005101ED" w:rsidRDefault="00757412" w:rsidP="00BE256C">
                  <w:pPr>
                    <w:pStyle w:val="Bullet-Blank-2"/>
                    <w:numPr>
                      <w:ilvl w:val="0"/>
                      <w:numId w:val="0"/>
                    </w:numPr>
                    <w:rPr>
                      <w:color w:val="000000"/>
                      <w:sz w:val="24"/>
                      <w:szCs w:val="24"/>
                      <w:lang w:bidi="ar-SA"/>
                    </w:rPr>
                  </w:pPr>
                  <w:r w:rsidRPr="005101ED">
                    <w:rPr>
                      <w:color w:val="000000"/>
                      <w:sz w:val="24"/>
                      <w:szCs w:val="24"/>
                      <w:lang w:bidi="ar-SA"/>
                    </w:rPr>
                    <w:t>Altered cardiac conduction</w:t>
                  </w:r>
                </w:p>
              </w:tc>
              <w:tc>
                <w:tcPr>
                  <w:tcW w:w="2070" w:type="dxa"/>
                </w:tcPr>
                <w:p w14:paraId="7A047801" w14:textId="77777777" w:rsidR="00757412" w:rsidRPr="005101ED" w:rsidRDefault="00757412" w:rsidP="00BE256C">
                  <w:pPr>
                    <w:pStyle w:val="Bullet-Blank-2"/>
                    <w:numPr>
                      <w:ilvl w:val="0"/>
                      <w:numId w:val="0"/>
                    </w:numPr>
                    <w:jc w:val="center"/>
                    <w:rPr>
                      <w:sz w:val="24"/>
                      <w:szCs w:val="24"/>
                    </w:rPr>
                  </w:pPr>
                  <w:r w:rsidRPr="005101ED">
                    <w:rPr>
                      <w:sz w:val="24"/>
                      <w:szCs w:val="24"/>
                    </w:rPr>
                    <w:t>&gt;18</w:t>
                  </w:r>
                </w:p>
              </w:tc>
            </w:tr>
            <w:tr w:rsidR="00757412" w:rsidRPr="005101ED" w14:paraId="44A10117" w14:textId="77777777" w:rsidTr="009F76D4">
              <w:trPr>
                <w:cantSplit/>
              </w:trPr>
              <w:tc>
                <w:tcPr>
                  <w:tcW w:w="3487" w:type="dxa"/>
                </w:tcPr>
                <w:p w14:paraId="0623015B" w14:textId="77777777" w:rsidR="00757412" w:rsidRPr="005101ED" w:rsidRDefault="00757412" w:rsidP="00BE256C">
                  <w:pPr>
                    <w:pStyle w:val="Bullet-Blank-2"/>
                    <w:numPr>
                      <w:ilvl w:val="0"/>
                      <w:numId w:val="0"/>
                    </w:numPr>
                    <w:rPr>
                      <w:color w:val="000000"/>
                      <w:sz w:val="24"/>
                      <w:szCs w:val="24"/>
                      <w:lang w:bidi="ar-SA"/>
                    </w:rPr>
                  </w:pPr>
                  <w:r w:rsidRPr="005101ED">
                    <w:rPr>
                      <w:color w:val="000000"/>
                      <w:sz w:val="24"/>
                      <w:szCs w:val="24"/>
                      <w:lang w:bidi="ar-SA"/>
                    </w:rPr>
                    <w:t>Cardiac arrest</w:t>
                  </w:r>
                </w:p>
              </w:tc>
              <w:tc>
                <w:tcPr>
                  <w:tcW w:w="2070" w:type="dxa"/>
                </w:tcPr>
                <w:p w14:paraId="07F7B32A" w14:textId="77777777" w:rsidR="00757412" w:rsidRPr="005101ED" w:rsidRDefault="00757412" w:rsidP="001748A1">
                  <w:pPr>
                    <w:pStyle w:val="Bullet-Blank-2"/>
                    <w:numPr>
                      <w:ilvl w:val="0"/>
                      <w:numId w:val="0"/>
                    </w:numPr>
                    <w:jc w:val="center"/>
                    <w:rPr>
                      <w:sz w:val="24"/>
                      <w:szCs w:val="24"/>
                    </w:rPr>
                  </w:pPr>
                  <w:r w:rsidRPr="005101ED">
                    <w:rPr>
                      <w:sz w:val="24"/>
                      <w:szCs w:val="24"/>
                    </w:rPr>
                    <w:t>30</w:t>
                  </w:r>
                  <w:r w:rsidR="001748A1">
                    <w:rPr>
                      <w:sz w:val="24"/>
                      <w:szCs w:val="24"/>
                    </w:rPr>
                    <w:t>–</w:t>
                  </w:r>
                  <w:r w:rsidRPr="005101ED">
                    <w:rPr>
                      <w:sz w:val="24"/>
                      <w:szCs w:val="24"/>
                    </w:rPr>
                    <w:t>35</w:t>
                  </w:r>
                </w:p>
              </w:tc>
            </w:tr>
          </w:tbl>
          <w:p w14:paraId="6FB396FC" w14:textId="77777777" w:rsidR="00757412" w:rsidRPr="005101ED" w:rsidRDefault="00757412" w:rsidP="00B94ED3">
            <w:pPr>
              <w:spacing w:after="120"/>
              <w:ind w:left="432"/>
              <w:rPr>
                <w:szCs w:val="24"/>
              </w:rPr>
            </w:pPr>
            <w:r w:rsidRPr="005101ED">
              <w:rPr>
                <w:szCs w:val="24"/>
              </w:rPr>
              <w:t>Adapted from Simpson, 2004.</w:t>
            </w:r>
            <w:r w:rsidR="00CC54CE" w:rsidRPr="00CC54CE">
              <w:rPr>
                <w:szCs w:val="24"/>
                <w:vertAlign w:val="superscript"/>
              </w:rPr>
              <w:t>10</w:t>
            </w:r>
          </w:p>
          <w:p w14:paraId="57B43443" w14:textId="77777777" w:rsidR="00757412" w:rsidRPr="005101ED" w:rsidRDefault="00757412" w:rsidP="00757412">
            <w:pPr>
              <w:rPr>
                <w:rFonts w:asciiTheme="minorBidi" w:hAnsiTheme="minorBidi" w:cstheme="minorBidi"/>
                <w:szCs w:val="24"/>
              </w:rPr>
            </w:pPr>
            <w:r w:rsidRPr="005101ED">
              <w:rPr>
                <w:szCs w:val="24"/>
              </w:rPr>
              <w:t>Standing orders for nurse response for signs and symptoms of magnesium toxicity can include</w:t>
            </w:r>
            <w:r w:rsidR="00EA6EF5">
              <w:rPr>
                <w:szCs w:val="24"/>
              </w:rPr>
              <w:t>—</w:t>
            </w:r>
          </w:p>
          <w:p w14:paraId="3745CBC7" w14:textId="77777777" w:rsidR="00757412" w:rsidRPr="005101ED" w:rsidRDefault="00757412" w:rsidP="00B935CD">
            <w:pPr>
              <w:pStyle w:val="TableBullet1a-Indentundertext"/>
            </w:pPr>
            <w:r w:rsidRPr="005101ED">
              <w:t>activating a rapid response (i.e., call for additional help)</w:t>
            </w:r>
          </w:p>
          <w:p w14:paraId="0BA7582E" w14:textId="77777777" w:rsidR="00757412" w:rsidRPr="005101ED" w:rsidRDefault="00757412" w:rsidP="00B935CD">
            <w:pPr>
              <w:pStyle w:val="TableBullet1a-Indentundertext"/>
            </w:pPr>
            <w:r w:rsidRPr="005101ED">
              <w:t>stopping the infusion</w:t>
            </w:r>
          </w:p>
          <w:p w14:paraId="2DEE89BF" w14:textId="77777777" w:rsidR="00757412" w:rsidRPr="005101ED" w:rsidRDefault="00757412" w:rsidP="00B935CD">
            <w:pPr>
              <w:pStyle w:val="TableBullet1a-Indentundertext"/>
            </w:pPr>
            <w:r w:rsidRPr="005101ED">
              <w:t>monitoring vital signs, including oxygen saturation and respiratory rate and pattern</w:t>
            </w:r>
          </w:p>
          <w:p w14:paraId="33271E3C" w14:textId="77777777" w:rsidR="00757412" w:rsidRPr="005101ED" w:rsidRDefault="00757412" w:rsidP="00B935CD">
            <w:pPr>
              <w:pStyle w:val="TableBullet1a-Indentundertext"/>
            </w:pPr>
            <w:r w:rsidRPr="005101ED">
              <w:t>drawing a STAT magnesium blood level</w:t>
            </w:r>
          </w:p>
          <w:p w14:paraId="7EBF9FF6" w14:textId="77777777" w:rsidR="00757412" w:rsidRPr="005101ED" w:rsidRDefault="00757412" w:rsidP="00B935CD">
            <w:pPr>
              <w:pStyle w:val="TableBullet1a-Indentundertext"/>
            </w:pPr>
            <w:r w:rsidRPr="005101ED">
              <w:t xml:space="preserve">If respiration is depressed, administering oxygen by face mask and administering calcium gluconate to antagonize the effects of excessive magnesium levels </w:t>
            </w:r>
          </w:p>
          <w:p w14:paraId="18689B1A" w14:textId="77777777" w:rsidR="00757412" w:rsidRPr="005101ED" w:rsidRDefault="00757412" w:rsidP="00B935CD">
            <w:pPr>
              <w:pStyle w:val="TableBullet1a-Indentundertext"/>
              <w:rPr>
                <w:rFonts w:asciiTheme="minorBidi" w:hAnsiTheme="minorBidi" w:cstheme="minorBidi"/>
              </w:rPr>
            </w:pPr>
            <w:r w:rsidRPr="005101ED">
              <w:t>If respiration is arrested, support</w:t>
            </w:r>
            <w:r w:rsidR="00EA6EF5">
              <w:t>ing</w:t>
            </w:r>
            <w:r w:rsidRPr="005101ED">
              <w:t xml:space="preserve"> ventilation with bag-valve-mask, administer</w:t>
            </w:r>
            <w:r w:rsidR="00EA6EF5">
              <w:t>ing</w:t>
            </w:r>
            <w:r w:rsidRPr="005101ED">
              <w:t xml:space="preserve"> calcium gluconate, and activat</w:t>
            </w:r>
            <w:r w:rsidR="00EA6EF5">
              <w:t>ing</w:t>
            </w:r>
            <w:r w:rsidRPr="005101ED">
              <w:t xml:space="preserve"> request for advanced airway support</w:t>
            </w:r>
          </w:p>
        </w:tc>
      </w:tr>
    </w:tbl>
    <w:p w14:paraId="7365F73A" w14:textId="77777777" w:rsidR="002B6424" w:rsidRDefault="002B6424" w:rsidP="00BD387E">
      <w:pPr>
        <w:spacing w:after="0"/>
        <w:rPr>
          <w:sz w:val="12"/>
          <w:szCs w:val="12"/>
        </w:rPr>
      </w:pPr>
    </w:p>
    <w:p w14:paraId="29CA636F" w14:textId="77777777" w:rsidR="002B6424" w:rsidRDefault="002B6424" w:rsidP="002B6424">
      <w:r>
        <w:br w:type="page"/>
      </w:r>
    </w:p>
    <w:p w14:paraId="54556813" w14:textId="2C7C89B7" w:rsidR="00BD387E" w:rsidRDefault="00BD387E" w:rsidP="00BD387E">
      <w:pPr>
        <w:spacing w:after="0"/>
        <w:rPr>
          <w:sz w:val="12"/>
          <w:szCs w:val="12"/>
        </w:rPr>
      </w:pPr>
    </w:p>
    <w:p w14:paraId="40BBFF7B" w14:textId="0744EEE6" w:rsidR="009F76D4" w:rsidRPr="001C207A" w:rsidRDefault="009F76D4" w:rsidP="009F76D4">
      <w:pPr>
        <w:pBdr>
          <w:top w:val="single" w:sz="4" w:space="1" w:color="auto"/>
          <w:left w:val="single" w:sz="4" w:space="4" w:color="auto"/>
          <w:bottom w:val="single" w:sz="4" w:space="1" w:color="auto"/>
          <w:right w:val="single" w:sz="4" w:space="4" w:color="auto"/>
        </w:pBdr>
        <w:shd w:val="clear" w:color="auto" w:fill="D9D9D9" w:themeFill="background1" w:themeFillShade="D9"/>
        <w:spacing w:after="20"/>
        <w:rPr>
          <w:sz w:val="12"/>
          <w:szCs w:val="12"/>
        </w:rPr>
      </w:pPr>
      <w:r w:rsidRPr="005101ED">
        <w:rPr>
          <w:rFonts w:asciiTheme="minorBidi" w:hAnsiTheme="minorBidi"/>
          <w:b/>
          <w:i/>
          <w:szCs w:val="24"/>
        </w:rPr>
        <w:t xml:space="preserve">Learn </w:t>
      </w:r>
      <w:r>
        <w:rPr>
          <w:rFonts w:asciiTheme="minorBidi" w:hAnsiTheme="minorBidi"/>
          <w:b/>
          <w:i/>
          <w:szCs w:val="24"/>
        </w:rPr>
        <w:t>F</w:t>
      </w:r>
      <w:r w:rsidRPr="005101ED">
        <w:rPr>
          <w:rFonts w:asciiTheme="minorBidi" w:hAnsiTheme="minorBidi"/>
          <w:b/>
          <w:i/>
          <w:szCs w:val="24"/>
        </w:rPr>
        <w:t>rom Defects (CUSP Module)</w:t>
      </w:r>
    </w:p>
    <w:tbl>
      <w:tblPr>
        <w:tblStyle w:val="TableGrid"/>
        <w:tblW w:w="9558" w:type="dxa"/>
        <w:tblLook w:val="04A0" w:firstRow="1" w:lastRow="0" w:firstColumn="1" w:lastColumn="0" w:noHBand="0" w:noVBand="1"/>
        <w:tblDescription w:val="Key Perinatal Safety Elements"/>
      </w:tblPr>
      <w:tblGrid>
        <w:gridCol w:w="3618"/>
        <w:gridCol w:w="5940"/>
      </w:tblGrid>
      <w:tr w:rsidR="00BD387E" w:rsidRPr="005101ED" w14:paraId="34BE26A0" w14:textId="77777777" w:rsidTr="009F76D4">
        <w:trPr>
          <w:cantSplit/>
          <w:tblHeader/>
        </w:trPr>
        <w:tc>
          <w:tcPr>
            <w:tcW w:w="3618" w:type="dxa"/>
          </w:tcPr>
          <w:p w14:paraId="3950ED7D" w14:textId="77777777" w:rsidR="00BD387E" w:rsidRPr="005101ED" w:rsidRDefault="00BD387E" w:rsidP="00BE256C">
            <w:pPr>
              <w:keepNext/>
              <w:rPr>
                <w:rFonts w:asciiTheme="minorBidi" w:hAnsiTheme="minorBidi" w:cstheme="minorBidi"/>
                <w:b/>
                <w:szCs w:val="24"/>
              </w:rPr>
            </w:pPr>
            <w:r w:rsidRPr="005101ED">
              <w:rPr>
                <w:rFonts w:asciiTheme="minorBidi" w:hAnsiTheme="minorBidi" w:cstheme="minorBidi"/>
                <w:b/>
                <w:szCs w:val="24"/>
              </w:rPr>
              <w:t>Key Perinatal Safety Elements</w:t>
            </w:r>
          </w:p>
        </w:tc>
        <w:tc>
          <w:tcPr>
            <w:tcW w:w="5940" w:type="dxa"/>
          </w:tcPr>
          <w:p w14:paraId="70B3973E" w14:textId="77777777" w:rsidR="00BD387E" w:rsidRPr="005101ED" w:rsidRDefault="00BD387E" w:rsidP="00BE256C">
            <w:pPr>
              <w:keepNext/>
              <w:rPr>
                <w:rFonts w:asciiTheme="minorBidi" w:hAnsiTheme="minorBidi" w:cstheme="minorBidi"/>
                <w:b/>
                <w:szCs w:val="24"/>
              </w:rPr>
            </w:pPr>
            <w:r w:rsidRPr="005101ED">
              <w:rPr>
                <w:rFonts w:asciiTheme="minorBidi" w:hAnsiTheme="minorBidi" w:cstheme="minorBidi"/>
                <w:b/>
                <w:szCs w:val="24"/>
              </w:rPr>
              <w:t>Examples</w:t>
            </w:r>
          </w:p>
        </w:tc>
      </w:tr>
      <w:tr w:rsidR="002B6424" w:rsidRPr="005101ED" w14:paraId="1023E49A" w14:textId="77777777" w:rsidTr="009F76D4">
        <w:trPr>
          <w:cantSplit/>
          <w:trHeight w:val="5038"/>
        </w:trPr>
        <w:tc>
          <w:tcPr>
            <w:tcW w:w="3618" w:type="dxa"/>
          </w:tcPr>
          <w:p w14:paraId="7DDCA0C3" w14:textId="77777777" w:rsidR="002B6424" w:rsidRPr="005101ED" w:rsidRDefault="002B6424" w:rsidP="00BE256C">
            <w:pPr>
              <w:rPr>
                <w:rFonts w:asciiTheme="minorBidi" w:hAnsiTheme="minorBidi" w:cstheme="minorBidi"/>
                <w:szCs w:val="24"/>
              </w:rPr>
            </w:pPr>
            <w:r w:rsidRPr="005101ED">
              <w:rPr>
                <w:rFonts w:asciiTheme="minorBidi" w:hAnsiTheme="minorBidi" w:cstheme="minorBidi"/>
                <w:szCs w:val="24"/>
              </w:rPr>
              <w:t xml:space="preserve">Debrief </w:t>
            </w:r>
            <w:r w:rsidRPr="005101ED">
              <w:rPr>
                <w:rFonts w:asciiTheme="minorBidi" w:hAnsiTheme="minorBidi"/>
                <w:szCs w:val="24"/>
              </w:rPr>
              <w:t xml:space="preserve">and analyze </w:t>
            </w:r>
            <w:r w:rsidRPr="005101ED">
              <w:rPr>
                <w:rFonts w:asciiTheme="minorBidi" w:hAnsiTheme="minorBidi" w:cstheme="minorBidi"/>
                <w:szCs w:val="24"/>
              </w:rPr>
              <w:t>near misses and adverse events related to magnesium sulfate use.</w:t>
            </w:r>
          </w:p>
          <w:p w14:paraId="14105479" w14:textId="77777777" w:rsidR="002B6424" w:rsidRPr="005101ED" w:rsidRDefault="002B6424" w:rsidP="00BE256C">
            <w:pPr>
              <w:pStyle w:val="ListParagraph"/>
              <w:ind w:left="72"/>
              <w:rPr>
                <w:szCs w:val="24"/>
              </w:rPr>
            </w:pPr>
          </w:p>
        </w:tc>
        <w:tc>
          <w:tcPr>
            <w:tcW w:w="5940" w:type="dxa"/>
          </w:tcPr>
          <w:p w14:paraId="518574B5" w14:textId="77777777" w:rsidR="002B6424" w:rsidRPr="005B21FF" w:rsidRDefault="002B6424" w:rsidP="001573D0">
            <w:pPr>
              <w:pStyle w:val="ListParagraph"/>
              <w:numPr>
                <w:ilvl w:val="0"/>
                <w:numId w:val="18"/>
              </w:numPr>
              <w:ind w:left="432" w:hanging="270"/>
            </w:pPr>
            <w:r w:rsidRPr="005B21FF">
              <w:t xml:space="preserve">Unit </w:t>
            </w:r>
            <w:r w:rsidRPr="001573D0">
              <w:rPr>
                <w:rFonts w:asciiTheme="minorBidi" w:hAnsiTheme="minorBidi" w:cstheme="minorBidi"/>
                <w:szCs w:val="24"/>
              </w:rPr>
              <w:t>can</w:t>
            </w:r>
            <w:r w:rsidRPr="005B21FF">
              <w:t xml:space="preserve"> decide its approach to debriefing events based on seriousness of event, expertise available, and data monito</w:t>
            </w:r>
            <w:r>
              <w:t>ring and tracking capabilities.</w:t>
            </w:r>
          </w:p>
          <w:p w14:paraId="07DB19ED" w14:textId="0DA8856E" w:rsidR="002B6424" w:rsidRPr="0000751E" w:rsidRDefault="002B6424" w:rsidP="001573D0">
            <w:pPr>
              <w:pStyle w:val="ListParagraph"/>
              <w:numPr>
                <w:ilvl w:val="1"/>
                <w:numId w:val="18"/>
              </w:numPr>
              <w:spacing w:after="200"/>
              <w:ind w:left="792" w:hanging="270"/>
              <w:rPr>
                <w:rFonts w:asciiTheme="minorBidi" w:hAnsiTheme="minorBidi" w:cstheme="minorBidi"/>
                <w:szCs w:val="24"/>
              </w:rPr>
            </w:pPr>
            <w:r w:rsidRPr="005B21FF">
              <w:rPr>
                <w:rFonts w:asciiTheme="minorBidi" w:hAnsiTheme="minorBidi" w:cstheme="minorBidi"/>
                <w:szCs w:val="24"/>
              </w:rPr>
              <w:t xml:space="preserve">Informal debriefings by clinical team immediately following event </w:t>
            </w:r>
            <w:r w:rsidRPr="0000751E">
              <w:rPr>
                <w:rFonts w:asciiTheme="minorBidi" w:hAnsiTheme="minorBidi" w:cstheme="minorBidi"/>
                <w:szCs w:val="24"/>
              </w:rPr>
              <w:t xml:space="preserve">using an approach that does not shame or blame individuals. This </w:t>
            </w:r>
            <w:r w:rsidR="00B94ED3">
              <w:rPr>
                <w:rFonts w:asciiTheme="minorBidi" w:hAnsiTheme="minorBidi" w:cstheme="minorBidi"/>
                <w:szCs w:val="24"/>
              </w:rPr>
              <w:t xml:space="preserve">approach </w:t>
            </w:r>
            <w:r w:rsidRPr="0000751E">
              <w:rPr>
                <w:rFonts w:asciiTheme="minorBidi" w:hAnsiTheme="minorBidi" w:cstheme="minorBidi"/>
                <w:szCs w:val="24"/>
              </w:rPr>
              <w:t>allows for understanding of what went well, what could have gone better</w:t>
            </w:r>
            <w:r>
              <w:rPr>
                <w:rFonts w:asciiTheme="minorBidi" w:hAnsiTheme="minorBidi" w:cstheme="minorBidi"/>
                <w:szCs w:val="24"/>
              </w:rPr>
              <w:t>,</w:t>
            </w:r>
            <w:r w:rsidRPr="0000751E">
              <w:rPr>
                <w:rFonts w:asciiTheme="minorBidi" w:hAnsiTheme="minorBidi" w:cstheme="minorBidi"/>
                <w:szCs w:val="24"/>
              </w:rPr>
              <w:t xml:space="preserve"> and what could be done differently next time.</w:t>
            </w:r>
          </w:p>
          <w:p w14:paraId="7B7E4839" w14:textId="77777777" w:rsidR="002B6424" w:rsidRPr="005B21FF" w:rsidRDefault="002B6424" w:rsidP="001573D0">
            <w:pPr>
              <w:pStyle w:val="ListParagraph"/>
              <w:numPr>
                <w:ilvl w:val="1"/>
                <w:numId w:val="18"/>
              </w:numPr>
              <w:ind w:left="792" w:hanging="270"/>
              <w:rPr>
                <w:rFonts w:asciiTheme="minorBidi" w:hAnsiTheme="minorBidi" w:cstheme="minorBidi"/>
                <w:szCs w:val="24"/>
              </w:rPr>
            </w:pPr>
            <w:r w:rsidRPr="005B21FF">
              <w:rPr>
                <w:rFonts w:asciiTheme="minorBidi" w:hAnsiTheme="minorBidi" w:cstheme="minorBidi"/>
                <w:szCs w:val="24"/>
              </w:rPr>
              <w:t>Regular forum</w:t>
            </w:r>
            <w:r w:rsidRPr="0000751E">
              <w:rPr>
                <w:rFonts w:asciiTheme="minorBidi" w:hAnsiTheme="minorBidi" w:cstheme="minorBidi"/>
                <w:szCs w:val="24"/>
              </w:rPr>
              <w:t xml:space="preserve"> with a multidisciplinary team</w:t>
            </w:r>
            <w:r w:rsidRPr="005B21FF">
              <w:rPr>
                <w:rFonts w:asciiTheme="minorBidi" w:hAnsiTheme="minorBidi" w:cstheme="minorBidi"/>
                <w:szCs w:val="24"/>
              </w:rPr>
              <w:t xml:space="preserve"> </w:t>
            </w:r>
            <w:r w:rsidRPr="00D74F10">
              <w:rPr>
                <w:rFonts w:asciiTheme="minorBidi" w:eastAsia="Calibri" w:hAnsiTheme="minorBidi"/>
              </w:rPr>
              <w:t>can help the unit learn from defects and sensemaking</w:t>
            </w:r>
            <w:r>
              <w:rPr>
                <w:rFonts w:asciiTheme="minorBidi" w:eastAsia="Calibri" w:hAnsiTheme="minorBidi"/>
              </w:rPr>
              <w:t xml:space="preserve"> using the following tools</w:t>
            </w:r>
            <w:r w:rsidRPr="00D74F10">
              <w:rPr>
                <w:rFonts w:asciiTheme="minorBidi" w:eastAsia="Calibri" w:hAnsiTheme="minorBidi"/>
              </w:rPr>
              <w:t>:</w:t>
            </w:r>
          </w:p>
          <w:p w14:paraId="36A5BC93" w14:textId="068EDD44" w:rsidR="002B6424" w:rsidRPr="0000751E" w:rsidRDefault="001573D0" w:rsidP="001573D0">
            <w:pPr>
              <w:pStyle w:val="ListParagraph"/>
              <w:numPr>
                <w:ilvl w:val="2"/>
                <w:numId w:val="5"/>
              </w:numPr>
              <w:spacing w:after="60"/>
              <w:ind w:left="1692"/>
              <w:rPr>
                <w:rFonts w:asciiTheme="minorBidi" w:hAnsiTheme="minorBidi" w:cstheme="minorBidi"/>
                <w:szCs w:val="24"/>
              </w:rPr>
            </w:pPr>
            <w:r>
              <w:rPr>
                <w:rFonts w:asciiTheme="minorBidi" w:hAnsiTheme="minorBidi" w:cstheme="minorBidi"/>
                <w:szCs w:val="24"/>
              </w:rPr>
              <w:t>Discovery form</w:t>
            </w:r>
          </w:p>
          <w:p w14:paraId="0F4035A3" w14:textId="77777777" w:rsidR="002B6424" w:rsidRPr="005B21FF" w:rsidRDefault="002B6424" w:rsidP="001573D0">
            <w:pPr>
              <w:pStyle w:val="ListParagraph"/>
              <w:numPr>
                <w:ilvl w:val="2"/>
                <w:numId w:val="5"/>
              </w:numPr>
              <w:spacing w:after="60"/>
              <w:ind w:left="1692"/>
              <w:rPr>
                <w:rFonts w:asciiTheme="minorBidi" w:hAnsiTheme="minorBidi" w:cstheme="minorBidi"/>
                <w:szCs w:val="24"/>
              </w:rPr>
            </w:pPr>
            <w:r w:rsidRPr="0000751E">
              <w:rPr>
                <w:rFonts w:asciiTheme="minorBidi" w:hAnsiTheme="minorBidi" w:cstheme="minorBidi"/>
                <w:szCs w:val="24"/>
              </w:rPr>
              <w:t>Root cause analysis</w:t>
            </w:r>
          </w:p>
          <w:p w14:paraId="2D5666B6" w14:textId="77777777" w:rsidR="002B6424" w:rsidRPr="005B21FF" w:rsidRDefault="002B6424" w:rsidP="001573D0">
            <w:pPr>
              <w:pStyle w:val="ListParagraph"/>
              <w:numPr>
                <w:ilvl w:val="2"/>
                <w:numId w:val="5"/>
              </w:numPr>
              <w:spacing w:after="60"/>
              <w:ind w:left="1692"/>
              <w:rPr>
                <w:rFonts w:asciiTheme="minorBidi" w:hAnsiTheme="minorBidi" w:cstheme="minorBidi"/>
                <w:szCs w:val="24"/>
              </w:rPr>
            </w:pPr>
            <w:r w:rsidRPr="0000751E">
              <w:rPr>
                <w:rFonts w:asciiTheme="minorBidi" w:hAnsiTheme="minorBidi" w:cstheme="minorBidi"/>
                <w:szCs w:val="24"/>
              </w:rPr>
              <w:t>Eindhoven model</w:t>
            </w:r>
          </w:p>
          <w:p w14:paraId="66AF2C4E" w14:textId="77777777" w:rsidR="002B6424" w:rsidRPr="0000751E" w:rsidRDefault="002B6424" w:rsidP="001573D0">
            <w:pPr>
              <w:pStyle w:val="ListParagraph"/>
              <w:numPr>
                <w:ilvl w:val="2"/>
                <w:numId w:val="5"/>
              </w:numPr>
              <w:spacing w:after="60"/>
              <w:ind w:left="1692"/>
              <w:rPr>
                <w:rFonts w:asciiTheme="minorBidi" w:hAnsiTheme="minorBidi" w:cstheme="minorBidi"/>
                <w:szCs w:val="24"/>
              </w:rPr>
            </w:pPr>
            <w:r w:rsidRPr="0000751E">
              <w:rPr>
                <w:rFonts w:asciiTheme="minorBidi" w:hAnsiTheme="minorBidi" w:cstheme="minorBidi"/>
                <w:szCs w:val="24"/>
              </w:rPr>
              <w:t>Failure mode and effects analysis</w:t>
            </w:r>
          </w:p>
          <w:p w14:paraId="6943A485" w14:textId="77777777" w:rsidR="002B6424" w:rsidRPr="0000751E" w:rsidRDefault="002B6424" w:rsidP="001573D0">
            <w:pPr>
              <w:pStyle w:val="ListParagraph"/>
              <w:numPr>
                <w:ilvl w:val="2"/>
                <w:numId w:val="5"/>
              </w:numPr>
              <w:spacing w:after="60"/>
              <w:ind w:left="1692"/>
              <w:rPr>
                <w:rFonts w:asciiTheme="minorBidi" w:hAnsiTheme="minorBidi" w:cstheme="minorBidi"/>
                <w:szCs w:val="24"/>
              </w:rPr>
            </w:pPr>
            <w:r w:rsidRPr="0000751E">
              <w:rPr>
                <w:rFonts w:asciiTheme="minorBidi" w:hAnsiTheme="minorBidi" w:cstheme="minorBidi"/>
                <w:szCs w:val="24"/>
              </w:rPr>
              <w:t>Probabilistic risk assessment</w:t>
            </w:r>
          </w:p>
          <w:p w14:paraId="630B69A4" w14:textId="77777777" w:rsidR="002B6424" w:rsidRPr="0000751E" w:rsidRDefault="002B6424" w:rsidP="001573D0">
            <w:pPr>
              <w:pStyle w:val="ListParagraph"/>
              <w:numPr>
                <w:ilvl w:val="2"/>
                <w:numId w:val="5"/>
              </w:numPr>
              <w:spacing w:after="60"/>
              <w:ind w:left="1692"/>
              <w:rPr>
                <w:rFonts w:asciiTheme="minorBidi" w:hAnsiTheme="minorBidi" w:cstheme="minorBidi"/>
                <w:szCs w:val="24"/>
              </w:rPr>
            </w:pPr>
            <w:r w:rsidRPr="0000751E">
              <w:rPr>
                <w:rFonts w:asciiTheme="minorBidi" w:hAnsiTheme="minorBidi" w:cstheme="minorBidi"/>
                <w:szCs w:val="24"/>
              </w:rPr>
              <w:t>Causal tree worksheet</w:t>
            </w:r>
          </w:p>
          <w:p w14:paraId="47E0A4ED" w14:textId="77777777" w:rsidR="002B6424" w:rsidRPr="002B6424" w:rsidRDefault="002B6424" w:rsidP="001573D0">
            <w:pPr>
              <w:pStyle w:val="ListParagraph"/>
              <w:numPr>
                <w:ilvl w:val="2"/>
                <w:numId w:val="5"/>
              </w:numPr>
              <w:spacing w:after="60"/>
              <w:ind w:left="1692"/>
              <w:rPr>
                <w:rFonts w:asciiTheme="minorBidi" w:hAnsiTheme="minorBidi" w:cstheme="minorBidi"/>
                <w:szCs w:val="24"/>
              </w:rPr>
            </w:pPr>
            <w:r w:rsidRPr="0000751E">
              <w:rPr>
                <w:rFonts w:asciiTheme="minorBidi" w:hAnsiTheme="minorBidi" w:cstheme="minorBidi"/>
                <w:szCs w:val="24"/>
              </w:rPr>
              <w:t>Interdisciplinary case reviews</w:t>
            </w:r>
          </w:p>
        </w:tc>
      </w:tr>
      <w:tr w:rsidR="00BD387E" w:rsidRPr="005101ED" w14:paraId="19A4B133" w14:textId="77777777" w:rsidTr="009F76D4">
        <w:trPr>
          <w:cantSplit/>
        </w:trPr>
        <w:tc>
          <w:tcPr>
            <w:tcW w:w="3618" w:type="dxa"/>
          </w:tcPr>
          <w:p w14:paraId="4C05ACE1" w14:textId="77777777" w:rsidR="00BD387E" w:rsidRPr="005101ED" w:rsidRDefault="00BD387E" w:rsidP="00BE256C">
            <w:pPr>
              <w:pStyle w:val="ListParagraph"/>
              <w:ind w:left="0" w:hanging="18"/>
              <w:rPr>
                <w:szCs w:val="24"/>
              </w:rPr>
            </w:pPr>
            <w:r w:rsidRPr="005101ED">
              <w:rPr>
                <w:rFonts w:asciiTheme="minorBidi" w:hAnsiTheme="minorBidi" w:cstheme="minorBidi"/>
                <w:szCs w:val="24"/>
              </w:rPr>
              <w:t>Have a process in place to review use of magnesium sulfate outside of defined indications.</w:t>
            </w:r>
          </w:p>
        </w:tc>
        <w:tc>
          <w:tcPr>
            <w:tcW w:w="5940" w:type="dxa"/>
          </w:tcPr>
          <w:p w14:paraId="10C611C7" w14:textId="77777777" w:rsidR="00BD387E" w:rsidRPr="005101ED" w:rsidRDefault="00BD387E" w:rsidP="00BE256C">
            <w:pPr>
              <w:rPr>
                <w:szCs w:val="24"/>
              </w:rPr>
            </w:pPr>
            <w:r w:rsidRPr="005101ED">
              <w:rPr>
                <w:szCs w:val="24"/>
              </w:rPr>
              <w:t xml:space="preserve">Unit can decide its approach to reviewing cases </w:t>
            </w:r>
            <w:r w:rsidRPr="005101ED">
              <w:rPr>
                <w:rFonts w:asciiTheme="minorBidi" w:hAnsiTheme="minorBidi" w:cstheme="minorBidi"/>
                <w:szCs w:val="24"/>
              </w:rPr>
              <w:t>where magnesium sulfate was used outside of the unit’s established criteria for use. This might include an existing medical peer-review process or review by a perinatal safety or quality committee.</w:t>
            </w:r>
          </w:p>
        </w:tc>
      </w:tr>
      <w:tr w:rsidR="00BD387E" w:rsidRPr="005101ED" w14:paraId="7BA5D9C7" w14:textId="77777777" w:rsidTr="009F76D4">
        <w:trPr>
          <w:cantSplit/>
        </w:trPr>
        <w:tc>
          <w:tcPr>
            <w:tcW w:w="3618" w:type="dxa"/>
          </w:tcPr>
          <w:p w14:paraId="5E2EA3F4" w14:textId="77777777" w:rsidR="00BD387E" w:rsidRPr="005101ED" w:rsidRDefault="00BD387E" w:rsidP="00BE256C">
            <w:pPr>
              <w:rPr>
                <w:rFonts w:asciiTheme="minorBidi" w:hAnsiTheme="minorBidi" w:cstheme="minorBidi"/>
                <w:szCs w:val="24"/>
              </w:rPr>
            </w:pPr>
            <w:r w:rsidRPr="005101ED">
              <w:rPr>
                <w:szCs w:val="24"/>
              </w:rPr>
              <w:t>Have a process in place to review severe maternal or neonatal morbidity and mortality events.</w:t>
            </w:r>
            <w:r w:rsidR="005A0150">
              <w:rPr>
                <w:szCs w:val="24"/>
              </w:rPr>
              <w:t xml:space="preserve"> </w:t>
            </w:r>
          </w:p>
        </w:tc>
        <w:tc>
          <w:tcPr>
            <w:tcW w:w="5940" w:type="dxa"/>
          </w:tcPr>
          <w:p w14:paraId="3E54AAD9" w14:textId="77777777" w:rsidR="00BD387E" w:rsidRPr="005101ED" w:rsidRDefault="00BD387E" w:rsidP="00BE256C">
            <w:pPr>
              <w:spacing w:after="60"/>
              <w:rPr>
                <w:szCs w:val="24"/>
              </w:rPr>
            </w:pPr>
            <w:r w:rsidRPr="005101ED">
              <w:rPr>
                <w:szCs w:val="24"/>
              </w:rPr>
              <w:t>Unit can decide its approach to reviewing cases of severe maternal or neonatal morbidity or mortality.</w:t>
            </w:r>
            <w:r w:rsidR="005A0150">
              <w:rPr>
                <w:szCs w:val="24"/>
              </w:rPr>
              <w:t xml:space="preserve"> </w:t>
            </w:r>
            <w:r w:rsidRPr="005101ED">
              <w:rPr>
                <w:szCs w:val="24"/>
              </w:rPr>
              <w:t>This might include an existing medical peer-review process or review by a perinatal safety or quality committee.</w:t>
            </w:r>
          </w:p>
          <w:p w14:paraId="2C7D7690" w14:textId="77777777" w:rsidR="00F50C29" w:rsidRDefault="00BD387E" w:rsidP="003A23B7">
            <w:pPr>
              <w:spacing w:after="60"/>
              <w:rPr>
                <w:szCs w:val="24"/>
              </w:rPr>
            </w:pPr>
            <w:r w:rsidRPr="005101ED">
              <w:rPr>
                <w:szCs w:val="24"/>
              </w:rPr>
              <w:t>A sample process and forms for a committee review are available at the Council on Patient Safety in Women’s Health Care</w:t>
            </w:r>
            <w:r w:rsidR="003A23B7">
              <w:rPr>
                <w:szCs w:val="24"/>
              </w:rPr>
              <w:t>,</w:t>
            </w:r>
            <w:r w:rsidR="00EA6EF5">
              <w:rPr>
                <w:szCs w:val="24"/>
              </w:rPr>
              <w:t xml:space="preserve"> </w:t>
            </w:r>
            <w:hyperlink r:id="rId8" w:history="1">
              <w:r w:rsidRPr="005101ED">
                <w:rPr>
                  <w:rStyle w:val="Hyperlink"/>
                  <w:szCs w:val="24"/>
                </w:rPr>
                <w:t>www.safehealthcareforeverywoman.org</w:t>
              </w:r>
            </w:hyperlink>
            <w:r w:rsidR="00EA6EF5">
              <w:rPr>
                <w:rStyle w:val="Hyperlink"/>
                <w:szCs w:val="24"/>
              </w:rPr>
              <w:t>.</w:t>
            </w:r>
            <w:r w:rsidR="005A0150">
              <w:rPr>
                <w:szCs w:val="24"/>
              </w:rPr>
              <w:t xml:space="preserve"> </w:t>
            </w:r>
          </w:p>
          <w:p w14:paraId="512B0D30" w14:textId="643A366C" w:rsidR="00BD387E" w:rsidRPr="005101ED" w:rsidRDefault="00BD387E" w:rsidP="003A23B7">
            <w:pPr>
              <w:spacing w:after="60"/>
              <w:rPr>
                <w:rFonts w:asciiTheme="minorBidi" w:hAnsiTheme="minorBidi" w:cstheme="minorBidi"/>
                <w:szCs w:val="24"/>
              </w:rPr>
            </w:pPr>
            <w:r w:rsidRPr="005101ED">
              <w:rPr>
                <w:szCs w:val="24"/>
              </w:rPr>
              <w:t>Select “Get SMM Forms.”</w:t>
            </w:r>
          </w:p>
        </w:tc>
      </w:tr>
      <w:tr w:rsidR="00BD387E" w:rsidRPr="005101ED" w14:paraId="0ED7530E" w14:textId="77777777" w:rsidTr="009F76D4">
        <w:trPr>
          <w:cantSplit/>
        </w:trPr>
        <w:tc>
          <w:tcPr>
            <w:tcW w:w="3618" w:type="dxa"/>
          </w:tcPr>
          <w:p w14:paraId="24A0A45A" w14:textId="77777777" w:rsidR="00BD387E" w:rsidRPr="005101ED" w:rsidRDefault="00BD387E" w:rsidP="00BE256C">
            <w:pPr>
              <w:pStyle w:val="ListParagraph"/>
              <w:ind w:left="0" w:hanging="18"/>
              <w:rPr>
                <w:szCs w:val="24"/>
              </w:rPr>
            </w:pPr>
            <w:r w:rsidRPr="005101ED">
              <w:rPr>
                <w:szCs w:val="24"/>
              </w:rPr>
              <w:t>Share outcomes or process improvements from the informal (debriefing) and formal analysis with staff to achieve transparency and organizational learning.</w:t>
            </w:r>
          </w:p>
        </w:tc>
        <w:tc>
          <w:tcPr>
            <w:tcW w:w="5940" w:type="dxa"/>
          </w:tcPr>
          <w:p w14:paraId="41CDCA51" w14:textId="72190DE5" w:rsidR="00BD387E" w:rsidRPr="005101ED" w:rsidRDefault="00BD387E" w:rsidP="00B94ED3">
            <w:pPr>
              <w:spacing w:after="60"/>
              <w:rPr>
                <w:szCs w:val="24"/>
              </w:rPr>
            </w:pPr>
            <w:r w:rsidRPr="005101ED">
              <w:rPr>
                <w:szCs w:val="24"/>
              </w:rPr>
              <w:t xml:space="preserve">Sites </w:t>
            </w:r>
            <w:r w:rsidRPr="005101ED">
              <w:rPr>
                <w:rFonts w:asciiTheme="minorBidi" w:hAnsiTheme="minorBidi" w:cstheme="minorBidi"/>
                <w:szCs w:val="24"/>
              </w:rPr>
              <w:t>can</w:t>
            </w:r>
            <w:r w:rsidRPr="005101ED">
              <w:rPr>
                <w:szCs w:val="24"/>
              </w:rPr>
              <w:t xml:space="preserve"> decide how often</w:t>
            </w:r>
            <w:r w:rsidR="00B94ED3">
              <w:rPr>
                <w:szCs w:val="24"/>
              </w:rPr>
              <w:t xml:space="preserve"> </w:t>
            </w:r>
            <w:r w:rsidR="00B94ED3" w:rsidRPr="005101ED">
              <w:rPr>
                <w:szCs w:val="24"/>
              </w:rPr>
              <w:t>this information will be shared</w:t>
            </w:r>
            <w:r w:rsidRPr="005101ED">
              <w:rPr>
                <w:szCs w:val="24"/>
              </w:rPr>
              <w:t>, how much</w:t>
            </w:r>
            <w:r w:rsidR="00B94ED3">
              <w:rPr>
                <w:szCs w:val="24"/>
              </w:rPr>
              <w:t xml:space="preserve"> </w:t>
            </w:r>
            <w:r w:rsidR="00B94ED3" w:rsidRPr="005101ED">
              <w:rPr>
                <w:szCs w:val="24"/>
              </w:rPr>
              <w:t>will be shared</w:t>
            </w:r>
            <w:r w:rsidRPr="005101ED">
              <w:rPr>
                <w:szCs w:val="24"/>
              </w:rPr>
              <w:t xml:space="preserve">, and </w:t>
            </w:r>
            <w:r w:rsidR="002B6424">
              <w:rPr>
                <w:szCs w:val="24"/>
              </w:rPr>
              <w:t>with</w:t>
            </w:r>
            <w:r w:rsidRPr="005101ED">
              <w:rPr>
                <w:szCs w:val="24"/>
              </w:rPr>
              <w:t xml:space="preserve"> whom</w:t>
            </w:r>
            <w:r w:rsidR="00B94ED3">
              <w:rPr>
                <w:szCs w:val="24"/>
              </w:rPr>
              <w:t>,</w:t>
            </w:r>
            <w:r w:rsidRPr="005101ED">
              <w:rPr>
                <w:szCs w:val="24"/>
              </w:rPr>
              <w:t xml:space="preserve"> and whether this </w:t>
            </w:r>
            <w:r w:rsidR="00B94ED3">
              <w:rPr>
                <w:szCs w:val="24"/>
              </w:rPr>
              <w:t>should be</w:t>
            </w:r>
            <w:r w:rsidRPr="005101ED">
              <w:rPr>
                <w:szCs w:val="24"/>
              </w:rPr>
              <w:t xml:space="preserve"> specified in a unit policy or handled more informally.</w:t>
            </w:r>
          </w:p>
        </w:tc>
      </w:tr>
    </w:tbl>
    <w:p w14:paraId="7599FA74" w14:textId="38671C71" w:rsidR="00BD387E" w:rsidRDefault="00BD387E" w:rsidP="00BD387E">
      <w:pPr>
        <w:spacing w:after="0"/>
        <w:rPr>
          <w:sz w:val="12"/>
          <w:szCs w:val="12"/>
        </w:rPr>
      </w:pPr>
    </w:p>
    <w:p w14:paraId="66BAFEA1" w14:textId="2EC74FB0" w:rsidR="009F76D4" w:rsidRPr="001C207A" w:rsidRDefault="009F76D4" w:rsidP="009F76D4">
      <w:pPr>
        <w:pBdr>
          <w:top w:val="single" w:sz="4" w:space="1" w:color="auto"/>
          <w:left w:val="single" w:sz="4" w:space="4" w:color="auto"/>
          <w:bottom w:val="single" w:sz="4" w:space="1" w:color="auto"/>
          <w:right w:val="single" w:sz="4" w:space="4" w:color="auto"/>
        </w:pBdr>
        <w:shd w:val="clear" w:color="auto" w:fill="D9D9D9" w:themeFill="background1" w:themeFillShade="D9"/>
        <w:spacing w:after="20"/>
        <w:rPr>
          <w:sz w:val="12"/>
          <w:szCs w:val="12"/>
        </w:rPr>
      </w:pPr>
      <w:r w:rsidRPr="005101ED">
        <w:rPr>
          <w:rFonts w:asciiTheme="minorBidi" w:hAnsiTheme="minorBidi"/>
          <w:b/>
          <w:i/>
          <w:szCs w:val="24"/>
        </w:rPr>
        <w:t>Simulation (Safety Program for Perinatal Care Signature Element)</w:t>
      </w:r>
    </w:p>
    <w:tbl>
      <w:tblPr>
        <w:tblStyle w:val="TableGrid"/>
        <w:tblW w:w="9558" w:type="dxa"/>
        <w:tblLayout w:type="fixed"/>
        <w:tblLook w:val="04A0" w:firstRow="1" w:lastRow="0" w:firstColumn="1" w:lastColumn="0" w:noHBand="0" w:noVBand="1"/>
        <w:tblDescription w:val="Key Perinatal Safety Elements"/>
      </w:tblPr>
      <w:tblGrid>
        <w:gridCol w:w="3618"/>
        <w:gridCol w:w="5940"/>
      </w:tblGrid>
      <w:tr w:rsidR="00BD387E" w:rsidRPr="005101ED" w14:paraId="72FE9CDB" w14:textId="77777777" w:rsidTr="009F76D4">
        <w:trPr>
          <w:cantSplit/>
          <w:tblHeader/>
        </w:trPr>
        <w:tc>
          <w:tcPr>
            <w:tcW w:w="3618" w:type="dxa"/>
          </w:tcPr>
          <w:p w14:paraId="179A0FD0" w14:textId="77777777" w:rsidR="00BD387E" w:rsidRPr="005101ED" w:rsidRDefault="00BD387E" w:rsidP="00BE256C">
            <w:pPr>
              <w:keepNext/>
              <w:rPr>
                <w:rFonts w:asciiTheme="minorBidi" w:hAnsiTheme="minorBidi" w:cstheme="minorBidi"/>
                <w:b/>
                <w:szCs w:val="24"/>
              </w:rPr>
            </w:pPr>
            <w:r w:rsidRPr="005101ED">
              <w:rPr>
                <w:rFonts w:asciiTheme="minorBidi" w:hAnsiTheme="minorBidi" w:cstheme="minorBidi"/>
                <w:b/>
                <w:szCs w:val="24"/>
              </w:rPr>
              <w:t>Key Perinatal Safety Elements</w:t>
            </w:r>
          </w:p>
        </w:tc>
        <w:tc>
          <w:tcPr>
            <w:tcW w:w="5940" w:type="dxa"/>
          </w:tcPr>
          <w:p w14:paraId="0C5D5125" w14:textId="77777777" w:rsidR="00BD387E" w:rsidRPr="005101ED" w:rsidRDefault="00BD387E" w:rsidP="00BE256C">
            <w:pPr>
              <w:keepNext/>
              <w:rPr>
                <w:rFonts w:asciiTheme="minorBidi" w:hAnsiTheme="minorBidi" w:cstheme="minorBidi"/>
                <w:b/>
                <w:szCs w:val="24"/>
              </w:rPr>
            </w:pPr>
            <w:r w:rsidRPr="005101ED">
              <w:rPr>
                <w:rFonts w:asciiTheme="minorBidi" w:hAnsiTheme="minorBidi" w:cstheme="minorBidi"/>
                <w:b/>
                <w:szCs w:val="24"/>
              </w:rPr>
              <w:t>Examples</w:t>
            </w:r>
          </w:p>
        </w:tc>
      </w:tr>
      <w:tr w:rsidR="00BD387E" w:rsidRPr="005101ED" w14:paraId="0A379B28" w14:textId="77777777" w:rsidTr="009F76D4">
        <w:trPr>
          <w:cantSplit/>
          <w:trHeight w:val="3068"/>
        </w:trPr>
        <w:tc>
          <w:tcPr>
            <w:tcW w:w="3618" w:type="dxa"/>
          </w:tcPr>
          <w:p w14:paraId="2CD4620A" w14:textId="1ADA8282" w:rsidR="00CC54CE" w:rsidRDefault="00B94ED3" w:rsidP="00BE256C">
            <w:pPr>
              <w:rPr>
                <w:szCs w:val="24"/>
              </w:rPr>
            </w:pPr>
            <w:r>
              <w:rPr>
                <w:szCs w:val="24"/>
              </w:rPr>
              <w:t>Sample s</w:t>
            </w:r>
            <w:r w:rsidR="00CC54CE">
              <w:rPr>
                <w:szCs w:val="24"/>
              </w:rPr>
              <w:t>cenarios:</w:t>
            </w:r>
            <w:r w:rsidR="00CC54CE">
              <w:rPr>
                <w:szCs w:val="24"/>
              </w:rPr>
              <w:br/>
            </w:r>
          </w:p>
          <w:p w14:paraId="6AC1E36F" w14:textId="77777777" w:rsidR="00BD387E" w:rsidRPr="00CC54CE" w:rsidRDefault="00BD387E" w:rsidP="00AD04A0">
            <w:pPr>
              <w:pStyle w:val="ListParagraph"/>
              <w:numPr>
                <w:ilvl w:val="0"/>
                <w:numId w:val="17"/>
              </w:numPr>
              <w:spacing w:after="120"/>
              <w:contextualSpacing w:val="0"/>
              <w:rPr>
                <w:rFonts w:eastAsia="Calibri" w:cs="Arial"/>
                <w:szCs w:val="24"/>
              </w:rPr>
            </w:pPr>
            <w:r w:rsidRPr="00CC54CE">
              <w:rPr>
                <w:rFonts w:eastAsia="Calibri" w:cs="Arial"/>
                <w:szCs w:val="24"/>
              </w:rPr>
              <w:t>Magnesium sulfate toxicity</w:t>
            </w:r>
          </w:p>
          <w:p w14:paraId="2E478747" w14:textId="1CE6D1FE" w:rsidR="00BD387E" w:rsidRPr="00CC54CE" w:rsidRDefault="00BD387E" w:rsidP="00AD04A0">
            <w:pPr>
              <w:pStyle w:val="ListParagraph"/>
              <w:numPr>
                <w:ilvl w:val="0"/>
                <w:numId w:val="17"/>
              </w:numPr>
              <w:spacing w:after="120"/>
              <w:contextualSpacing w:val="0"/>
              <w:rPr>
                <w:rFonts w:eastAsia="Calibri" w:cs="Arial"/>
                <w:szCs w:val="24"/>
              </w:rPr>
            </w:pPr>
            <w:r w:rsidRPr="00CC54CE">
              <w:rPr>
                <w:rFonts w:eastAsia="Calibri" w:cs="Arial"/>
                <w:szCs w:val="24"/>
              </w:rPr>
              <w:t>Preeclampsia/</w:t>
            </w:r>
            <w:r w:rsidR="000B3662">
              <w:rPr>
                <w:rFonts w:eastAsia="Calibri" w:cs="Arial"/>
                <w:szCs w:val="24"/>
              </w:rPr>
              <w:t>seizure</w:t>
            </w:r>
          </w:p>
        </w:tc>
        <w:tc>
          <w:tcPr>
            <w:tcW w:w="5940" w:type="dxa"/>
          </w:tcPr>
          <w:p w14:paraId="091D7993" w14:textId="77777777" w:rsidR="00BD387E" w:rsidRPr="001573D0" w:rsidRDefault="00BD387E" w:rsidP="001573D0">
            <w:pPr>
              <w:pStyle w:val="ListParagraph"/>
              <w:numPr>
                <w:ilvl w:val="0"/>
                <w:numId w:val="17"/>
              </w:numPr>
              <w:spacing w:after="60"/>
              <w:ind w:left="432"/>
              <w:rPr>
                <w:rFonts w:asciiTheme="minorBidi" w:eastAsia="Calibri" w:hAnsiTheme="minorBidi"/>
                <w:szCs w:val="24"/>
              </w:rPr>
            </w:pPr>
            <w:r w:rsidRPr="001573D0">
              <w:rPr>
                <w:rFonts w:asciiTheme="minorBidi" w:eastAsia="Calibri" w:hAnsiTheme="minorBidi"/>
                <w:szCs w:val="24"/>
              </w:rPr>
              <w:t>Two sample scenarios available through the Safety Program for Perinatal Care can be used to train teams on the key perinatal safety elements related to magnesium sulfate use. This scenario reinforces teamwork and communication related to</w:t>
            </w:r>
            <w:r w:rsidR="00EA6EF5" w:rsidRPr="001573D0">
              <w:rPr>
                <w:rFonts w:asciiTheme="minorBidi" w:eastAsia="Calibri" w:hAnsiTheme="minorBidi"/>
                <w:szCs w:val="24"/>
              </w:rPr>
              <w:t>—</w:t>
            </w:r>
          </w:p>
          <w:p w14:paraId="4ACDBA84" w14:textId="77777777" w:rsidR="00BD387E" w:rsidRPr="005101ED" w:rsidRDefault="00BD387E" w:rsidP="001573D0">
            <w:pPr>
              <w:pStyle w:val="TableBullet1a-Indentundertext"/>
              <w:numPr>
                <w:ilvl w:val="1"/>
                <w:numId w:val="16"/>
              </w:numPr>
              <w:ind w:left="702" w:hanging="270"/>
            </w:pPr>
            <w:r w:rsidRPr="005101ED">
              <w:t>situational awareness</w:t>
            </w:r>
          </w:p>
          <w:p w14:paraId="51794A0C" w14:textId="77777777" w:rsidR="00BD387E" w:rsidRPr="005101ED" w:rsidRDefault="00BD387E" w:rsidP="001573D0">
            <w:pPr>
              <w:pStyle w:val="TableBullet1a-Indentundertext"/>
              <w:numPr>
                <w:ilvl w:val="1"/>
                <w:numId w:val="16"/>
              </w:numPr>
              <w:ind w:left="702" w:hanging="270"/>
            </w:pPr>
            <w:r w:rsidRPr="005101ED">
              <w:t>ability to get additional help quickly</w:t>
            </w:r>
          </w:p>
          <w:p w14:paraId="351A7E02" w14:textId="77777777" w:rsidR="00BD387E" w:rsidRPr="005101ED" w:rsidRDefault="00BD387E" w:rsidP="001573D0">
            <w:pPr>
              <w:pStyle w:val="TableBullet1a-Indentundertext"/>
              <w:numPr>
                <w:ilvl w:val="1"/>
                <w:numId w:val="16"/>
              </w:numPr>
              <w:ind w:left="702" w:hanging="270"/>
            </w:pPr>
            <w:r w:rsidRPr="005101ED">
              <w:t>timely use of standing orders for managing magnesium sulfate toxicity</w:t>
            </w:r>
          </w:p>
          <w:p w14:paraId="5460EFC9" w14:textId="77777777" w:rsidR="00BD387E" w:rsidRPr="005101ED" w:rsidRDefault="00BD387E" w:rsidP="001573D0">
            <w:pPr>
              <w:pStyle w:val="TableBullet1a-Indentundertext"/>
              <w:numPr>
                <w:ilvl w:val="1"/>
                <w:numId w:val="16"/>
              </w:numPr>
              <w:ind w:left="702" w:hanging="270"/>
            </w:pPr>
            <w:r w:rsidRPr="005101ED">
              <w:t>communicating with rapid responders</w:t>
            </w:r>
          </w:p>
          <w:p w14:paraId="25DBE2CA" w14:textId="77777777" w:rsidR="00BD387E" w:rsidRPr="005101ED" w:rsidRDefault="00BD387E" w:rsidP="001573D0">
            <w:pPr>
              <w:pStyle w:val="TableBullet1a-Indentundertext"/>
              <w:numPr>
                <w:ilvl w:val="1"/>
                <w:numId w:val="16"/>
              </w:numPr>
              <w:ind w:left="702" w:hanging="270"/>
            </w:pPr>
            <w:r w:rsidRPr="005101ED">
              <w:t>communicating with patient/family</w:t>
            </w:r>
          </w:p>
          <w:p w14:paraId="7F982104" w14:textId="77777777" w:rsidR="00BD387E" w:rsidRPr="005101ED" w:rsidRDefault="00BD387E" w:rsidP="001573D0">
            <w:pPr>
              <w:pStyle w:val="TableBullet1a-Indentundertext"/>
              <w:numPr>
                <w:ilvl w:val="1"/>
                <w:numId w:val="16"/>
              </w:numPr>
              <w:ind w:left="702" w:hanging="270"/>
            </w:pPr>
            <w:r w:rsidRPr="005101ED">
              <w:t>using briefings, huddles, and debriefings</w:t>
            </w:r>
          </w:p>
        </w:tc>
      </w:tr>
    </w:tbl>
    <w:p w14:paraId="1247F506" w14:textId="5F2E15EB" w:rsidR="00BD387E" w:rsidRDefault="00BD387E" w:rsidP="00BD387E">
      <w:pPr>
        <w:keepNext/>
        <w:spacing w:after="0"/>
        <w:rPr>
          <w:sz w:val="12"/>
          <w:szCs w:val="12"/>
        </w:rPr>
      </w:pPr>
    </w:p>
    <w:p w14:paraId="060BC698" w14:textId="0CCE701E" w:rsidR="009F76D4" w:rsidRPr="001C207A" w:rsidRDefault="009F76D4" w:rsidP="009F76D4">
      <w:pPr>
        <w:pBdr>
          <w:top w:val="single" w:sz="4" w:space="1" w:color="auto"/>
          <w:left w:val="single" w:sz="4" w:space="4" w:color="auto"/>
          <w:bottom w:val="single" w:sz="4" w:space="1" w:color="auto"/>
          <w:right w:val="single" w:sz="4" w:space="4" w:color="auto"/>
        </w:pBdr>
        <w:shd w:val="clear" w:color="auto" w:fill="D9D9D9" w:themeFill="background1" w:themeFillShade="D9"/>
        <w:spacing w:after="20"/>
        <w:rPr>
          <w:sz w:val="12"/>
          <w:szCs w:val="12"/>
        </w:rPr>
      </w:pPr>
      <w:r w:rsidRPr="005101ED">
        <w:rPr>
          <w:rFonts w:asciiTheme="minorBidi" w:hAnsiTheme="minorBidi"/>
          <w:b/>
          <w:i/>
          <w:szCs w:val="24"/>
        </w:rPr>
        <w:t>Teamwork Training (TeamSTEPPS</w:t>
      </w:r>
      <w:r w:rsidRPr="005101ED">
        <w:rPr>
          <w:rFonts w:asciiTheme="minorBidi" w:hAnsiTheme="minorBidi"/>
          <w:b/>
          <w:i/>
          <w:szCs w:val="24"/>
          <w:vertAlign w:val="superscript"/>
        </w:rPr>
        <w:t>®</w:t>
      </w:r>
      <w:r w:rsidRPr="005101ED">
        <w:rPr>
          <w:rFonts w:asciiTheme="minorBidi" w:hAnsiTheme="minorBidi"/>
          <w:b/>
          <w:i/>
          <w:szCs w:val="24"/>
        </w:rPr>
        <w:t>)</w:t>
      </w:r>
    </w:p>
    <w:tbl>
      <w:tblPr>
        <w:tblStyle w:val="TableGrid"/>
        <w:tblW w:w="9558" w:type="dxa"/>
        <w:tblLook w:val="04A0" w:firstRow="1" w:lastRow="0" w:firstColumn="1" w:lastColumn="0" w:noHBand="0" w:noVBand="1"/>
        <w:tblDescription w:val="Key Perinatal Safety Elements"/>
      </w:tblPr>
      <w:tblGrid>
        <w:gridCol w:w="3618"/>
        <w:gridCol w:w="5940"/>
      </w:tblGrid>
      <w:tr w:rsidR="00BD387E" w:rsidRPr="005101ED" w14:paraId="0A7AF4B8" w14:textId="77777777" w:rsidTr="009F76D4">
        <w:trPr>
          <w:cantSplit/>
          <w:tblHeader/>
        </w:trPr>
        <w:tc>
          <w:tcPr>
            <w:tcW w:w="3618" w:type="dxa"/>
          </w:tcPr>
          <w:p w14:paraId="4F52B045" w14:textId="77777777" w:rsidR="00BD387E" w:rsidRPr="005101ED" w:rsidRDefault="00BD387E" w:rsidP="00BE256C">
            <w:pPr>
              <w:keepNext/>
              <w:rPr>
                <w:rFonts w:asciiTheme="minorBidi" w:hAnsiTheme="minorBidi" w:cstheme="minorBidi"/>
                <w:b/>
                <w:szCs w:val="24"/>
              </w:rPr>
            </w:pPr>
            <w:r w:rsidRPr="005101ED">
              <w:rPr>
                <w:rFonts w:asciiTheme="minorBidi" w:hAnsiTheme="minorBidi" w:cstheme="minorBidi"/>
                <w:b/>
                <w:szCs w:val="24"/>
              </w:rPr>
              <w:t>Key Perinatal Safety Elements</w:t>
            </w:r>
          </w:p>
        </w:tc>
        <w:tc>
          <w:tcPr>
            <w:tcW w:w="5940" w:type="dxa"/>
          </w:tcPr>
          <w:p w14:paraId="3241342A" w14:textId="77777777" w:rsidR="00BD387E" w:rsidRPr="005101ED" w:rsidRDefault="00BD387E" w:rsidP="00BE256C">
            <w:pPr>
              <w:keepNext/>
              <w:rPr>
                <w:rFonts w:asciiTheme="minorBidi" w:hAnsiTheme="minorBidi" w:cstheme="minorBidi"/>
                <w:b/>
                <w:szCs w:val="24"/>
              </w:rPr>
            </w:pPr>
            <w:r w:rsidRPr="005101ED">
              <w:rPr>
                <w:rFonts w:asciiTheme="minorBidi" w:hAnsiTheme="minorBidi" w:cstheme="minorBidi"/>
                <w:b/>
                <w:szCs w:val="24"/>
              </w:rPr>
              <w:t>Examples/customizable components</w:t>
            </w:r>
          </w:p>
        </w:tc>
      </w:tr>
      <w:tr w:rsidR="00BD387E" w:rsidRPr="005101ED" w14:paraId="17999A64" w14:textId="77777777" w:rsidTr="009F76D4">
        <w:trPr>
          <w:cantSplit/>
        </w:trPr>
        <w:tc>
          <w:tcPr>
            <w:tcW w:w="3618" w:type="dxa"/>
          </w:tcPr>
          <w:p w14:paraId="2A0AF8EF" w14:textId="77777777" w:rsidR="00BD387E" w:rsidRPr="005101ED" w:rsidRDefault="00BD387E" w:rsidP="00BE256C">
            <w:pPr>
              <w:rPr>
                <w:szCs w:val="24"/>
              </w:rPr>
            </w:pPr>
            <w:r w:rsidRPr="005101ED">
              <w:rPr>
                <w:szCs w:val="24"/>
              </w:rPr>
              <w:t>Situational awareness during magnesium sulfate use</w:t>
            </w:r>
            <w:r w:rsidR="00EA6EF5">
              <w:rPr>
                <w:szCs w:val="24"/>
              </w:rPr>
              <w:t>.</w:t>
            </w:r>
          </w:p>
        </w:tc>
        <w:tc>
          <w:tcPr>
            <w:tcW w:w="5940" w:type="dxa"/>
          </w:tcPr>
          <w:p w14:paraId="01FCA43F" w14:textId="6236D34D" w:rsidR="002B6424" w:rsidRPr="005B21FF" w:rsidRDefault="002B6424" w:rsidP="002B6424">
            <w:r w:rsidRPr="005B21FF">
              <w:t>Situational awareness refers to a</w:t>
            </w:r>
            <w:r w:rsidR="001573D0">
              <w:t>ll staff caring for the patient—</w:t>
            </w:r>
          </w:p>
          <w:p w14:paraId="5435B9EF" w14:textId="77777777" w:rsidR="002B6424" w:rsidRPr="005B21FF" w:rsidRDefault="002B6424" w:rsidP="00AD04A0">
            <w:pPr>
              <w:pStyle w:val="ListParagraph"/>
              <w:numPr>
                <w:ilvl w:val="0"/>
                <w:numId w:val="18"/>
              </w:numPr>
              <w:ind w:left="432" w:hanging="270"/>
              <w:rPr>
                <w:rFonts w:asciiTheme="minorBidi" w:hAnsiTheme="minorBidi" w:cstheme="minorBidi"/>
                <w:szCs w:val="24"/>
              </w:rPr>
            </w:pPr>
            <w:r w:rsidRPr="005B21FF">
              <w:rPr>
                <w:rFonts w:asciiTheme="minorBidi" w:hAnsiTheme="minorBidi" w:cstheme="minorBidi"/>
                <w:szCs w:val="24"/>
              </w:rPr>
              <w:t>knowing what the patient’s plan is through briefings and team management,</w:t>
            </w:r>
          </w:p>
          <w:p w14:paraId="2C2AF6BF" w14:textId="77777777" w:rsidR="002B6424" w:rsidRPr="005B21FF" w:rsidRDefault="002B6424" w:rsidP="00AD04A0">
            <w:pPr>
              <w:pStyle w:val="ListParagraph"/>
              <w:numPr>
                <w:ilvl w:val="0"/>
                <w:numId w:val="18"/>
              </w:numPr>
              <w:ind w:left="432" w:hanging="270"/>
              <w:rPr>
                <w:rFonts w:asciiTheme="minorBidi" w:hAnsiTheme="minorBidi" w:cstheme="minorBidi"/>
                <w:szCs w:val="24"/>
              </w:rPr>
            </w:pPr>
            <w:r w:rsidRPr="005B21FF">
              <w:rPr>
                <w:rFonts w:asciiTheme="minorBidi" w:hAnsiTheme="minorBidi" w:cstheme="minorBidi"/>
                <w:szCs w:val="24"/>
              </w:rPr>
              <w:t>being aware of what is going on and what is likely to happen next,</w:t>
            </w:r>
          </w:p>
          <w:p w14:paraId="0748BD9B" w14:textId="77777777" w:rsidR="002B6424" w:rsidRPr="005B21FF" w:rsidRDefault="002B6424" w:rsidP="00AD04A0">
            <w:pPr>
              <w:pStyle w:val="ListParagraph"/>
              <w:numPr>
                <w:ilvl w:val="0"/>
                <w:numId w:val="18"/>
              </w:numPr>
              <w:ind w:left="432" w:hanging="270"/>
              <w:rPr>
                <w:rFonts w:asciiTheme="minorBidi" w:hAnsiTheme="minorBidi" w:cstheme="minorBidi"/>
                <w:szCs w:val="24"/>
              </w:rPr>
            </w:pPr>
            <w:r w:rsidRPr="005B21FF">
              <w:rPr>
                <w:rFonts w:asciiTheme="minorBidi" w:hAnsiTheme="minorBidi" w:cstheme="minorBidi"/>
                <w:szCs w:val="24"/>
              </w:rPr>
              <w:t xml:space="preserve">verification and check back on information, and </w:t>
            </w:r>
          </w:p>
          <w:p w14:paraId="0C9E89FA" w14:textId="77777777" w:rsidR="002B6424" w:rsidRPr="005B21FF" w:rsidRDefault="002B6424" w:rsidP="00AD04A0">
            <w:pPr>
              <w:pStyle w:val="ListParagraph"/>
              <w:numPr>
                <w:ilvl w:val="0"/>
                <w:numId w:val="18"/>
              </w:numPr>
              <w:ind w:left="432" w:hanging="270"/>
              <w:rPr>
                <w:rFonts w:asciiTheme="minorBidi" w:hAnsiTheme="minorBidi" w:cstheme="minorBidi"/>
                <w:szCs w:val="24"/>
              </w:rPr>
            </w:pPr>
            <w:r w:rsidRPr="005B21FF">
              <w:rPr>
                <w:rFonts w:asciiTheme="minorBidi" w:hAnsiTheme="minorBidi" w:cstheme="minorBidi"/>
                <w:szCs w:val="24"/>
              </w:rPr>
              <w:t>providing ongoing updates.</w:t>
            </w:r>
          </w:p>
          <w:p w14:paraId="391FE4CF" w14:textId="273DB037" w:rsidR="00BD387E" w:rsidRPr="005101ED" w:rsidRDefault="00491BD3" w:rsidP="00F517B1">
            <w:pPr>
              <w:spacing w:after="60"/>
              <w:rPr>
                <w:rFonts w:asciiTheme="minorBidi" w:hAnsiTheme="minorBidi" w:cstheme="minorBidi"/>
                <w:szCs w:val="24"/>
              </w:rPr>
            </w:pPr>
            <w:r w:rsidRPr="005B21FF">
              <w:t xml:space="preserve">In the context of </w:t>
            </w:r>
            <w:r>
              <w:t>magnesium sulfate</w:t>
            </w:r>
            <w:r w:rsidRPr="005B21FF">
              <w:t xml:space="preserve"> use, this include</w:t>
            </w:r>
            <w:r>
              <w:t>s</w:t>
            </w:r>
            <w:r w:rsidRPr="005B21FF">
              <w:t xml:space="preserve"> staff alertness for early signs of </w:t>
            </w:r>
            <w:r w:rsidR="00F517B1">
              <w:t xml:space="preserve">abnormal </w:t>
            </w:r>
            <w:r w:rsidRPr="005B21FF">
              <w:t xml:space="preserve">fetal or maternal </w:t>
            </w:r>
            <w:r w:rsidR="00F517B1">
              <w:t>status</w:t>
            </w:r>
            <w:r w:rsidRPr="005B21FF">
              <w:t>, and knowing the plan for a timely response to prevent further deterioration.</w:t>
            </w:r>
          </w:p>
        </w:tc>
      </w:tr>
    </w:tbl>
    <w:p w14:paraId="7AC4A2D9" w14:textId="506AAF8D" w:rsidR="00491BD3" w:rsidRDefault="00491BD3">
      <w:r>
        <w:br w:type="page"/>
      </w:r>
    </w:p>
    <w:p w14:paraId="27DD9089" w14:textId="79FEA937" w:rsidR="009F76D4" w:rsidRDefault="009F76D4" w:rsidP="009F76D4">
      <w:pPr>
        <w:pBdr>
          <w:top w:val="single" w:sz="4" w:space="1" w:color="auto"/>
          <w:left w:val="single" w:sz="4" w:space="4" w:color="auto"/>
          <w:bottom w:val="single" w:sz="4" w:space="1" w:color="auto"/>
          <w:right w:val="single" w:sz="4" w:space="4" w:color="auto"/>
        </w:pBdr>
        <w:shd w:val="clear" w:color="auto" w:fill="D9D9D9" w:themeFill="background1" w:themeFillShade="D9"/>
        <w:spacing w:after="20"/>
      </w:pPr>
      <w:r w:rsidRPr="005101ED">
        <w:rPr>
          <w:rFonts w:asciiTheme="minorBidi" w:hAnsiTheme="minorBidi"/>
          <w:b/>
          <w:i/>
          <w:szCs w:val="24"/>
        </w:rPr>
        <w:lastRenderedPageBreak/>
        <w:t>Teamwork Training (TeamSTEPPS</w:t>
      </w:r>
      <w:r w:rsidRPr="005101ED">
        <w:rPr>
          <w:rFonts w:asciiTheme="minorBidi" w:hAnsiTheme="minorBidi"/>
          <w:b/>
          <w:i/>
          <w:szCs w:val="24"/>
          <w:vertAlign w:val="superscript"/>
        </w:rPr>
        <w:t>®</w:t>
      </w:r>
      <w:r w:rsidRPr="005101ED">
        <w:rPr>
          <w:rFonts w:asciiTheme="minorBidi" w:hAnsiTheme="minorBidi"/>
          <w:b/>
          <w:i/>
          <w:szCs w:val="24"/>
        </w:rPr>
        <w:t>)</w:t>
      </w:r>
      <w:r>
        <w:rPr>
          <w:rFonts w:asciiTheme="minorBidi" w:hAnsiTheme="minorBidi"/>
          <w:b/>
          <w:i/>
          <w:szCs w:val="24"/>
        </w:rPr>
        <w:t xml:space="preserve"> (continued)</w:t>
      </w:r>
    </w:p>
    <w:tbl>
      <w:tblPr>
        <w:tblStyle w:val="TableGrid"/>
        <w:tblW w:w="9558" w:type="dxa"/>
        <w:tblLook w:val="04A0" w:firstRow="1" w:lastRow="0" w:firstColumn="1" w:lastColumn="0" w:noHBand="0" w:noVBand="1"/>
        <w:tblDescription w:val="Key Perinatal Safety Elements"/>
      </w:tblPr>
      <w:tblGrid>
        <w:gridCol w:w="3618"/>
        <w:gridCol w:w="5940"/>
      </w:tblGrid>
      <w:tr w:rsidR="00491BD3" w:rsidRPr="005101ED" w14:paraId="29D4B168" w14:textId="77777777" w:rsidTr="009F76D4">
        <w:trPr>
          <w:cantSplit/>
          <w:tblHeader/>
        </w:trPr>
        <w:tc>
          <w:tcPr>
            <w:tcW w:w="3618" w:type="dxa"/>
          </w:tcPr>
          <w:p w14:paraId="0D63B777" w14:textId="77777777" w:rsidR="00491BD3" w:rsidRPr="005101ED" w:rsidRDefault="00491BD3" w:rsidP="00491BD3">
            <w:pPr>
              <w:keepNext/>
              <w:rPr>
                <w:rFonts w:asciiTheme="minorBidi" w:hAnsiTheme="minorBidi" w:cstheme="minorBidi"/>
                <w:b/>
                <w:szCs w:val="24"/>
              </w:rPr>
            </w:pPr>
            <w:r w:rsidRPr="005101ED">
              <w:rPr>
                <w:rFonts w:asciiTheme="minorBidi" w:hAnsiTheme="minorBidi" w:cstheme="minorBidi"/>
                <w:b/>
                <w:szCs w:val="24"/>
              </w:rPr>
              <w:t>Key Perinatal Safety Elements</w:t>
            </w:r>
          </w:p>
        </w:tc>
        <w:tc>
          <w:tcPr>
            <w:tcW w:w="5940" w:type="dxa"/>
          </w:tcPr>
          <w:p w14:paraId="4582110B" w14:textId="77777777" w:rsidR="00491BD3" w:rsidRPr="005101ED" w:rsidRDefault="00491BD3" w:rsidP="00491BD3">
            <w:pPr>
              <w:keepNext/>
              <w:rPr>
                <w:rFonts w:asciiTheme="minorBidi" w:hAnsiTheme="minorBidi" w:cstheme="minorBidi"/>
                <w:b/>
                <w:szCs w:val="24"/>
              </w:rPr>
            </w:pPr>
            <w:r w:rsidRPr="005101ED">
              <w:rPr>
                <w:rFonts w:asciiTheme="minorBidi" w:hAnsiTheme="minorBidi" w:cstheme="minorBidi"/>
                <w:b/>
                <w:szCs w:val="24"/>
              </w:rPr>
              <w:t>Examples/customizable components</w:t>
            </w:r>
          </w:p>
        </w:tc>
      </w:tr>
      <w:tr w:rsidR="00BD387E" w:rsidRPr="005101ED" w14:paraId="009B40FB" w14:textId="77777777" w:rsidTr="009F76D4">
        <w:trPr>
          <w:cantSplit/>
        </w:trPr>
        <w:tc>
          <w:tcPr>
            <w:tcW w:w="3618" w:type="dxa"/>
          </w:tcPr>
          <w:p w14:paraId="5FA6B786" w14:textId="0DC8AE7A" w:rsidR="00BD387E" w:rsidRPr="005101ED" w:rsidRDefault="008206F0" w:rsidP="00BE256C">
            <w:pPr>
              <w:rPr>
                <w:szCs w:val="24"/>
              </w:rPr>
            </w:pPr>
            <w:r w:rsidRPr="00445D3C">
              <w:rPr>
                <w:rFonts w:asciiTheme="minorBidi" w:hAnsiTheme="minorBidi"/>
                <w:szCs w:val="24"/>
              </w:rPr>
              <w:t xml:space="preserve">Use </w:t>
            </w:r>
            <w:r w:rsidRPr="00AC1CE8">
              <w:rPr>
                <w:rFonts w:asciiTheme="minorBidi" w:hAnsiTheme="minorBidi"/>
                <w:szCs w:val="24"/>
              </w:rPr>
              <w:t>SBAR (</w:t>
            </w:r>
            <w:r w:rsidRPr="00AC1CE8">
              <w:rPr>
                <w:rFonts w:asciiTheme="minorBidi" w:hAnsiTheme="minorBidi"/>
                <w:b/>
                <w:bCs/>
                <w:szCs w:val="24"/>
              </w:rPr>
              <w:t>S</w:t>
            </w:r>
            <w:r w:rsidRPr="00AC1CE8">
              <w:rPr>
                <w:rFonts w:asciiTheme="minorBidi" w:hAnsiTheme="minorBidi"/>
                <w:szCs w:val="24"/>
              </w:rPr>
              <w:t xml:space="preserve">ituation, </w:t>
            </w:r>
            <w:r w:rsidRPr="00AC1CE8">
              <w:rPr>
                <w:rFonts w:asciiTheme="minorBidi" w:hAnsiTheme="minorBidi"/>
                <w:b/>
                <w:bCs/>
                <w:szCs w:val="24"/>
              </w:rPr>
              <w:t>B</w:t>
            </w:r>
            <w:r w:rsidRPr="00AC1CE8">
              <w:rPr>
                <w:rFonts w:asciiTheme="minorBidi" w:hAnsiTheme="minorBidi"/>
                <w:szCs w:val="24"/>
              </w:rPr>
              <w:t xml:space="preserve">ackground, </w:t>
            </w:r>
            <w:r w:rsidRPr="00AC1CE8">
              <w:rPr>
                <w:rFonts w:asciiTheme="minorBidi" w:hAnsiTheme="minorBidi"/>
                <w:b/>
                <w:bCs/>
                <w:szCs w:val="24"/>
              </w:rPr>
              <w:t>A</w:t>
            </w:r>
            <w:r w:rsidRPr="00AC1CE8">
              <w:rPr>
                <w:rFonts w:asciiTheme="minorBidi" w:hAnsiTheme="minorBidi"/>
                <w:szCs w:val="24"/>
              </w:rPr>
              <w:t xml:space="preserve">ssessment, and </w:t>
            </w:r>
            <w:r w:rsidRPr="00AC1CE8">
              <w:rPr>
                <w:rFonts w:asciiTheme="minorBidi" w:hAnsiTheme="minorBidi"/>
                <w:b/>
                <w:bCs/>
                <w:szCs w:val="24"/>
              </w:rPr>
              <w:t>R</w:t>
            </w:r>
            <w:r w:rsidRPr="00AC1CE8">
              <w:rPr>
                <w:rFonts w:asciiTheme="minorBidi" w:hAnsiTheme="minorBidi"/>
                <w:szCs w:val="24"/>
              </w:rPr>
              <w:t>ecommendation)</w:t>
            </w:r>
            <w:r>
              <w:rPr>
                <w:rFonts w:asciiTheme="minorBidi" w:hAnsiTheme="minorBidi"/>
                <w:szCs w:val="24"/>
              </w:rPr>
              <w:t>,</w:t>
            </w:r>
            <w:r w:rsidRPr="00445D3C">
              <w:rPr>
                <w:rFonts w:asciiTheme="minorBidi" w:hAnsiTheme="minorBidi"/>
                <w:szCs w:val="24"/>
              </w:rPr>
              <w:t xml:space="preserve"> callouts, huddles, and closed-loop communication techniques.</w:t>
            </w:r>
          </w:p>
        </w:tc>
        <w:tc>
          <w:tcPr>
            <w:tcW w:w="5940" w:type="dxa"/>
          </w:tcPr>
          <w:p w14:paraId="19DB7A3B" w14:textId="61EB9990" w:rsidR="00491BD3" w:rsidRPr="00E46191" w:rsidRDefault="00491BD3" w:rsidP="008206F0">
            <w:pPr>
              <w:pStyle w:val="TableBullet1a-Indentundertext"/>
              <w:ind w:left="252" w:hanging="180"/>
            </w:pPr>
            <w:r w:rsidRPr="005B21FF">
              <w:t xml:space="preserve">Use </w:t>
            </w:r>
            <w:r w:rsidR="008206F0">
              <w:t xml:space="preserve">of SBAR, </w:t>
            </w:r>
            <w:r w:rsidRPr="005B21FF">
              <w:t xml:space="preserve">callouts, and closed-loop communication among team members. In the context of </w:t>
            </w:r>
            <w:r w:rsidRPr="005101ED">
              <w:rPr>
                <w:rFonts w:asciiTheme="minorBidi" w:hAnsiTheme="minorBidi" w:cstheme="minorBidi"/>
              </w:rPr>
              <w:t>magnesium sulfate</w:t>
            </w:r>
            <w:r w:rsidRPr="005B21FF">
              <w:t xml:space="preserve"> use, these techni</w:t>
            </w:r>
            <w:r>
              <w:t>ques are particularly useful—</w:t>
            </w:r>
          </w:p>
          <w:p w14:paraId="13ECE827" w14:textId="77777777" w:rsidR="00BD387E" w:rsidRPr="005101ED" w:rsidRDefault="00491BD3" w:rsidP="00AD04A0">
            <w:pPr>
              <w:pStyle w:val="TableBullet1a-Indentundertext"/>
              <w:numPr>
                <w:ilvl w:val="1"/>
                <w:numId w:val="16"/>
              </w:numPr>
              <w:ind w:left="702" w:hanging="270"/>
            </w:pPr>
            <w:r>
              <w:t>for c</w:t>
            </w:r>
            <w:r w:rsidR="00BD387E" w:rsidRPr="005101ED">
              <w:t>ommunicating a sense of urgency when requesting other unit personnel and provider for help responding to sudden changes in maternal or fetal status (e.g., seizure, magnesium toxicity, fetal distress).</w:t>
            </w:r>
          </w:p>
          <w:p w14:paraId="0292D4EC" w14:textId="77777777" w:rsidR="00491BD3" w:rsidRPr="0000751E" w:rsidRDefault="00491BD3" w:rsidP="00AD04A0">
            <w:pPr>
              <w:pStyle w:val="ListParagraph"/>
              <w:numPr>
                <w:ilvl w:val="1"/>
                <w:numId w:val="16"/>
              </w:numPr>
              <w:ind w:left="702" w:hanging="270"/>
              <w:rPr>
                <w:rFonts w:asciiTheme="minorBidi" w:hAnsiTheme="minorBidi" w:cstheme="minorBidi"/>
                <w:szCs w:val="24"/>
              </w:rPr>
            </w:pPr>
            <w:r w:rsidRPr="00267F24">
              <w:rPr>
                <w:rFonts w:asciiTheme="minorBidi" w:eastAsia="Calibri" w:hAnsiTheme="minorBidi"/>
              </w:rPr>
              <w:t>for communicating changes in maternal or fetal status,</w:t>
            </w:r>
          </w:p>
          <w:p w14:paraId="55FF106A" w14:textId="77777777" w:rsidR="00491BD3" w:rsidRPr="0000751E" w:rsidRDefault="00491BD3" w:rsidP="00AD04A0">
            <w:pPr>
              <w:pStyle w:val="ListParagraph"/>
              <w:numPr>
                <w:ilvl w:val="1"/>
                <w:numId w:val="16"/>
              </w:numPr>
              <w:ind w:left="702" w:hanging="270"/>
              <w:rPr>
                <w:rFonts w:asciiTheme="minorBidi" w:hAnsiTheme="minorBidi" w:cstheme="minorBidi"/>
                <w:szCs w:val="24"/>
              </w:rPr>
            </w:pPr>
            <w:r>
              <w:rPr>
                <w:rFonts w:asciiTheme="minorBidi" w:hAnsiTheme="minorBidi" w:cstheme="minorBidi"/>
                <w:szCs w:val="24"/>
              </w:rPr>
              <w:t>w</w:t>
            </w:r>
            <w:r w:rsidRPr="0000751E">
              <w:rPr>
                <w:rFonts w:asciiTheme="minorBidi" w:hAnsiTheme="minorBidi" w:cstheme="minorBidi"/>
                <w:szCs w:val="24"/>
              </w:rPr>
              <w:t>hen giving and receiving new orders to manage sudden changes in maternal or fetal status</w:t>
            </w:r>
            <w:r>
              <w:rPr>
                <w:rFonts w:asciiTheme="minorBidi" w:hAnsiTheme="minorBidi" w:cstheme="minorBidi"/>
                <w:szCs w:val="24"/>
              </w:rPr>
              <w:t>,</w:t>
            </w:r>
            <w:r w:rsidRPr="0000751E">
              <w:rPr>
                <w:rFonts w:asciiTheme="minorBidi" w:hAnsiTheme="minorBidi" w:cstheme="minorBidi"/>
                <w:szCs w:val="24"/>
              </w:rPr>
              <w:t xml:space="preserve"> </w:t>
            </w:r>
          </w:p>
          <w:p w14:paraId="35259292" w14:textId="77777777" w:rsidR="00BD387E" w:rsidRPr="00491BD3" w:rsidRDefault="00491BD3" w:rsidP="00AD04A0">
            <w:pPr>
              <w:pStyle w:val="TableBullet1a-Indentundertext"/>
              <w:numPr>
                <w:ilvl w:val="1"/>
                <w:numId w:val="16"/>
              </w:numPr>
              <w:ind w:left="702" w:hanging="270"/>
            </w:pPr>
            <w:r>
              <w:rPr>
                <w:rFonts w:asciiTheme="minorBidi" w:hAnsiTheme="minorBidi" w:cstheme="minorBidi"/>
              </w:rPr>
              <w:t>w</w:t>
            </w:r>
            <w:r w:rsidRPr="005B21FF">
              <w:rPr>
                <w:rFonts w:asciiTheme="minorBidi" w:hAnsiTheme="minorBidi" w:cstheme="minorBidi"/>
              </w:rPr>
              <w:t xml:space="preserve">hen briefing new care team members </w:t>
            </w:r>
            <w:r w:rsidRPr="00267F24">
              <w:rPr>
                <w:rFonts w:asciiTheme="minorBidi" w:eastAsia="Calibri" w:hAnsiTheme="minorBidi"/>
              </w:rPr>
              <w:t>who arrive to support a rapid response</w:t>
            </w:r>
            <w:r w:rsidRPr="005B21FF">
              <w:rPr>
                <w:rFonts w:asciiTheme="minorBidi" w:hAnsiTheme="minorBidi" w:cstheme="minorBidi"/>
              </w:rPr>
              <w:t>,</w:t>
            </w:r>
          </w:p>
          <w:p w14:paraId="7D74B045" w14:textId="77777777" w:rsidR="00491BD3" w:rsidRPr="005101ED" w:rsidRDefault="00491BD3" w:rsidP="00AD04A0">
            <w:pPr>
              <w:pStyle w:val="TableBullet1a-Indentundertext"/>
              <w:numPr>
                <w:ilvl w:val="1"/>
                <w:numId w:val="16"/>
              </w:numPr>
              <w:ind w:left="702" w:hanging="270"/>
            </w:pPr>
            <w:r w:rsidRPr="00491BD3">
              <w:t>when regrouping to discuss plan of care if patient fails to respond to initial measures.</w:t>
            </w:r>
          </w:p>
        </w:tc>
      </w:tr>
      <w:tr w:rsidR="00491BD3" w:rsidRPr="005101ED" w14:paraId="7423B273" w14:textId="77777777" w:rsidTr="009F76D4">
        <w:trPr>
          <w:cantSplit/>
          <w:trHeight w:val="1726"/>
        </w:trPr>
        <w:tc>
          <w:tcPr>
            <w:tcW w:w="3618" w:type="dxa"/>
            <w:tcBorders>
              <w:bottom w:val="single" w:sz="4" w:space="0" w:color="auto"/>
            </w:tcBorders>
          </w:tcPr>
          <w:p w14:paraId="5F187EAD" w14:textId="77777777" w:rsidR="00491BD3" w:rsidRPr="005101ED" w:rsidRDefault="00491BD3" w:rsidP="00BE256C">
            <w:pPr>
              <w:rPr>
                <w:rFonts w:asciiTheme="minorBidi" w:hAnsiTheme="minorBidi" w:cstheme="minorBidi"/>
                <w:szCs w:val="24"/>
              </w:rPr>
            </w:pPr>
            <w:r w:rsidRPr="005101ED">
              <w:rPr>
                <w:rFonts w:asciiTheme="minorBidi" w:hAnsiTheme="minorBidi" w:cstheme="minorBidi"/>
                <w:szCs w:val="24"/>
              </w:rPr>
              <w:t>Communicate during transitions of care.</w:t>
            </w:r>
          </w:p>
        </w:tc>
        <w:tc>
          <w:tcPr>
            <w:tcW w:w="5940" w:type="dxa"/>
            <w:tcBorders>
              <w:bottom w:val="single" w:sz="4" w:space="0" w:color="auto"/>
            </w:tcBorders>
          </w:tcPr>
          <w:p w14:paraId="49C0941B" w14:textId="7823BD4D" w:rsidR="00491BD3" w:rsidRPr="005101ED" w:rsidRDefault="00491BD3" w:rsidP="001573D0">
            <w:pPr>
              <w:spacing w:after="60"/>
              <w:rPr>
                <w:rFonts w:asciiTheme="minorBidi" w:hAnsiTheme="minorBidi" w:cstheme="minorBidi"/>
                <w:szCs w:val="24"/>
                <w:vertAlign w:val="superscript"/>
              </w:rPr>
            </w:pPr>
            <w:r w:rsidRPr="005101ED">
              <w:rPr>
                <w:rFonts w:asciiTheme="minorBidi" w:hAnsiTheme="minorBidi" w:cstheme="minorBidi"/>
                <w:szCs w:val="24"/>
              </w:rPr>
              <w:t xml:space="preserve">Use of transition communication techniques </w:t>
            </w:r>
            <w:r w:rsidR="001573D0">
              <w:rPr>
                <w:rFonts w:asciiTheme="minorBidi" w:hAnsiTheme="minorBidi" w:cstheme="minorBidi"/>
                <w:szCs w:val="24"/>
              </w:rPr>
              <w:t>assures</w:t>
            </w:r>
            <w:r w:rsidRPr="005101ED">
              <w:rPr>
                <w:rFonts w:asciiTheme="minorBidi" w:hAnsiTheme="minorBidi" w:cstheme="minorBidi"/>
                <w:szCs w:val="24"/>
              </w:rPr>
              <w:t xml:space="preserve"> a shared mental model of plan of care and perceived </w:t>
            </w:r>
          </w:p>
          <w:p w14:paraId="7BFEAC44" w14:textId="77777777" w:rsidR="00491BD3" w:rsidRPr="005101ED" w:rsidRDefault="00491BD3" w:rsidP="00184553">
            <w:pPr>
              <w:rPr>
                <w:rFonts w:asciiTheme="minorBidi" w:hAnsiTheme="minorBidi" w:cstheme="minorBidi"/>
                <w:szCs w:val="24"/>
                <w:vertAlign w:val="superscript"/>
              </w:rPr>
            </w:pPr>
            <w:r w:rsidRPr="005101ED">
              <w:rPr>
                <w:rFonts w:asciiTheme="minorBidi" w:hAnsiTheme="minorBidi" w:cstheme="minorBidi"/>
                <w:szCs w:val="24"/>
              </w:rPr>
              <w:t>risks between shifts or between units. This may include bedside review by nursing team of pump settings, mainline IV fluids, and written orders for magnesium sulfate.</w:t>
            </w:r>
            <w:r w:rsidRPr="005101ED">
              <w:rPr>
                <w:rFonts w:asciiTheme="minorBidi" w:hAnsiTheme="minorBidi" w:cstheme="minorBidi"/>
                <w:szCs w:val="24"/>
                <w:vertAlign w:val="superscript"/>
              </w:rPr>
              <w:t>10</w:t>
            </w:r>
          </w:p>
        </w:tc>
      </w:tr>
      <w:tr w:rsidR="00B62E27" w:rsidRPr="005101ED" w14:paraId="6819814A" w14:textId="77777777" w:rsidTr="009F76D4">
        <w:trPr>
          <w:cantSplit/>
          <w:trHeight w:val="1726"/>
        </w:trPr>
        <w:tc>
          <w:tcPr>
            <w:tcW w:w="3618" w:type="dxa"/>
            <w:tcBorders>
              <w:bottom w:val="single" w:sz="4" w:space="0" w:color="auto"/>
            </w:tcBorders>
          </w:tcPr>
          <w:p w14:paraId="1881C876" w14:textId="77777777" w:rsidR="00B62E27" w:rsidRPr="005101ED" w:rsidRDefault="00B62E27" w:rsidP="00B62E27">
            <w:pPr>
              <w:rPr>
                <w:rFonts w:asciiTheme="minorBidi" w:hAnsiTheme="minorBidi"/>
                <w:szCs w:val="24"/>
              </w:rPr>
            </w:pPr>
            <w:r w:rsidRPr="005101ED">
              <w:rPr>
                <w:rFonts w:asciiTheme="minorBidi" w:hAnsiTheme="minorBidi"/>
                <w:szCs w:val="24"/>
              </w:rPr>
              <w:t>High-reliability teams:</w:t>
            </w:r>
          </w:p>
          <w:p w14:paraId="45F412E2" w14:textId="77777777" w:rsidR="00B62E27" w:rsidRPr="005101ED" w:rsidRDefault="00B62E27" w:rsidP="00AD04A0">
            <w:pPr>
              <w:pStyle w:val="ListParagraph"/>
              <w:numPr>
                <w:ilvl w:val="0"/>
                <w:numId w:val="15"/>
              </w:numPr>
              <w:rPr>
                <w:rFonts w:asciiTheme="minorBidi" w:hAnsiTheme="minorBidi"/>
                <w:szCs w:val="24"/>
              </w:rPr>
            </w:pPr>
            <w:r w:rsidRPr="005101ED">
              <w:rPr>
                <w:rFonts w:asciiTheme="minorBidi" w:hAnsiTheme="minorBidi"/>
                <w:szCs w:val="24"/>
              </w:rPr>
              <w:t>Anyone can sound an alarm, request help, or challenge the status quo.</w:t>
            </w:r>
          </w:p>
          <w:p w14:paraId="3F8554E6" w14:textId="77777777" w:rsidR="00B62E27" w:rsidRPr="005101ED" w:rsidRDefault="00B62E27" w:rsidP="00AD04A0">
            <w:pPr>
              <w:pStyle w:val="ListParagraph"/>
              <w:numPr>
                <w:ilvl w:val="0"/>
                <w:numId w:val="15"/>
              </w:numPr>
              <w:rPr>
                <w:rFonts w:asciiTheme="minorBidi" w:hAnsiTheme="minorBidi"/>
                <w:szCs w:val="24"/>
              </w:rPr>
            </w:pPr>
            <w:r w:rsidRPr="005101ED">
              <w:rPr>
                <w:rFonts w:asciiTheme="minorBidi" w:hAnsiTheme="minorBidi"/>
                <w:szCs w:val="24"/>
              </w:rPr>
              <w:t>Hierarchy is minimized.</w:t>
            </w:r>
          </w:p>
          <w:p w14:paraId="7916CB80" w14:textId="77777777" w:rsidR="00B62E27" w:rsidRDefault="00B62E27" w:rsidP="00AD04A0">
            <w:pPr>
              <w:pStyle w:val="ListParagraph"/>
              <w:numPr>
                <w:ilvl w:val="0"/>
                <w:numId w:val="15"/>
              </w:numPr>
              <w:rPr>
                <w:rFonts w:asciiTheme="minorBidi" w:hAnsiTheme="minorBidi"/>
                <w:szCs w:val="24"/>
              </w:rPr>
            </w:pPr>
            <w:r w:rsidRPr="005101ED">
              <w:rPr>
                <w:rFonts w:asciiTheme="minorBidi" w:hAnsiTheme="minorBidi"/>
                <w:szCs w:val="24"/>
              </w:rPr>
              <w:t>Communication is continuous, valued, and expected.</w:t>
            </w:r>
          </w:p>
          <w:p w14:paraId="7A89E66E" w14:textId="77777777" w:rsidR="00B62E27" w:rsidRPr="005101ED" w:rsidRDefault="00B62E27" w:rsidP="00BE256C">
            <w:pPr>
              <w:rPr>
                <w:rFonts w:asciiTheme="minorBidi" w:hAnsiTheme="minorBidi"/>
                <w:szCs w:val="24"/>
              </w:rPr>
            </w:pPr>
          </w:p>
        </w:tc>
        <w:tc>
          <w:tcPr>
            <w:tcW w:w="5940" w:type="dxa"/>
            <w:tcBorders>
              <w:bottom w:val="single" w:sz="4" w:space="0" w:color="auto"/>
            </w:tcBorders>
          </w:tcPr>
          <w:p w14:paraId="175A10C2" w14:textId="77777777" w:rsidR="00B62E27" w:rsidRDefault="00B62E27" w:rsidP="00B62E27">
            <w:pPr>
              <w:pStyle w:val="TableBullet1"/>
            </w:pPr>
            <w:r w:rsidRPr="005101ED">
              <w:t>Team members protect each other from work overload</w:t>
            </w:r>
            <w:r>
              <w:t xml:space="preserve"> and</w:t>
            </w:r>
            <w:r w:rsidRPr="005101ED">
              <w:t xml:space="preserve"> place requests or offers for assistance in the context of patient safety.</w:t>
            </w:r>
            <w:r>
              <w:t xml:space="preserve"> </w:t>
            </w:r>
            <w:r w:rsidRPr="005101ED">
              <w:t>It is expected that assistance will be actively sought and offered.</w:t>
            </w:r>
          </w:p>
          <w:p w14:paraId="7541B39F" w14:textId="77777777" w:rsidR="00B62E27" w:rsidRPr="005101ED" w:rsidRDefault="00B62E27" w:rsidP="00B62E27">
            <w:pPr>
              <w:pStyle w:val="TableBullet1"/>
            </w:pPr>
            <w:r w:rsidRPr="005101ED">
              <w:t>Team members will advocate for the patient when one person’s viewpoint does not coincide with another’s.</w:t>
            </w:r>
            <w:r>
              <w:t xml:space="preserve"> </w:t>
            </w:r>
          </w:p>
          <w:p w14:paraId="7494D019" w14:textId="77777777" w:rsidR="00B62E27" w:rsidRPr="005101ED" w:rsidRDefault="00B62E27" w:rsidP="00B62E27">
            <w:pPr>
              <w:pStyle w:val="TableBullet2"/>
            </w:pPr>
            <w:r w:rsidRPr="005101ED">
              <w:t>Assert a corrective action in a firm and respectful manner.</w:t>
            </w:r>
          </w:p>
          <w:p w14:paraId="0C003A4F" w14:textId="77777777" w:rsidR="00B62E27" w:rsidRPr="005101ED" w:rsidRDefault="00B62E27" w:rsidP="00B62E27">
            <w:pPr>
              <w:pStyle w:val="TableBullet2"/>
            </w:pPr>
            <w:r w:rsidRPr="005101ED">
              <w:t xml:space="preserve">Use CUS language: “I am </w:t>
            </w:r>
            <w:r w:rsidRPr="005101ED">
              <w:rPr>
                <w:b/>
                <w:bCs/>
              </w:rPr>
              <w:t>c</w:t>
            </w:r>
            <w:r w:rsidRPr="005101ED">
              <w:t xml:space="preserve">oncerned. I am </w:t>
            </w:r>
            <w:r w:rsidRPr="005101ED">
              <w:rPr>
                <w:b/>
                <w:bCs/>
              </w:rPr>
              <w:t>u</w:t>
            </w:r>
            <w:r w:rsidRPr="005101ED">
              <w:t xml:space="preserve">ncomfortable. This is a </w:t>
            </w:r>
            <w:r w:rsidRPr="005101ED">
              <w:rPr>
                <w:b/>
                <w:bCs/>
              </w:rPr>
              <w:t>s</w:t>
            </w:r>
            <w:r w:rsidRPr="005101ED">
              <w:t>afety issue.”</w:t>
            </w:r>
          </w:p>
          <w:p w14:paraId="7FC99979" w14:textId="77777777" w:rsidR="00B62E27" w:rsidRPr="005101ED" w:rsidRDefault="00B62E27" w:rsidP="00B62E27">
            <w:pPr>
              <w:pStyle w:val="TableBullet2"/>
            </w:pPr>
            <w:r w:rsidRPr="005101ED">
              <w:t>Use the Two Challenge rule and repeat your concern and inquire if you have been heard.</w:t>
            </w:r>
          </w:p>
          <w:p w14:paraId="7411C0AC" w14:textId="77777777" w:rsidR="00B62E27" w:rsidRPr="00B62E27" w:rsidRDefault="00B62E27" w:rsidP="00B62E27">
            <w:pPr>
              <w:pStyle w:val="TableBullet2"/>
            </w:pPr>
            <w:r w:rsidRPr="005101ED">
              <w:t>Use a predetermined “stop the line” phrase.</w:t>
            </w:r>
          </w:p>
        </w:tc>
      </w:tr>
    </w:tbl>
    <w:p w14:paraId="7883D8C0" w14:textId="77777777" w:rsidR="009F76D4" w:rsidRDefault="009F76D4">
      <w:r>
        <w:br w:type="page"/>
      </w:r>
    </w:p>
    <w:p w14:paraId="5455A9E1" w14:textId="77777777" w:rsidR="009F76D4" w:rsidRDefault="009F76D4" w:rsidP="009F76D4">
      <w:pPr>
        <w:pBdr>
          <w:top w:val="single" w:sz="4" w:space="1" w:color="auto"/>
          <w:left w:val="single" w:sz="4" w:space="4" w:color="auto"/>
          <w:bottom w:val="single" w:sz="4" w:space="1" w:color="auto"/>
          <w:right w:val="single" w:sz="4" w:space="4" w:color="auto"/>
        </w:pBdr>
        <w:shd w:val="clear" w:color="auto" w:fill="D9D9D9" w:themeFill="background1" w:themeFillShade="D9"/>
        <w:spacing w:after="20"/>
      </w:pPr>
      <w:r w:rsidRPr="005101ED">
        <w:rPr>
          <w:rFonts w:asciiTheme="minorBidi" w:hAnsiTheme="minorBidi"/>
          <w:b/>
          <w:i/>
          <w:szCs w:val="24"/>
        </w:rPr>
        <w:lastRenderedPageBreak/>
        <w:t>Teamwork Training (TeamSTEPPS</w:t>
      </w:r>
      <w:r w:rsidRPr="005101ED">
        <w:rPr>
          <w:rFonts w:asciiTheme="minorBidi" w:hAnsiTheme="minorBidi"/>
          <w:b/>
          <w:i/>
          <w:szCs w:val="24"/>
          <w:vertAlign w:val="superscript"/>
        </w:rPr>
        <w:t>®</w:t>
      </w:r>
      <w:r w:rsidRPr="005101ED">
        <w:rPr>
          <w:rFonts w:asciiTheme="minorBidi" w:hAnsiTheme="minorBidi"/>
          <w:b/>
          <w:i/>
          <w:szCs w:val="24"/>
        </w:rPr>
        <w:t>)</w:t>
      </w:r>
      <w:r>
        <w:rPr>
          <w:rFonts w:asciiTheme="minorBidi" w:hAnsiTheme="minorBidi"/>
          <w:b/>
          <w:i/>
          <w:szCs w:val="24"/>
        </w:rPr>
        <w:t xml:space="preserve"> (continued)</w:t>
      </w:r>
    </w:p>
    <w:tbl>
      <w:tblPr>
        <w:tblStyle w:val="TableGrid"/>
        <w:tblW w:w="9558" w:type="dxa"/>
        <w:tblLook w:val="04A0" w:firstRow="1" w:lastRow="0" w:firstColumn="1" w:lastColumn="0" w:noHBand="0" w:noVBand="1"/>
        <w:tblDescription w:val="Key Perinatal Safety Elements"/>
      </w:tblPr>
      <w:tblGrid>
        <w:gridCol w:w="3618"/>
        <w:gridCol w:w="5940"/>
      </w:tblGrid>
      <w:tr w:rsidR="009F76D4" w:rsidRPr="005101ED" w14:paraId="6A5DD85F" w14:textId="77777777" w:rsidTr="00232303">
        <w:trPr>
          <w:cantSplit/>
          <w:tblHeader/>
        </w:trPr>
        <w:tc>
          <w:tcPr>
            <w:tcW w:w="3618" w:type="dxa"/>
          </w:tcPr>
          <w:p w14:paraId="75631119" w14:textId="77777777" w:rsidR="009F76D4" w:rsidRPr="005101ED" w:rsidRDefault="009F76D4" w:rsidP="00232303">
            <w:pPr>
              <w:keepNext/>
              <w:rPr>
                <w:rFonts w:asciiTheme="minorBidi" w:hAnsiTheme="minorBidi" w:cstheme="minorBidi"/>
                <w:b/>
                <w:szCs w:val="24"/>
              </w:rPr>
            </w:pPr>
            <w:r w:rsidRPr="005101ED">
              <w:rPr>
                <w:rFonts w:asciiTheme="minorBidi" w:hAnsiTheme="minorBidi" w:cstheme="minorBidi"/>
                <w:b/>
                <w:szCs w:val="24"/>
              </w:rPr>
              <w:t>Key Perinatal Safety Elements</w:t>
            </w:r>
          </w:p>
        </w:tc>
        <w:tc>
          <w:tcPr>
            <w:tcW w:w="5940" w:type="dxa"/>
          </w:tcPr>
          <w:p w14:paraId="7493EFA7" w14:textId="77777777" w:rsidR="009F76D4" w:rsidRPr="005101ED" w:rsidRDefault="009F76D4" w:rsidP="00232303">
            <w:pPr>
              <w:keepNext/>
              <w:rPr>
                <w:rFonts w:asciiTheme="minorBidi" w:hAnsiTheme="minorBidi" w:cstheme="minorBidi"/>
                <w:b/>
                <w:szCs w:val="24"/>
              </w:rPr>
            </w:pPr>
            <w:r w:rsidRPr="005101ED">
              <w:rPr>
                <w:rFonts w:asciiTheme="minorBidi" w:hAnsiTheme="minorBidi" w:cstheme="minorBidi"/>
                <w:b/>
                <w:szCs w:val="24"/>
              </w:rPr>
              <w:t>Examples/customizable components</w:t>
            </w:r>
          </w:p>
        </w:tc>
      </w:tr>
      <w:tr w:rsidR="00491BD3" w:rsidRPr="005101ED" w14:paraId="2B44A789" w14:textId="77777777" w:rsidTr="009F76D4">
        <w:trPr>
          <w:cantSplit/>
          <w:trHeight w:val="2484"/>
        </w:trPr>
        <w:tc>
          <w:tcPr>
            <w:tcW w:w="3618" w:type="dxa"/>
          </w:tcPr>
          <w:p w14:paraId="3581E8FF" w14:textId="39AE8DD4" w:rsidR="00491BD3" w:rsidRPr="005101ED" w:rsidRDefault="00491BD3" w:rsidP="00491BD3">
            <w:pPr>
              <w:rPr>
                <w:rFonts w:asciiTheme="minorBidi" w:hAnsiTheme="minorBidi"/>
                <w:szCs w:val="24"/>
              </w:rPr>
            </w:pPr>
            <w:r w:rsidRPr="005101ED">
              <w:rPr>
                <w:rFonts w:asciiTheme="minorBidi" w:hAnsiTheme="minorBidi"/>
                <w:szCs w:val="24"/>
              </w:rPr>
              <w:t>High-reliability teams:</w:t>
            </w:r>
          </w:p>
          <w:p w14:paraId="53D454CE" w14:textId="77777777" w:rsidR="00491BD3" w:rsidRPr="005101ED" w:rsidRDefault="00491BD3" w:rsidP="00BE256C">
            <w:pPr>
              <w:rPr>
                <w:rFonts w:asciiTheme="minorBidi" w:hAnsiTheme="minorBidi"/>
                <w:szCs w:val="24"/>
              </w:rPr>
            </w:pPr>
            <w:r>
              <w:rPr>
                <w:rFonts w:asciiTheme="minorBidi" w:hAnsiTheme="minorBidi"/>
                <w:szCs w:val="24"/>
              </w:rPr>
              <w:t>(continued)</w:t>
            </w:r>
          </w:p>
        </w:tc>
        <w:tc>
          <w:tcPr>
            <w:tcW w:w="5940" w:type="dxa"/>
          </w:tcPr>
          <w:p w14:paraId="13C63855" w14:textId="77777777" w:rsidR="00491BD3" w:rsidRPr="005101ED" w:rsidRDefault="00491BD3" w:rsidP="00491BD3">
            <w:pPr>
              <w:pStyle w:val="TableBullet1"/>
            </w:pPr>
            <w:r w:rsidRPr="005101ED">
              <w:t>Manage conflict using a constructive positive approach to emphasize “what is right, not who is right”:</w:t>
            </w:r>
          </w:p>
          <w:p w14:paraId="366BD205" w14:textId="77777777" w:rsidR="00491BD3" w:rsidRPr="005101ED" w:rsidRDefault="00491BD3" w:rsidP="00491BD3">
            <w:pPr>
              <w:pStyle w:val="TableBullet2"/>
            </w:pPr>
            <w:r w:rsidRPr="005101ED">
              <w:rPr>
                <w:b/>
                <w:bCs/>
              </w:rPr>
              <w:t>D:</w:t>
            </w:r>
            <w:r w:rsidRPr="005101ED">
              <w:t xml:space="preserve"> Describe the specific behavior or situation.</w:t>
            </w:r>
            <w:r w:rsidRPr="005101ED">
              <w:rPr>
                <w:b/>
                <w:bCs/>
              </w:rPr>
              <w:t xml:space="preserve"> E:</w:t>
            </w:r>
            <w:r w:rsidRPr="005101ED">
              <w:t xml:space="preserve"> </w:t>
            </w:r>
            <w:r w:rsidRPr="00AD04A0">
              <w:rPr>
                <w:bCs/>
              </w:rPr>
              <w:t>Express</w:t>
            </w:r>
            <w:r w:rsidRPr="005101ED">
              <w:t xml:space="preserve"> how the situation makes you feel or concerns you.</w:t>
            </w:r>
          </w:p>
          <w:p w14:paraId="6164EC0C" w14:textId="77777777" w:rsidR="00491BD3" w:rsidRPr="005101ED" w:rsidRDefault="00491BD3" w:rsidP="00D34F1A">
            <w:pPr>
              <w:pStyle w:val="TableBullet2"/>
            </w:pPr>
            <w:r w:rsidRPr="005101ED">
              <w:rPr>
                <w:b/>
                <w:bCs/>
              </w:rPr>
              <w:t>S:</w:t>
            </w:r>
            <w:r w:rsidRPr="005101ED">
              <w:t xml:space="preserve"> Suggest other alternatives.</w:t>
            </w:r>
          </w:p>
          <w:p w14:paraId="77C06737" w14:textId="77777777" w:rsidR="00491BD3" w:rsidRPr="005101ED" w:rsidRDefault="00491BD3" w:rsidP="00D34F1A">
            <w:pPr>
              <w:pStyle w:val="TableBullet2"/>
            </w:pPr>
            <w:r w:rsidRPr="005101ED">
              <w:rPr>
                <w:b/>
                <w:bCs/>
              </w:rPr>
              <w:t>C:</w:t>
            </w:r>
            <w:r w:rsidRPr="005101ED">
              <w:t xml:space="preserve"> Consequences stated in terms of team goals</w:t>
            </w:r>
            <w:r>
              <w:t>, n</w:t>
            </w:r>
            <w:r w:rsidRPr="005101ED">
              <w:t>ot punishment.</w:t>
            </w:r>
          </w:p>
        </w:tc>
      </w:tr>
    </w:tbl>
    <w:p w14:paraId="03DC04AC" w14:textId="6F55DACA" w:rsidR="00BD387E" w:rsidRDefault="00BD387E" w:rsidP="00BD387E">
      <w:pPr>
        <w:pStyle w:val="BodyText"/>
        <w:spacing w:after="0"/>
        <w:rPr>
          <w:b/>
          <w:sz w:val="12"/>
          <w:szCs w:val="12"/>
        </w:rPr>
      </w:pPr>
    </w:p>
    <w:p w14:paraId="4BB763A7" w14:textId="5576E9A3" w:rsidR="009F76D4" w:rsidRPr="001C207A" w:rsidRDefault="009F76D4" w:rsidP="009F76D4">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after="20"/>
        <w:rPr>
          <w:b/>
          <w:sz w:val="12"/>
          <w:szCs w:val="12"/>
        </w:rPr>
      </w:pPr>
      <w:r w:rsidRPr="001C207A">
        <w:rPr>
          <w:b/>
          <w:i/>
        </w:rPr>
        <w:t>Patient and Family Engagement (CUSP)</w:t>
      </w:r>
    </w:p>
    <w:tbl>
      <w:tblPr>
        <w:tblStyle w:val="TableGrid"/>
        <w:tblW w:w="9558" w:type="dxa"/>
        <w:tblLook w:val="04A0" w:firstRow="1" w:lastRow="0" w:firstColumn="1" w:lastColumn="0" w:noHBand="0" w:noVBand="1"/>
        <w:tblDescription w:val="Key Perinatal Safety Elements"/>
      </w:tblPr>
      <w:tblGrid>
        <w:gridCol w:w="3618"/>
        <w:gridCol w:w="5940"/>
      </w:tblGrid>
      <w:tr w:rsidR="00BD387E" w:rsidRPr="001C207A" w14:paraId="3D067D58" w14:textId="77777777" w:rsidTr="009F76D4">
        <w:trPr>
          <w:cantSplit/>
          <w:tblHeader/>
        </w:trPr>
        <w:tc>
          <w:tcPr>
            <w:tcW w:w="3618" w:type="dxa"/>
          </w:tcPr>
          <w:p w14:paraId="2A4E2528" w14:textId="77777777" w:rsidR="00BD387E" w:rsidRPr="009F76D4" w:rsidRDefault="00BD387E" w:rsidP="00BE256C">
            <w:pPr>
              <w:keepNext/>
              <w:rPr>
                <w:rFonts w:asciiTheme="minorBidi" w:hAnsiTheme="minorBidi" w:cstheme="minorBidi"/>
                <w:b/>
                <w:szCs w:val="24"/>
              </w:rPr>
            </w:pPr>
            <w:r w:rsidRPr="009F76D4">
              <w:rPr>
                <w:rFonts w:asciiTheme="minorBidi" w:hAnsiTheme="minorBidi" w:cstheme="minorBidi"/>
                <w:b/>
                <w:szCs w:val="24"/>
              </w:rPr>
              <w:t>Key Perinatal Safety Elements</w:t>
            </w:r>
          </w:p>
        </w:tc>
        <w:tc>
          <w:tcPr>
            <w:tcW w:w="5940" w:type="dxa"/>
          </w:tcPr>
          <w:p w14:paraId="12F430F2" w14:textId="77777777" w:rsidR="00BD387E" w:rsidRPr="001C207A" w:rsidRDefault="00BD387E" w:rsidP="00BE256C">
            <w:pPr>
              <w:rPr>
                <w:b/>
              </w:rPr>
            </w:pPr>
            <w:r w:rsidRPr="001C207A">
              <w:rPr>
                <w:b/>
              </w:rPr>
              <w:t>Examples/customizable components</w:t>
            </w:r>
          </w:p>
        </w:tc>
      </w:tr>
      <w:tr w:rsidR="00BD387E" w:rsidRPr="00414679" w14:paraId="35D72BF7" w14:textId="77777777" w:rsidTr="009F76D4">
        <w:trPr>
          <w:cantSplit/>
        </w:trPr>
        <w:tc>
          <w:tcPr>
            <w:tcW w:w="3618" w:type="dxa"/>
          </w:tcPr>
          <w:p w14:paraId="3D03731C" w14:textId="77777777" w:rsidR="00BD387E" w:rsidRPr="00CC54CE" w:rsidRDefault="00BD387E" w:rsidP="00BE256C">
            <w:pPr>
              <w:rPr>
                <w:szCs w:val="24"/>
              </w:rPr>
            </w:pPr>
            <w:r w:rsidRPr="00CC54CE">
              <w:rPr>
                <w:rFonts w:asciiTheme="minorBidi" w:hAnsiTheme="minorBidi" w:cstheme="minorBidi"/>
                <w:szCs w:val="24"/>
              </w:rPr>
              <w:t xml:space="preserve">Discuss risks and benefits of intrapartum or postpartum magnesium sulfate use. </w:t>
            </w:r>
          </w:p>
        </w:tc>
        <w:tc>
          <w:tcPr>
            <w:tcW w:w="5940" w:type="dxa"/>
          </w:tcPr>
          <w:p w14:paraId="4863C05B" w14:textId="77777777" w:rsidR="00BD387E" w:rsidRPr="00CC54CE" w:rsidRDefault="00BD387E" w:rsidP="00BE256C">
            <w:pPr>
              <w:spacing w:after="60"/>
              <w:rPr>
                <w:szCs w:val="24"/>
              </w:rPr>
            </w:pPr>
            <w:r w:rsidRPr="00CC54CE">
              <w:rPr>
                <w:szCs w:val="24"/>
              </w:rPr>
              <w:t>U</w:t>
            </w:r>
            <w:r w:rsidR="00491BD3">
              <w:rPr>
                <w:szCs w:val="24"/>
              </w:rPr>
              <w:t>se u</w:t>
            </w:r>
            <w:r w:rsidRPr="00CC54CE">
              <w:rPr>
                <w:szCs w:val="24"/>
              </w:rPr>
              <w:t>nit-established process for conveying risks and benefits of magnesium sulfate use to patient and family.</w:t>
            </w:r>
          </w:p>
        </w:tc>
      </w:tr>
      <w:tr w:rsidR="00BD387E" w:rsidRPr="00414679" w14:paraId="744F6F13" w14:textId="77777777" w:rsidTr="009F76D4">
        <w:trPr>
          <w:cantSplit/>
        </w:trPr>
        <w:tc>
          <w:tcPr>
            <w:tcW w:w="3618" w:type="dxa"/>
          </w:tcPr>
          <w:p w14:paraId="1ABE7275" w14:textId="77777777" w:rsidR="00BD387E" w:rsidRPr="00CC54CE" w:rsidRDefault="00BD387E" w:rsidP="00BE256C">
            <w:pPr>
              <w:rPr>
                <w:szCs w:val="24"/>
              </w:rPr>
            </w:pPr>
            <w:r w:rsidRPr="00CC54CE">
              <w:rPr>
                <w:rFonts w:asciiTheme="minorBidi" w:hAnsiTheme="minorBidi" w:cstheme="minorBidi"/>
                <w:szCs w:val="24"/>
              </w:rPr>
              <w:t>Educate patient/family regarding magnesium sulfate use.</w:t>
            </w:r>
          </w:p>
        </w:tc>
        <w:tc>
          <w:tcPr>
            <w:tcW w:w="5940" w:type="dxa"/>
          </w:tcPr>
          <w:p w14:paraId="1739B02C" w14:textId="1346124B" w:rsidR="00BD387E" w:rsidRPr="00EB403F" w:rsidRDefault="00BD387E" w:rsidP="00D34F1A">
            <w:pPr>
              <w:pStyle w:val="TableBullet1"/>
            </w:pPr>
            <w:r w:rsidRPr="00EB403F">
              <w:t>U</w:t>
            </w:r>
            <w:r w:rsidR="00491BD3">
              <w:t>se u</w:t>
            </w:r>
            <w:r w:rsidRPr="00EB403F">
              <w:t xml:space="preserve">nit-established approach for nursing-led patient education regarding </w:t>
            </w:r>
            <w:r>
              <w:t xml:space="preserve">magnesium sulfate infusion, </w:t>
            </w:r>
            <w:r w:rsidR="00AD04A0">
              <w:t>mobility restrictions,</w:t>
            </w:r>
            <w:r w:rsidRPr="00EB403F">
              <w:t xml:space="preserve"> and expected effects.</w:t>
            </w:r>
          </w:p>
          <w:p w14:paraId="42B98604" w14:textId="77777777" w:rsidR="001573D0" w:rsidRDefault="00491BD3" w:rsidP="00491BD3">
            <w:pPr>
              <w:pStyle w:val="TableBullet1"/>
            </w:pPr>
            <w:r>
              <w:t>Educate p</w:t>
            </w:r>
            <w:r w:rsidR="00BD387E" w:rsidRPr="00EB403F">
              <w:t xml:space="preserve">atient and family concerning </w:t>
            </w:r>
            <w:r w:rsidR="00BD387E">
              <w:t xml:space="preserve">frequency of nursing assessment and monitoring, </w:t>
            </w:r>
            <w:r w:rsidR="00BD387E" w:rsidRPr="00EB403F">
              <w:t>signs and sympt</w:t>
            </w:r>
            <w:r w:rsidR="001573D0">
              <w:t>oms to report to nursing staff.</w:t>
            </w:r>
          </w:p>
          <w:p w14:paraId="1B284E45" w14:textId="6B900650" w:rsidR="00BD387E" w:rsidRPr="001C207A" w:rsidRDefault="001573D0" w:rsidP="001573D0">
            <w:pPr>
              <w:pStyle w:val="TableBullet1"/>
            </w:pPr>
            <w:r>
              <w:rPr>
                <w:rFonts w:asciiTheme="minorBidi" w:hAnsiTheme="minorBidi" w:cstheme="minorBidi"/>
              </w:rPr>
              <w:t>Provide i</w:t>
            </w:r>
            <w:r w:rsidRPr="005B21FF">
              <w:rPr>
                <w:rFonts w:asciiTheme="minorBidi" w:hAnsiTheme="minorBidi" w:cstheme="minorBidi"/>
              </w:rPr>
              <w:t xml:space="preserve">nstructions for reporting signs and symptoms </w:t>
            </w:r>
            <w:r>
              <w:rPr>
                <w:rFonts w:asciiTheme="minorBidi" w:hAnsiTheme="minorBidi" w:cstheme="minorBidi"/>
              </w:rPr>
              <w:t>to nursing staff.</w:t>
            </w:r>
          </w:p>
        </w:tc>
      </w:tr>
    </w:tbl>
    <w:p w14:paraId="26652D15" w14:textId="77777777" w:rsidR="00D34F1A" w:rsidRDefault="00D34F1A" w:rsidP="00184553">
      <w:pPr>
        <w:pStyle w:val="BodyText"/>
        <w:rPr>
          <w:rStyle w:val="Heading1Char"/>
        </w:rPr>
      </w:pPr>
    </w:p>
    <w:p w14:paraId="127F37CD" w14:textId="77777777" w:rsidR="00D34F1A" w:rsidRDefault="00D34F1A" w:rsidP="00D34F1A">
      <w:pPr>
        <w:rPr>
          <w:rStyle w:val="Heading1Char"/>
        </w:rPr>
      </w:pPr>
      <w:r>
        <w:rPr>
          <w:rStyle w:val="Heading1Char"/>
        </w:rPr>
        <w:br w:type="page"/>
      </w:r>
    </w:p>
    <w:p w14:paraId="358C7DA7" w14:textId="79C0B710" w:rsidR="00BD387E" w:rsidRPr="00184553" w:rsidRDefault="00BD387E" w:rsidP="00184553">
      <w:pPr>
        <w:pStyle w:val="BodyText"/>
        <w:rPr>
          <w:rStyle w:val="Heading1Char"/>
        </w:rPr>
      </w:pPr>
      <w:r w:rsidRPr="00184553">
        <w:rPr>
          <w:rStyle w:val="Heading1Char"/>
        </w:rPr>
        <w:lastRenderedPageBreak/>
        <w:t>References</w:t>
      </w:r>
    </w:p>
    <w:p w14:paraId="69BD42C3" w14:textId="49C14750" w:rsidR="00BD387E" w:rsidRPr="00250EC1" w:rsidRDefault="00BD387E" w:rsidP="00B94ED3">
      <w:pPr>
        <w:pStyle w:val="CommentText"/>
        <w:numPr>
          <w:ilvl w:val="0"/>
          <w:numId w:val="14"/>
        </w:numPr>
        <w:spacing w:after="240"/>
        <w:ind w:left="360"/>
        <w:rPr>
          <w:sz w:val="24"/>
          <w:szCs w:val="24"/>
        </w:rPr>
      </w:pPr>
      <w:r w:rsidRPr="00250EC1">
        <w:rPr>
          <w:sz w:val="24"/>
          <w:szCs w:val="24"/>
        </w:rPr>
        <w:t xml:space="preserve">Doyle LW, Crowther CA, Middleton P, et al. Magnesium </w:t>
      </w:r>
      <w:proofErr w:type="spellStart"/>
      <w:r w:rsidRPr="00250EC1">
        <w:rPr>
          <w:sz w:val="24"/>
          <w:szCs w:val="24"/>
        </w:rPr>
        <w:t>sulphate</w:t>
      </w:r>
      <w:proofErr w:type="spellEnd"/>
      <w:r w:rsidRPr="00250EC1">
        <w:rPr>
          <w:sz w:val="24"/>
          <w:szCs w:val="24"/>
        </w:rPr>
        <w:t xml:space="preserve"> for</w:t>
      </w:r>
      <w:r w:rsidR="005A0150">
        <w:rPr>
          <w:sz w:val="24"/>
          <w:szCs w:val="24"/>
        </w:rPr>
        <w:t xml:space="preserve"> </w:t>
      </w:r>
      <w:r w:rsidRPr="00250EC1">
        <w:rPr>
          <w:sz w:val="24"/>
          <w:szCs w:val="24"/>
        </w:rPr>
        <w:t xml:space="preserve">women at risk of preterm birth for neuroprotection of the fetus. Cochrane Database </w:t>
      </w:r>
      <w:proofErr w:type="spellStart"/>
      <w:r w:rsidRPr="00250EC1">
        <w:rPr>
          <w:sz w:val="24"/>
          <w:szCs w:val="24"/>
        </w:rPr>
        <w:t>Syst</w:t>
      </w:r>
      <w:proofErr w:type="spellEnd"/>
      <w:r w:rsidRPr="00250EC1">
        <w:rPr>
          <w:sz w:val="24"/>
          <w:szCs w:val="24"/>
        </w:rPr>
        <w:t xml:space="preserve"> Rev. 2009 Jan 21;(1):CD004661. Review. PMID: 19160238.</w:t>
      </w:r>
    </w:p>
    <w:p w14:paraId="1CB71D8A" w14:textId="77777777" w:rsidR="00BD387E" w:rsidRPr="00250EC1" w:rsidRDefault="00BD387E" w:rsidP="00AD04A0">
      <w:pPr>
        <w:pStyle w:val="CommentText"/>
        <w:numPr>
          <w:ilvl w:val="0"/>
          <w:numId w:val="14"/>
        </w:numPr>
        <w:spacing w:after="240"/>
        <w:ind w:left="360"/>
        <w:rPr>
          <w:sz w:val="24"/>
          <w:szCs w:val="24"/>
        </w:rPr>
      </w:pPr>
      <w:proofErr w:type="spellStart"/>
      <w:r w:rsidRPr="00250EC1">
        <w:rPr>
          <w:sz w:val="24"/>
          <w:szCs w:val="24"/>
        </w:rPr>
        <w:t>Duley</w:t>
      </w:r>
      <w:proofErr w:type="spellEnd"/>
      <w:r w:rsidRPr="00250EC1">
        <w:rPr>
          <w:sz w:val="24"/>
          <w:szCs w:val="24"/>
        </w:rPr>
        <w:t xml:space="preserve"> L, </w:t>
      </w:r>
      <w:proofErr w:type="spellStart"/>
      <w:r w:rsidRPr="00250EC1">
        <w:rPr>
          <w:sz w:val="24"/>
          <w:szCs w:val="24"/>
        </w:rPr>
        <w:t>Gülmezoglu</w:t>
      </w:r>
      <w:proofErr w:type="spellEnd"/>
      <w:r w:rsidRPr="00250EC1">
        <w:rPr>
          <w:sz w:val="24"/>
          <w:szCs w:val="24"/>
        </w:rPr>
        <w:t xml:space="preserve"> AM, Henderson-Smart DJ, et al. Magnesium </w:t>
      </w:r>
      <w:proofErr w:type="spellStart"/>
      <w:r w:rsidRPr="00250EC1">
        <w:rPr>
          <w:sz w:val="24"/>
          <w:szCs w:val="24"/>
        </w:rPr>
        <w:t>sulphate</w:t>
      </w:r>
      <w:proofErr w:type="spellEnd"/>
      <w:r w:rsidRPr="00250EC1">
        <w:rPr>
          <w:sz w:val="24"/>
          <w:szCs w:val="24"/>
        </w:rPr>
        <w:t xml:space="preserve"> and other anticonvulsants for women with pre-eclampsia. Cochrane Database </w:t>
      </w:r>
      <w:proofErr w:type="spellStart"/>
      <w:r w:rsidRPr="00250EC1">
        <w:rPr>
          <w:sz w:val="24"/>
          <w:szCs w:val="24"/>
        </w:rPr>
        <w:t>Syst</w:t>
      </w:r>
      <w:proofErr w:type="spellEnd"/>
      <w:r w:rsidRPr="00250EC1">
        <w:rPr>
          <w:sz w:val="24"/>
          <w:szCs w:val="24"/>
        </w:rPr>
        <w:t xml:space="preserve"> Rev. 2010 Nov 10;(11):CD000025. </w:t>
      </w:r>
      <w:proofErr w:type="spellStart"/>
      <w:r w:rsidRPr="00250EC1">
        <w:rPr>
          <w:sz w:val="24"/>
          <w:szCs w:val="24"/>
        </w:rPr>
        <w:t>doi</w:t>
      </w:r>
      <w:proofErr w:type="spellEnd"/>
      <w:r w:rsidRPr="00250EC1">
        <w:rPr>
          <w:sz w:val="24"/>
          <w:szCs w:val="24"/>
        </w:rPr>
        <w:t>: 10.1002/14651858.CD000025.pub2. Review. PMID: 21069663.</w:t>
      </w:r>
    </w:p>
    <w:p w14:paraId="37F503C9" w14:textId="5DC93C53" w:rsidR="00BD387E" w:rsidRPr="00250EC1" w:rsidRDefault="00BD387E" w:rsidP="00EE261B">
      <w:pPr>
        <w:pStyle w:val="CommentText"/>
        <w:numPr>
          <w:ilvl w:val="0"/>
          <w:numId w:val="14"/>
        </w:numPr>
        <w:spacing w:after="240"/>
        <w:ind w:left="360"/>
        <w:rPr>
          <w:sz w:val="24"/>
          <w:szCs w:val="24"/>
        </w:rPr>
      </w:pPr>
      <w:r w:rsidRPr="00250EC1">
        <w:rPr>
          <w:sz w:val="24"/>
          <w:szCs w:val="24"/>
        </w:rPr>
        <w:t xml:space="preserve">American College of Obstetricians and Gynecologists Committee on Obstetric Practice Society for Maternal-Fetal Medicine. Committee Opinion No. </w:t>
      </w:r>
      <w:r w:rsidR="00EE261B">
        <w:rPr>
          <w:sz w:val="24"/>
          <w:szCs w:val="24"/>
        </w:rPr>
        <w:t>652</w:t>
      </w:r>
      <w:r w:rsidRPr="00250EC1">
        <w:rPr>
          <w:sz w:val="24"/>
          <w:szCs w:val="24"/>
        </w:rPr>
        <w:t xml:space="preserve">: Magnesium sulfate use in obstetrics. Obstet Gynecol. </w:t>
      </w:r>
      <w:r w:rsidR="00EE261B" w:rsidRPr="00EE261B">
        <w:rPr>
          <w:sz w:val="24"/>
          <w:szCs w:val="24"/>
        </w:rPr>
        <w:t xml:space="preserve">2016 Jan;127(1):e52-3. </w:t>
      </w:r>
      <w:proofErr w:type="spellStart"/>
      <w:r w:rsidR="00EE261B" w:rsidRPr="00EE261B">
        <w:rPr>
          <w:sz w:val="24"/>
          <w:szCs w:val="24"/>
        </w:rPr>
        <w:t>doi</w:t>
      </w:r>
      <w:proofErr w:type="spellEnd"/>
      <w:r w:rsidR="00EE261B" w:rsidRPr="00EE261B">
        <w:rPr>
          <w:sz w:val="24"/>
          <w:szCs w:val="24"/>
        </w:rPr>
        <w:t>: 10.1097</w:t>
      </w:r>
      <w:r w:rsidRPr="00250EC1">
        <w:rPr>
          <w:sz w:val="24"/>
          <w:szCs w:val="24"/>
        </w:rPr>
        <w:t>.AOG.</w:t>
      </w:r>
      <w:r w:rsidR="00EE261B" w:rsidRPr="00EE261B">
        <w:t xml:space="preserve"> </w:t>
      </w:r>
      <w:r w:rsidR="00EE261B" w:rsidRPr="00EE261B">
        <w:rPr>
          <w:sz w:val="24"/>
          <w:szCs w:val="24"/>
        </w:rPr>
        <w:t>0000000000001267</w:t>
      </w:r>
      <w:r w:rsidRPr="00250EC1">
        <w:rPr>
          <w:sz w:val="24"/>
          <w:szCs w:val="24"/>
        </w:rPr>
        <w:t xml:space="preserve">. PMID: </w:t>
      </w:r>
      <w:r w:rsidR="00EE261B" w:rsidRPr="00EE261B">
        <w:rPr>
          <w:sz w:val="24"/>
          <w:szCs w:val="24"/>
        </w:rPr>
        <w:t>26695587</w:t>
      </w:r>
      <w:r w:rsidRPr="00250EC1">
        <w:rPr>
          <w:sz w:val="24"/>
          <w:szCs w:val="24"/>
        </w:rPr>
        <w:t>.</w:t>
      </w:r>
    </w:p>
    <w:p w14:paraId="4D9F08E4" w14:textId="77777777" w:rsidR="00BD387E" w:rsidRPr="00250EC1" w:rsidRDefault="00BD387E" w:rsidP="00AD04A0">
      <w:pPr>
        <w:pStyle w:val="CommentText"/>
        <w:numPr>
          <w:ilvl w:val="0"/>
          <w:numId w:val="14"/>
        </w:numPr>
        <w:spacing w:after="240"/>
        <w:ind w:left="360"/>
        <w:rPr>
          <w:sz w:val="24"/>
          <w:szCs w:val="24"/>
        </w:rPr>
      </w:pPr>
      <w:r w:rsidRPr="00250EC1">
        <w:rPr>
          <w:sz w:val="24"/>
          <w:szCs w:val="24"/>
        </w:rPr>
        <w:t xml:space="preserve">Committee on Obstetric Practice. Committee Opinion no. 514: emergent therapy for acute-onset, severe hypertension with preeclampsia or eclampsia. Obstet Gynecol. 2011 Dec;118(6):1465-8. </w:t>
      </w:r>
      <w:proofErr w:type="spellStart"/>
      <w:r w:rsidRPr="00250EC1">
        <w:rPr>
          <w:sz w:val="24"/>
          <w:szCs w:val="24"/>
        </w:rPr>
        <w:t>doi</w:t>
      </w:r>
      <w:proofErr w:type="spellEnd"/>
      <w:r w:rsidRPr="00250EC1">
        <w:rPr>
          <w:sz w:val="24"/>
          <w:szCs w:val="24"/>
        </w:rPr>
        <w:t>: 10.1097/AOG.0b013e31823ed1ef. PMID: 22105295.</w:t>
      </w:r>
    </w:p>
    <w:p w14:paraId="3BFAC275" w14:textId="1E02E7A9" w:rsidR="00EE261B" w:rsidRPr="00250EC1" w:rsidRDefault="00BD387E" w:rsidP="00EE261B">
      <w:pPr>
        <w:pStyle w:val="CommentText"/>
        <w:numPr>
          <w:ilvl w:val="0"/>
          <w:numId w:val="14"/>
        </w:numPr>
        <w:spacing w:after="240"/>
        <w:ind w:left="360"/>
        <w:rPr>
          <w:sz w:val="24"/>
          <w:szCs w:val="24"/>
        </w:rPr>
      </w:pPr>
      <w:r w:rsidRPr="00EE261B">
        <w:rPr>
          <w:sz w:val="24"/>
          <w:szCs w:val="24"/>
        </w:rPr>
        <w:t>American College of Obstetricians and Gynecologists; Committee on Practice Bulletins—Obstetrics. ACOG practice bulletin no. 1</w:t>
      </w:r>
      <w:r w:rsidR="00EE261B" w:rsidRPr="00EE261B">
        <w:rPr>
          <w:sz w:val="24"/>
          <w:szCs w:val="24"/>
        </w:rPr>
        <w:t>59</w:t>
      </w:r>
      <w:r w:rsidRPr="00EE261B">
        <w:rPr>
          <w:sz w:val="24"/>
          <w:szCs w:val="24"/>
        </w:rPr>
        <w:t>: Management of preterm labor. Obstet Gynecol. 201</w:t>
      </w:r>
      <w:r w:rsidR="00EE261B" w:rsidRPr="00EE261B">
        <w:rPr>
          <w:sz w:val="24"/>
          <w:szCs w:val="24"/>
        </w:rPr>
        <w:t>6</w:t>
      </w:r>
      <w:r w:rsidRPr="00EE261B">
        <w:rPr>
          <w:sz w:val="24"/>
          <w:szCs w:val="24"/>
        </w:rPr>
        <w:t xml:space="preserve"> J</w:t>
      </w:r>
      <w:r w:rsidR="00EE261B" w:rsidRPr="00EE261B">
        <w:rPr>
          <w:sz w:val="24"/>
          <w:szCs w:val="24"/>
        </w:rPr>
        <w:t>an</w:t>
      </w:r>
      <w:r w:rsidRPr="00EE261B">
        <w:rPr>
          <w:sz w:val="24"/>
          <w:szCs w:val="24"/>
        </w:rPr>
        <w:t>;1</w:t>
      </w:r>
      <w:r w:rsidR="00EE261B" w:rsidRPr="00EE261B">
        <w:rPr>
          <w:sz w:val="24"/>
          <w:szCs w:val="24"/>
        </w:rPr>
        <w:t>27</w:t>
      </w:r>
      <w:r w:rsidRPr="00EE261B">
        <w:rPr>
          <w:sz w:val="24"/>
          <w:szCs w:val="24"/>
        </w:rPr>
        <w:t>(</w:t>
      </w:r>
      <w:r w:rsidR="00EE261B" w:rsidRPr="00EE261B">
        <w:rPr>
          <w:sz w:val="24"/>
          <w:szCs w:val="24"/>
        </w:rPr>
        <w:t>1</w:t>
      </w:r>
      <w:r w:rsidRPr="00EE261B">
        <w:rPr>
          <w:sz w:val="24"/>
          <w:szCs w:val="24"/>
        </w:rPr>
        <w:t>):</w:t>
      </w:r>
      <w:r w:rsidR="00EE261B" w:rsidRPr="00EE261B">
        <w:rPr>
          <w:sz w:val="24"/>
          <w:szCs w:val="24"/>
        </w:rPr>
        <w:t>e29-e38</w:t>
      </w:r>
      <w:r w:rsidRPr="00EE261B">
        <w:rPr>
          <w:sz w:val="24"/>
          <w:szCs w:val="24"/>
        </w:rPr>
        <w:t xml:space="preserve">. </w:t>
      </w:r>
      <w:proofErr w:type="spellStart"/>
      <w:r w:rsidRPr="00EE261B">
        <w:rPr>
          <w:sz w:val="24"/>
          <w:szCs w:val="24"/>
        </w:rPr>
        <w:t>doi</w:t>
      </w:r>
      <w:proofErr w:type="spellEnd"/>
      <w:r w:rsidRPr="00EE261B">
        <w:rPr>
          <w:sz w:val="24"/>
          <w:szCs w:val="24"/>
        </w:rPr>
        <w:t>: 10.1097/AOG.</w:t>
      </w:r>
      <w:r w:rsidR="00EE261B" w:rsidRPr="00EE261B">
        <w:t xml:space="preserve"> </w:t>
      </w:r>
      <w:r w:rsidR="00EE261B" w:rsidRPr="00EE261B">
        <w:rPr>
          <w:sz w:val="24"/>
          <w:szCs w:val="24"/>
        </w:rPr>
        <w:t>0000000000001265</w:t>
      </w:r>
      <w:r w:rsidRPr="00EE261B">
        <w:rPr>
          <w:sz w:val="24"/>
          <w:szCs w:val="24"/>
        </w:rPr>
        <w:t xml:space="preserve">. PMID: </w:t>
      </w:r>
      <w:r w:rsidR="00EE261B" w:rsidRPr="00EE261B">
        <w:rPr>
          <w:sz w:val="24"/>
          <w:szCs w:val="24"/>
        </w:rPr>
        <w:t>26695585</w:t>
      </w:r>
      <w:r w:rsidRPr="00EE261B">
        <w:rPr>
          <w:sz w:val="24"/>
          <w:szCs w:val="24"/>
        </w:rPr>
        <w:t>.</w:t>
      </w:r>
      <w:r w:rsidR="00EE261B" w:rsidRPr="00EE261B">
        <w:rPr>
          <w:sz w:val="24"/>
          <w:szCs w:val="24"/>
        </w:rPr>
        <w:t xml:space="preserve"> </w:t>
      </w:r>
    </w:p>
    <w:p w14:paraId="47FCF4C7" w14:textId="7FD3253D" w:rsidR="00BD387E" w:rsidRPr="00EE261B" w:rsidRDefault="00BD387E" w:rsidP="00AD04A0">
      <w:pPr>
        <w:pStyle w:val="CommentText"/>
        <w:numPr>
          <w:ilvl w:val="0"/>
          <w:numId w:val="14"/>
        </w:numPr>
        <w:spacing w:after="240"/>
        <w:ind w:left="360"/>
        <w:rPr>
          <w:sz w:val="24"/>
          <w:szCs w:val="24"/>
        </w:rPr>
      </w:pPr>
      <w:r w:rsidRPr="00EE261B">
        <w:rPr>
          <w:sz w:val="24"/>
          <w:szCs w:val="24"/>
        </w:rPr>
        <w:t>American College of Obstetricians and Gynecologists Committee on Obstetric Practice; Society for Maternal-Fetal Medicine. Committee Opinion No. 455: Magnesium sulfate before anticipated preterm birth for neuroprote</w:t>
      </w:r>
      <w:r w:rsidR="00EE261B">
        <w:rPr>
          <w:sz w:val="24"/>
          <w:szCs w:val="24"/>
        </w:rPr>
        <w:t>ction. Obstet Gynecol. 2010 Mar, reaffirmed 2015;</w:t>
      </w:r>
      <w:r w:rsidRPr="00EE261B">
        <w:rPr>
          <w:sz w:val="24"/>
          <w:szCs w:val="24"/>
        </w:rPr>
        <w:t xml:space="preserve">115(3):669-71. </w:t>
      </w:r>
      <w:proofErr w:type="spellStart"/>
      <w:r w:rsidRPr="00EE261B">
        <w:rPr>
          <w:sz w:val="24"/>
          <w:szCs w:val="24"/>
        </w:rPr>
        <w:t>doi</w:t>
      </w:r>
      <w:proofErr w:type="spellEnd"/>
      <w:r w:rsidRPr="00EE261B">
        <w:rPr>
          <w:sz w:val="24"/>
          <w:szCs w:val="24"/>
        </w:rPr>
        <w:t>: 10.1097/AOG.0b013e3181d4ffa5. PMID: 20177305.</w:t>
      </w:r>
    </w:p>
    <w:p w14:paraId="4E47480A" w14:textId="77777777" w:rsidR="00BD387E" w:rsidRPr="00250EC1" w:rsidRDefault="00BD387E" w:rsidP="00AD04A0">
      <w:pPr>
        <w:pStyle w:val="CommentText"/>
        <w:numPr>
          <w:ilvl w:val="0"/>
          <w:numId w:val="14"/>
        </w:numPr>
        <w:spacing w:after="240"/>
        <w:ind w:left="360"/>
        <w:rPr>
          <w:sz w:val="24"/>
          <w:szCs w:val="24"/>
        </w:rPr>
      </w:pPr>
      <w:r w:rsidRPr="00250EC1">
        <w:rPr>
          <w:sz w:val="24"/>
          <w:szCs w:val="24"/>
        </w:rPr>
        <w:t>WHO Recommendations for Prevention and Treatment of Pre-Eclampsia and Eclampsia. Geneva: World Health Organization; 2011. PMID: 23741776.</w:t>
      </w:r>
    </w:p>
    <w:p w14:paraId="1FA387FE" w14:textId="36F77731" w:rsidR="00BD387E" w:rsidRPr="00250EC1" w:rsidRDefault="00BD387E" w:rsidP="006C2A05">
      <w:pPr>
        <w:pStyle w:val="CommentText"/>
        <w:numPr>
          <w:ilvl w:val="0"/>
          <w:numId w:val="14"/>
        </w:numPr>
        <w:spacing w:after="240"/>
        <w:ind w:left="360"/>
        <w:rPr>
          <w:sz w:val="24"/>
          <w:szCs w:val="24"/>
        </w:rPr>
      </w:pPr>
      <w:r w:rsidRPr="00250EC1">
        <w:rPr>
          <w:sz w:val="24"/>
          <w:szCs w:val="24"/>
        </w:rPr>
        <w:t xml:space="preserve">Magnesium Sulfate FDA-approved Drug Label. May 29, 2013. </w:t>
      </w:r>
      <w:hyperlink r:id="rId9" w:history="1">
        <w:r w:rsidR="002C5884">
          <w:rPr>
            <w:rStyle w:val="Hyperlink"/>
            <w:sz w:val="24"/>
            <w:szCs w:val="24"/>
          </w:rPr>
          <w:t>http://www.accessdata.fda.gov/drugsatfda_docs/label/2013/019316s018lbl.pdf</w:t>
        </w:r>
      </w:hyperlink>
      <w:r w:rsidR="00BE256C">
        <w:rPr>
          <w:rStyle w:val="Hyperlink"/>
          <w:sz w:val="24"/>
          <w:szCs w:val="24"/>
        </w:rPr>
        <w:t>.</w:t>
      </w:r>
      <w:r w:rsidRPr="00250EC1">
        <w:rPr>
          <w:sz w:val="24"/>
          <w:szCs w:val="24"/>
        </w:rPr>
        <w:t xml:space="preserve"> Accessed </w:t>
      </w:r>
      <w:r w:rsidR="006C2A05">
        <w:rPr>
          <w:sz w:val="24"/>
          <w:szCs w:val="24"/>
        </w:rPr>
        <w:t>May 2, 2016</w:t>
      </w:r>
      <w:r w:rsidRPr="00250EC1">
        <w:rPr>
          <w:sz w:val="24"/>
          <w:szCs w:val="24"/>
        </w:rPr>
        <w:t>.</w:t>
      </w:r>
    </w:p>
    <w:p w14:paraId="5FA4E560" w14:textId="7339DA5F" w:rsidR="00BD387E" w:rsidRPr="00250EC1" w:rsidRDefault="00BD387E" w:rsidP="006C2A05">
      <w:pPr>
        <w:pStyle w:val="CommentText"/>
        <w:numPr>
          <w:ilvl w:val="0"/>
          <w:numId w:val="14"/>
        </w:numPr>
        <w:spacing w:after="240"/>
        <w:ind w:left="360"/>
        <w:rPr>
          <w:sz w:val="24"/>
          <w:szCs w:val="24"/>
        </w:rPr>
      </w:pPr>
      <w:r w:rsidRPr="00250EC1">
        <w:rPr>
          <w:sz w:val="24"/>
          <w:szCs w:val="24"/>
        </w:rPr>
        <w:t xml:space="preserve">Magnesium Sulfate: Drug Safety Communication-Recommendation Against Prolonged Use in Pre-term Labor </w:t>
      </w:r>
      <w:hyperlink r:id="rId10" w:history="1">
        <w:r w:rsidR="002C5884">
          <w:rPr>
            <w:rStyle w:val="Hyperlink"/>
            <w:sz w:val="24"/>
            <w:szCs w:val="24"/>
          </w:rPr>
          <w:t>http://www.fda.gov/Safety/MedWatch/SafetyInformation/SafetyAlertsforHumanMedicalProducts/ucm354603.htm</w:t>
        </w:r>
      </w:hyperlink>
      <w:r w:rsidR="00BE256C">
        <w:rPr>
          <w:rStyle w:val="Hyperlink"/>
          <w:sz w:val="24"/>
          <w:szCs w:val="24"/>
        </w:rPr>
        <w:t>.</w:t>
      </w:r>
      <w:r w:rsidR="005A0150">
        <w:rPr>
          <w:sz w:val="24"/>
          <w:szCs w:val="24"/>
        </w:rPr>
        <w:t xml:space="preserve"> </w:t>
      </w:r>
      <w:r w:rsidRPr="00250EC1">
        <w:rPr>
          <w:sz w:val="24"/>
          <w:szCs w:val="24"/>
        </w:rPr>
        <w:t xml:space="preserve">Issued 5/30/2013. Accessed </w:t>
      </w:r>
      <w:r w:rsidR="006C2A05">
        <w:rPr>
          <w:sz w:val="24"/>
          <w:szCs w:val="24"/>
        </w:rPr>
        <w:t>May 2, 2016</w:t>
      </w:r>
      <w:r w:rsidRPr="00250EC1">
        <w:rPr>
          <w:sz w:val="24"/>
          <w:szCs w:val="24"/>
        </w:rPr>
        <w:t>.</w:t>
      </w:r>
    </w:p>
    <w:p w14:paraId="5400865D" w14:textId="77777777" w:rsidR="00BD387E" w:rsidRPr="00250EC1" w:rsidRDefault="00BD387E" w:rsidP="00AD04A0">
      <w:pPr>
        <w:pStyle w:val="CommentText"/>
        <w:numPr>
          <w:ilvl w:val="0"/>
          <w:numId w:val="14"/>
        </w:numPr>
        <w:spacing w:after="240"/>
        <w:ind w:left="360"/>
        <w:rPr>
          <w:sz w:val="24"/>
          <w:szCs w:val="24"/>
        </w:rPr>
      </w:pPr>
      <w:r w:rsidRPr="00250EC1">
        <w:rPr>
          <w:sz w:val="24"/>
          <w:szCs w:val="24"/>
        </w:rPr>
        <w:t xml:space="preserve">Simpson KR, Knox GE. Obstetrical accidents involving intravenous magnesium sulfate: recommendations to promote patient safety. MCN Am J </w:t>
      </w:r>
      <w:proofErr w:type="spellStart"/>
      <w:r w:rsidRPr="00250EC1">
        <w:rPr>
          <w:sz w:val="24"/>
          <w:szCs w:val="24"/>
        </w:rPr>
        <w:t>Matern</w:t>
      </w:r>
      <w:proofErr w:type="spellEnd"/>
      <w:r w:rsidRPr="00250EC1">
        <w:rPr>
          <w:sz w:val="24"/>
          <w:szCs w:val="24"/>
        </w:rPr>
        <w:t xml:space="preserve"> Child </w:t>
      </w:r>
      <w:proofErr w:type="spellStart"/>
      <w:r w:rsidRPr="00250EC1">
        <w:rPr>
          <w:sz w:val="24"/>
          <w:szCs w:val="24"/>
        </w:rPr>
        <w:t>Nurs</w:t>
      </w:r>
      <w:proofErr w:type="spellEnd"/>
      <w:r w:rsidRPr="00250EC1">
        <w:rPr>
          <w:sz w:val="24"/>
          <w:szCs w:val="24"/>
        </w:rPr>
        <w:t>. 2004 May-Jun;29(3):161-9; quiz 170-1. PMID: 15123972.</w:t>
      </w:r>
    </w:p>
    <w:p w14:paraId="332F8C9B" w14:textId="490B22DC" w:rsidR="00BD387E" w:rsidRPr="00250EC1" w:rsidRDefault="00BD387E" w:rsidP="002C5884">
      <w:pPr>
        <w:pStyle w:val="CommentText"/>
        <w:numPr>
          <w:ilvl w:val="0"/>
          <w:numId w:val="14"/>
        </w:numPr>
        <w:spacing w:after="240"/>
        <w:ind w:left="360"/>
        <w:rPr>
          <w:sz w:val="24"/>
          <w:szCs w:val="24"/>
        </w:rPr>
      </w:pPr>
      <w:r w:rsidRPr="00250EC1">
        <w:rPr>
          <w:sz w:val="24"/>
          <w:szCs w:val="24"/>
        </w:rPr>
        <w:lastRenderedPageBreak/>
        <w:t xml:space="preserve">Failure to Set a Volume Limit for a Magnesium Bolus Dose Leads to Harm. Acute Care ISMP Medication Safety Alert. June 3, 2010. </w:t>
      </w:r>
      <w:hyperlink r:id="rId11" w:history="1">
        <w:r w:rsidR="002C5884">
          <w:rPr>
            <w:rStyle w:val="Hyperlink"/>
            <w:sz w:val="24"/>
            <w:szCs w:val="24"/>
          </w:rPr>
          <w:t>http://www.ismp.org/Newsletters/acutecare/articles/20100603.asp</w:t>
        </w:r>
      </w:hyperlink>
      <w:r w:rsidR="005A0150">
        <w:rPr>
          <w:sz w:val="24"/>
          <w:szCs w:val="24"/>
        </w:rPr>
        <w:t xml:space="preserve"> </w:t>
      </w:r>
      <w:r w:rsidRPr="00250EC1">
        <w:rPr>
          <w:sz w:val="24"/>
          <w:szCs w:val="24"/>
        </w:rPr>
        <w:t xml:space="preserve">Accessed </w:t>
      </w:r>
      <w:r w:rsidR="006C2A05">
        <w:rPr>
          <w:sz w:val="24"/>
          <w:szCs w:val="24"/>
        </w:rPr>
        <w:t>May 2, 2016</w:t>
      </w:r>
      <w:r w:rsidRPr="00250EC1">
        <w:rPr>
          <w:sz w:val="24"/>
          <w:szCs w:val="24"/>
        </w:rPr>
        <w:t>.</w:t>
      </w:r>
    </w:p>
    <w:p w14:paraId="4231E296" w14:textId="77777777" w:rsidR="00BD387E" w:rsidRPr="00250EC1" w:rsidRDefault="00BD387E" w:rsidP="00AD04A0">
      <w:pPr>
        <w:pStyle w:val="CommentText"/>
        <w:numPr>
          <w:ilvl w:val="0"/>
          <w:numId w:val="14"/>
        </w:numPr>
        <w:spacing w:after="240"/>
        <w:ind w:left="360"/>
        <w:rPr>
          <w:sz w:val="24"/>
          <w:szCs w:val="24"/>
        </w:rPr>
      </w:pPr>
      <w:r w:rsidRPr="00250EC1">
        <w:rPr>
          <w:sz w:val="24"/>
          <w:szCs w:val="24"/>
        </w:rPr>
        <w:t>Institute of Medicine (US) Committee on Quality of Health Care in America; Kohn LT, Corrigan JM, Donaldson MS, editors. To Err is Human: Building a Safer Health System. Washington (DC): National Academies Press (US); 2000. PMID: 25077248.</w:t>
      </w:r>
    </w:p>
    <w:p w14:paraId="0ECE6AE3" w14:textId="1073D257" w:rsidR="00BD387E" w:rsidRPr="00250EC1" w:rsidRDefault="00BD387E" w:rsidP="002C5884">
      <w:pPr>
        <w:pStyle w:val="CommentText"/>
        <w:numPr>
          <w:ilvl w:val="0"/>
          <w:numId w:val="14"/>
        </w:numPr>
        <w:spacing w:after="240"/>
        <w:ind w:left="360"/>
        <w:rPr>
          <w:sz w:val="24"/>
          <w:szCs w:val="24"/>
        </w:rPr>
      </w:pPr>
      <w:r w:rsidRPr="00250EC1">
        <w:rPr>
          <w:sz w:val="24"/>
          <w:szCs w:val="24"/>
        </w:rPr>
        <w:t xml:space="preserve">ISMP List of High-Alert Medications in Acute Care Settings. Institute for Safe Medication Practices (ISMP). </w:t>
      </w:r>
      <w:hyperlink r:id="rId12" w:history="1">
        <w:r w:rsidR="002C5884">
          <w:rPr>
            <w:rStyle w:val="Hyperlink"/>
            <w:sz w:val="24"/>
            <w:szCs w:val="24"/>
          </w:rPr>
          <w:t>https://www.ismp.org/tools/institutionalhighAlert.asp</w:t>
        </w:r>
      </w:hyperlink>
      <w:r w:rsidR="005A0150">
        <w:rPr>
          <w:sz w:val="24"/>
          <w:szCs w:val="24"/>
        </w:rPr>
        <w:t xml:space="preserve"> </w:t>
      </w:r>
      <w:r w:rsidRPr="00250EC1">
        <w:rPr>
          <w:sz w:val="24"/>
          <w:szCs w:val="24"/>
        </w:rPr>
        <w:t xml:space="preserve">Accessed </w:t>
      </w:r>
      <w:r w:rsidR="006C2A05">
        <w:rPr>
          <w:sz w:val="24"/>
          <w:szCs w:val="24"/>
        </w:rPr>
        <w:t>May 2, 2016</w:t>
      </w:r>
      <w:r w:rsidRPr="00250EC1">
        <w:rPr>
          <w:sz w:val="24"/>
          <w:szCs w:val="24"/>
        </w:rPr>
        <w:t>.</w:t>
      </w:r>
    </w:p>
    <w:p w14:paraId="1FE74A81" w14:textId="7641EC96" w:rsidR="00BD387E" w:rsidRPr="00250EC1" w:rsidRDefault="00BD387E" w:rsidP="00AD04A0">
      <w:pPr>
        <w:pStyle w:val="CommentText"/>
        <w:numPr>
          <w:ilvl w:val="0"/>
          <w:numId w:val="14"/>
        </w:numPr>
        <w:spacing w:after="240"/>
        <w:ind w:left="360"/>
        <w:rPr>
          <w:sz w:val="24"/>
          <w:szCs w:val="24"/>
        </w:rPr>
      </w:pPr>
      <w:r w:rsidRPr="00250EC1">
        <w:rPr>
          <w:sz w:val="24"/>
          <w:szCs w:val="24"/>
        </w:rPr>
        <w:t xml:space="preserve">Preventing Magnesium Toxicity in Obstetrics. Acute Care ISMP Medication Safety Alert. October 20, 2005. </w:t>
      </w:r>
      <w:hyperlink r:id="rId13" w:history="1">
        <w:r w:rsidR="002C5884">
          <w:rPr>
            <w:rStyle w:val="Hyperlink"/>
            <w:sz w:val="24"/>
            <w:szCs w:val="24"/>
          </w:rPr>
          <w:t>http://www.ismp.org/Newsletters/acutecare/articles/20051020.asp</w:t>
        </w:r>
      </w:hyperlink>
      <w:r w:rsidR="006C2A05">
        <w:rPr>
          <w:rStyle w:val="Hyperlink"/>
          <w:sz w:val="24"/>
          <w:szCs w:val="24"/>
        </w:rPr>
        <w:t xml:space="preserve"> </w:t>
      </w:r>
      <w:r w:rsidR="006C2A05" w:rsidRPr="00250EC1">
        <w:rPr>
          <w:sz w:val="24"/>
          <w:szCs w:val="24"/>
        </w:rPr>
        <w:t xml:space="preserve">Accessed </w:t>
      </w:r>
      <w:r w:rsidR="006C2A05">
        <w:rPr>
          <w:sz w:val="24"/>
          <w:szCs w:val="24"/>
        </w:rPr>
        <w:t>May 2, 2016</w:t>
      </w:r>
      <w:r w:rsidR="006C2A05" w:rsidRPr="00250EC1">
        <w:rPr>
          <w:sz w:val="24"/>
          <w:szCs w:val="24"/>
        </w:rPr>
        <w:t>.</w:t>
      </w:r>
    </w:p>
    <w:p w14:paraId="3AC061EF" w14:textId="12498237" w:rsidR="00BD387E" w:rsidRPr="00233D1D" w:rsidRDefault="00BD387E" w:rsidP="00233D1D">
      <w:pPr>
        <w:pStyle w:val="CommentText"/>
        <w:numPr>
          <w:ilvl w:val="0"/>
          <w:numId w:val="14"/>
        </w:numPr>
        <w:spacing w:after="240"/>
        <w:ind w:left="360"/>
        <w:rPr>
          <w:sz w:val="24"/>
          <w:szCs w:val="24"/>
        </w:rPr>
      </w:pPr>
      <w:r w:rsidRPr="00250EC1">
        <w:rPr>
          <w:sz w:val="24"/>
          <w:szCs w:val="24"/>
        </w:rPr>
        <w:t>Simpson KR, Creehan PA. (</w:t>
      </w:r>
      <w:proofErr w:type="spellStart"/>
      <w:r w:rsidRPr="00250EC1">
        <w:rPr>
          <w:sz w:val="24"/>
          <w:szCs w:val="24"/>
        </w:rPr>
        <w:t>eds</w:t>
      </w:r>
      <w:proofErr w:type="spellEnd"/>
      <w:r w:rsidRPr="00250EC1">
        <w:rPr>
          <w:sz w:val="24"/>
          <w:szCs w:val="24"/>
        </w:rPr>
        <w:t>). AWHONN’s Perinatal Nursing 4th ed. Lippincott;</w:t>
      </w:r>
      <w:r w:rsidR="00977F08">
        <w:rPr>
          <w:sz w:val="24"/>
          <w:szCs w:val="24"/>
        </w:rPr>
        <w:t xml:space="preserve"> </w:t>
      </w:r>
      <w:r w:rsidRPr="00250EC1">
        <w:rPr>
          <w:sz w:val="24"/>
          <w:szCs w:val="24"/>
        </w:rPr>
        <w:t>2014.</w:t>
      </w:r>
    </w:p>
    <w:p w14:paraId="0179E21F" w14:textId="77777777" w:rsidR="00BD387E" w:rsidRDefault="00BD387E" w:rsidP="00BD387E">
      <w:r>
        <w:br w:type="page"/>
      </w:r>
    </w:p>
    <w:p w14:paraId="3BE48000" w14:textId="4A3A1876" w:rsidR="00BD387E" w:rsidRPr="00985C92" w:rsidRDefault="00BD387E" w:rsidP="00BD387E">
      <w:pPr>
        <w:pStyle w:val="ListBullet"/>
        <w:numPr>
          <w:ilvl w:val="0"/>
          <w:numId w:val="0"/>
        </w:numPr>
        <w:jc w:val="center"/>
        <w:rPr>
          <w:b/>
          <w:sz w:val="28"/>
          <w:szCs w:val="28"/>
        </w:rPr>
      </w:pPr>
      <w:r w:rsidRPr="00985C92">
        <w:rPr>
          <w:b/>
          <w:sz w:val="28"/>
          <w:szCs w:val="28"/>
        </w:rPr>
        <w:lastRenderedPageBreak/>
        <w:t>A</w:t>
      </w:r>
      <w:r w:rsidR="003A23B7" w:rsidRPr="00985C92">
        <w:rPr>
          <w:b/>
          <w:sz w:val="28"/>
          <w:szCs w:val="28"/>
        </w:rPr>
        <w:t>ppendix</w:t>
      </w:r>
    </w:p>
    <w:p w14:paraId="480F5771" w14:textId="77777777" w:rsidR="00BD387E" w:rsidRDefault="00BD387E" w:rsidP="00BD387E">
      <w:pPr>
        <w:pStyle w:val="Title"/>
        <w:spacing w:before="240"/>
        <w:jc w:val="left"/>
        <w:rPr>
          <w:b w:val="0"/>
          <w:i/>
          <w:iCs/>
          <w:noProof/>
          <w:sz w:val="22"/>
          <w:szCs w:val="22"/>
        </w:rPr>
      </w:pPr>
      <w:r>
        <w:rPr>
          <w:b w:val="0"/>
          <w:i/>
          <w:iCs/>
          <w:noProof/>
          <w:sz w:val="22"/>
          <w:szCs w:val="22"/>
          <w:lang w:bidi="en-US"/>
        </w:rPr>
        <w:t>Every effort was made to ensure the accuracy and completeness of this resource. However, the U.S. Department of Health and Human Services makes no warranties regarding errors or omissions and assumes no responsibility or liability for loss or damage resulting from the use of information contained within.</w:t>
      </w:r>
    </w:p>
    <w:p w14:paraId="32896165" w14:textId="448E14FF" w:rsidR="00BD387E" w:rsidRDefault="00BD387E" w:rsidP="0029213A">
      <w:pPr>
        <w:pStyle w:val="ListBullet"/>
        <w:numPr>
          <w:ilvl w:val="0"/>
          <w:numId w:val="0"/>
        </w:numPr>
        <w:spacing w:after="0"/>
        <w:jc w:val="center"/>
        <w:rPr>
          <w:b/>
        </w:rPr>
      </w:pPr>
      <w:r w:rsidRPr="00B1058C">
        <w:rPr>
          <w:b/>
        </w:rPr>
        <w:t xml:space="preserve">SAMPLE Safe Medication Administration </w:t>
      </w:r>
      <w:r>
        <w:rPr>
          <w:b/>
        </w:rPr>
        <w:t>Process</w:t>
      </w:r>
      <w:r w:rsidR="0029213A">
        <w:rPr>
          <w:b/>
        </w:rPr>
        <w:t xml:space="preserve"> </w:t>
      </w:r>
      <w:r w:rsidRPr="00B1058C">
        <w:rPr>
          <w:b/>
        </w:rPr>
        <w:t>for Magnesium Sulfate</w:t>
      </w:r>
    </w:p>
    <w:p w14:paraId="19C85A66" w14:textId="0EEFF742" w:rsidR="0029213A" w:rsidRPr="0029213A" w:rsidRDefault="0029213A" w:rsidP="0029213A">
      <w:pPr>
        <w:pStyle w:val="ListBullet"/>
        <w:numPr>
          <w:ilvl w:val="0"/>
          <w:numId w:val="0"/>
        </w:numPr>
        <w:jc w:val="center"/>
        <w:rPr>
          <w:bCs/>
        </w:rPr>
      </w:pPr>
      <w:r>
        <w:rPr>
          <w:bCs/>
        </w:rPr>
        <w:t>(R</w:t>
      </w:r>
      <w:r>
        <w:t>eferences are located in the reference list above.)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Description w:val="SAMPLE Safe Medication Administration Process for Magnesium Sulfate"/>
      </w:tblPr>
      <w:tblGrid>
        <w:gridCol w:w="2365"/>
        <w:gridCol w:w="7225"/>
      </w:tblGrid>
      <w:tr w:rsidR="00BD387E" w:rsidRPr="001A68B2" w14:paraId="6A065F7F" w14:textId="77777777" w:rsidTr="009F76D4">
        <w:trPr>
          <w:cantSplit/>
          <w:tblHeader/>
        </w:trPr>
        <w:tc>
          <w:tcPr>
            <w:tcW w:w="2365" w:type="dxa"/>
            <w:shd w:val="clear" w:color="auto" w:fill="92CDDC" w:themeFill="accent5" w:themeFillTint="99"/>
            <w:vAlign w:val="center"/>
          </w:tcPr>
          <w:p w14:paraId="5B6A3795" w14:textId="77777777" w:rsidR="00BD387E" w:rsidRPr="009F76D4" w:rsidRDefault="00BD387E" w:rsidP="00BE256C">
            <w:pPr>
              <w:pStyle w:val="FormText"/>
              <w:jc w:val="center"/>
              <w:rPr>
                <w:color w:val="auto"/>
              </w:rPr>
            </w:pPr>
            <w:r w:rsidRPr="009F76D4">
              <w:rPr>
                <w:color w:val="auto"/>
              </w:rPr>
              <w:t>Category</w:t>
            </w:r>
          </w:p>
        </w:tc>
        <w:tc>
          <w:tcPr>
            <w:tcW w:w="7225" w:type="dxa"/>
            <w:shd w:val="clear" w:color="auto" w:fill="92CDDC" w:themeFill="accent5" w:themeFillTint="99"/>
            <w:vAlign w:val="center"/>
          </w:tcPr>
          <w:p w14:paraId="14E32B72" w14:textId="77777777" w:rsidR="00BD387E" w:rsidRPr="009F76D4" w:rsidRDefault="00BD387E" w:rsidP="00BE256C">
            <w:pPr>
              <w:pStyle w:val="FormText"/>
              <w:jc w:val="center"/>
              <w:rPr>
                <w:color w:val="auto"/>
              </w:rPr>
            </w:pPr>
            <w:r w:rsidRPr="009F76D4">
              <w:rPr>
                <w:color w:val="auto"/>
              </w:rPr>
              <w:t>Example Process</w:t>
            </w:r>
          </w:p>
        </w:tc>
      </w:tr>
      <w:tr w:rsidR="00BD387E" w:rsidRPr="00AE23F0" w14:paraId="26A47D78" w14:textId="77777777" w:rsidTr="009F76D4">
        <w:trPr>
          <w:cantSplit/>
        </w:trPr>
        <w:tc>
          <w:tcPr>
            <w:tcW w:w="2365" w:type="dxa"/>
            <w:shd w:val="clear" w:color="auto" w:fill="auto"/>
          </w:tcPr>
          <w:p w14:paraId="118A75FD" w14:textId="19D3563A" w:rsidR="00BD387E" w:rsidRPr="00194576" w:rsidRDefault="00BD387E" w:rsidP="00194576">
            <w:pPr>
              <w:pStyle w:val="FormText"/>
              <w:numPr>
                <w:ilvl w:val="0"/>
                <w:numId w:val="3"/>
              </w:numPr>
              <w:ind w:left="270" w:hanging="270"/>
              <w:rPr>
                <w:color w:val="auto"/>
              </w:rPr>
            </w:pPr>
            <w:r w:rsidRPr="001A68B2">
              <w:rPr>
                <w:color w:val="auto"/>
              </w:rPr>
              <w:t>Verify</w:t>
            </w:r>
            <w:r w:rsidR="00194576">
              <w:rPr>
                <w:color w:val="auto"/>
              </w:rPr>
              <w:t>ing</w:t>
            </w:r>
            <w:r w:rsidRPr="001A68B2">
              <w:rPr>
                <w:color w:val="auto"/>
              </w:rPr>
              <w:t xml:space="preserve"> and document</w:t>
            </w:r>
            <w:r w:rsidR="00194576">
              <w:rPr>
                <w:color w:val="auto"/>
              </w:rPr>
              <w:t>ing indications for use</w:t>
            </w:r>
          </w:p>
        </w:tc>
        <w:tc>
          <w:tcPr>
            <w:tcW w:w="7225" w:type="dxa"/>
            <w:shd w:val="clear" w:color="auto" w:fill="auto"/>
          </w:tcPr>
          <w:p w14:paraId="07DD1F24" w14:textId="77777777" w:rsidR="00BD387E" w:rsidRDefault="00BD387E" w:rsidP="00917EA4">
            <w:pPr>
              <w:pStyle w:val="Bullet-Blank"/>
              <w:numPr>
                <w:ilvl w:val="0"/>
                <w:numId w:val="0"/>
              </w:numPr>
              <w:ind w:hanging="25"/>
            </w:pPr>
            <w:r>
              <w:t xml:space="preserve">Verify and document indications and absence of contraindications for use of magnesium sulfate when receiving orders for magnesium sulfate. </w:t>
            </w:r>
          </w:p>
          <w:p w14:paraId="49004C58" w14:textId="31C954CA" w:rsidR="009B512C" w:rsidRDefault="00917EA4" w:rsidP="00FD6F4D">
            <w:pPr>
              <w:pStyle w:val="TableBullet1a-Indentundertext"/>
              <w:numPr>
                <w:ilvl w:val="0"/>
                <w:numId w:val="8"/>
              </w:numPr>
              <w:tabs>
                <w:tab w:val="left" w:pos="360"/>
              </w:tabs>
              <w:ind w:hanging="950"/>
              <w:rPr>
                <w:sz w:val="22"/>
                <w:szCs w:val="22"/>
              </w:rPr>
            </w:pPr>
            <w:r>
              <w:rPr>
                <w:sz w:val="22"/>
                <w:szCs w:val="22"/>
              </w:rPr>
              <w:t>I</w:t>
            </w:r>
            <w:r w:rsidR="009B512C" w:rsidRPr="00917EA4">
              <w:rPr>
                <w:sz w:val="22"/>
                <w:szCs w:val="22"/>
              </w:rPr>
              <w:t>ndications for use</w:t>
            </w:r>
            <w:r w:rsidR="00981D3F">
              <w:rPr>
                <w:rFonts w:cs="Arial"/>
                <w:sz w:val="22"/>
                <w:szCs w:val="22"/>
                <w:vertAlign w:val="superscript"/>
              </w:rPr>
              <w:t>1-7</w:t>
            </w:r>
          </w:p>
          <w:p w14:paraId="2B7DA283" w14:textId="77777777" w:rsidR="009B512C" w:rsidRDefault="00917EA4" w:rsidP="00FD6F4D">
            <w:pPr>
              <w:pStyle w:val="TableBullet1a-Indentundertext"/>
              <w:numPr>
                <w:ilvl w:val="1"/>
                <w:numId w:val="19"/>
              </w:numPr>
              <w:tabs>
                <w:tab w:val="left" w:pos="360"/>
              </w:tabs>
              <w:ind w:left="965"/>
              <w:rPr>
                <w:sz w:val="22"/>
                <w:szCs w:val="22"/>
              </w:rPr>
            </w:pPr>
            <w:r>
              <w:rPr>
                <w:sz w:val="22"/>
                <w:szCs w:val="22"/>
              </w:rPr>
              <w:t>n</w:t>
            </w:r>
            <w:r w:rsidR="009B512C" w:rsidRPr="00917EA4">
              <w:rPr>
                <w:sz w:val="22"/>
                <w:szCs w:val="22"/>
              </w:rPr>
              <w:t xml:space="preserve">europrotection of fetus </w:t>
            </w:r>
            <w:r w:rsidR="009B512C">
              <w:rPr>
                <w:sz w:val="22"/>
                <w:szCs w:val="22"/>
              </w:rPr>
              <w:t>before anticipated early preterm delivery (&lt; 32 weeks gestational age)</w:t>
            </w:r>
          </w:p>
          <w:p w14:paraId="0DD04D91" w14:textId="77777777" w:rsidR="009B512C" w:rsidRPr="00917EA4" w:rsidRDefault="00917EA4" w:rsidP="00FD6F4D">
            <w:pPr>
              <w:pStyle w:val="TableBullet1a-Indentundertext"/>
              <w:numPr>
                <w:ilvl w:val="1"/>
                <w:numId w:val="19"/>
              </w:numPr>
              <w:tabs>
                <w:tab w:val="left" w:pos="360"/>
              </w:tabs>
              <w:ind w:left="965"/>
              <w:rPr>
                <w:sz w:val="22"/>
                <w:szCs w:val="22"/>
              </w:rPr>
            </w:pPr>
            <w:r>
              <w:rPr>
                <w:sz w:val="22"/>
                <w:szCs w:val="22"/>
              </w:rPr>
              <w:t>s</w:t>
            </w:r>
            <w:r w:rsidR="009B512C" w:rsidRPr="00917EA4">
              <w:rPr>
                <w:sz w:val="22"/>
                <w:szCs w:val="22"/>
              </w:rPr>
              <w:t xml:space="preserve">eizure prophylaxis </w:t>
            </w:r>
            <w:r w:rsidR="009B512C">
              <w:rPr>
                <w:sz w:val="22"/>
                <w:szCs w:val="22"/>
              </w:rPr>
              <w:t xml:space="preserve">or treatment in women with </w:t>
            </w:r>
            <w:r w:rsidR="009B512C" w:rsidRPr="00917EA4">
              <w:rPr>
                <w:sz w:val="22"/>
                <w:szCs w:val="22"/>
              </w:rPr>
              <w:t>preeclampsia or eclampsia</w:t>
            </w:r>
          </w:p>
          <w:p w14:paraId="0B3C5C37" w14:textId="77777777" w:rsidR="009B512C" w:rsidRPr="00917EA4" w:rsidRDefault="00917EA4" w:rsidP="00FD6F4D">
            <w:pPr>
              <w:pStyle w:val="TableBullet1a-Indentundertext"/>
              <w:numPr>
                <w:ilvl w:val="1"/>
                <w:numId w:val="19"/>
              </w:numPr>
              <w:tabs>
                <w:tab w:val="left" w:pos="360"/>
              </w:tabs>
              <w:ind w:left="965"/>
              <w:rPr>
                <w:sz w:val="22"/>
                <w:szCs w:val="22"/>
              </w:rPr>
            </w:pPr>
            <w:r>
              <w:rPr>
                <w:sz w:val="22"/>
                <w:szCs w:val="22"/>
              </w:rPr>
              <w:t>u</w:t>
            </w:r>
            <w:r w:rsidR="009B512C">
              <w:rPr>
                <w:sz w:val="22"/>
                <w:szCs w:val="22"/>
              </w:rPr>
              <w:t>se as a tocolytic for up to 48 hours for short-term prolongation of pregnancy for the administration of antenatal corticosteroids</w:t>
            </w:r>
            <w:r>
              <w:rPr>
                <w:sz w:val="22"/>
                <w:szCs w:val="22"/>
              </w:rPr>
              <w:t xml:space="preserve"> in women between 24 and 34 weeks gestation who are at risk of preterm delivery within 7 days</w:t>
            </w:r>
          </w:p>
          <w:p w14:paraId="1559F176" w14:textId="13C68EC5" w:rsidR="00917EA4" w:rsidRDefault="00917EA4" w:rsidP="00FD6F4D">
            <w:pPr>
              <w:pStyle w:val="TableBullet1a-Indentundertext"/>
              <w:numPr>
                <w:ilvl w:val="0"/>
                <w:numId w:val="8"/>
              </w:numPr>
              <w:tabs>
                <w:tab w:val="left" w:pos="360"/>
              </w:tabs>
              <w:ind w:hanging="950"/>
              <w:rPr>
                <w:sz w:val="22"/>
                <w:szCs w:val="22"/>
              </w:rPr>
            </w:pPr>
            <w:r>
              <w:rPr>
                <w:sz w:val="22"/>
                <w:szCs w:val="22"/>
              </w:rPr>
              <w:t>C</w:t>
            </w:r>
            <w:r w:rsidR="009B512C" w:rsidRPr="00917EA4">
              <w:rPr>
                <w:sz w:val="22"/>
                <w:szCs w:val="22"/>
              </w:rPr>
              <w:t>ontraindications for use</w:t>
            </w:r>
            <w:r w:rsidR="00FD6F4D" w:rsidRPr="00FD6F4D">
              <w:rPr>
                <w:rFonts w:cs="Arial"/>
                <w:sz w:val="22"/>
                <w:szCs w:val="22"/>
                <w:vertAlign w:val="superscript"/>
              </w:rPr>
              <w:t>8</w:t>
            </w:r>
          </w:p>
          <w:p w14:paraId="3690F9C2" w14:textId="77777777" w:rsidR="00F0309A" w:rsidRDefault="00917EA4" w:rsidP="00FD6F4D">
            <w:pPr>
              <w:pStyle w:val="TableBullet1a-Indentundertext"/>
              <w:numPr>
                <w:ilvl w:val="1"/>
                <w:numId w:val="20"/>
              </w:numPr>
              <w:tabs>
                <w:tab w:val="left" w:pos="360"/>
              </w:tabs>
              <w:ind w:left="965"/>
              <w:rPr>
                <w:sz w:val="22"/>
                <w:szCs w:val="22"/>
              </w:rPr>
            </w:pPr>
            <w:r w:rsidRPr="00917EA4">
              <w:rPr>
                <w:sz w:val="22"/>
                <w:szCs w:val="22"/>
              </w:rPr>
              <w:t>Use more than 5 to 7 days</w:t>
            </w:r>
          </w:p>
          <w:p w14:paraId="72CA62A9" w14:textId="77777777" w:rsidR="00F0309A" w:rsidRPr="00F0309A" w:rsidRDefault="00F0309A" w:rsidP="00FD6F4D">
            <w:pPr>
              <w:pStyle w:val="TableBullet3"/>
              <w:numPr>
                <w:ilvl w:val="1"/>
                <w:numId w:val="20"/>
              </w:numPr>
              <w:ind w:left="965"/>
              <w:rPr>
                <w:sz w:val="22"/>
                <w:szCs w:val="22"/>
              </w:rPr>
            </w:pPr>
            <w:r w:rsidRPr="00F0309A">
              <w:rPr>
                <w:sz w:val="22"/>
                <w:szCs w:val="22"/>
              </w:rPr>
              <w:t>Patients with heart block</w:t>
            </w:r>
          </w:p>
          <w:p w14:paraId="5937EFC5" w14:textId="77777777" w:rsidR="00F0309A" w:rsidRDefault="00F0309A" w:rsidP="00FD6F4D">
            <w:pPr>
              <w:pStyle w:val="TableBullet3"/>
              <w:numPr>
                <w:ilvl w:val="1"/>
                <w:numId w:val="20"/>
              </w:numPr>
              <w:ind w:left="965"/>
              <w:rPr>
                <w:sz w:val="22"/>
                <w:szCs w:val="22"/>
              </w:rPr>
            </w:pPr>
            <w:r w:rsidRPr="00F0309A">
              <w:rPr>
                <w:sz w:val="22"/>
                <w:szCs w:val="22"/>
              </w:rPr>
              <w:t>Patients with myocardial damage</w:t>
            </w:r>
            <w:r w:rsidRPr="00917EA4" w:rsidDel="009B512C">
              <w:rPr>
                <w:sz w:val="22"/>
                <w:szCs w:val="22"/>
              </w:rPr>
              <w:t xml:space="preserve"> </w:t>
            </w:r>
          </w:p>
          <w:p w14:paraId="6D490DD4" w14:textId="2357BF19" w:rsidR="00BD387E" w:rsidRPr="00917EA4" w:rsidRDefault="00F0309A" w:rsidP="00FD6F4D">
            <w:pPr>
              <w:pStyle w:val="TableBullet1a-Indentundertext"/>
              <w:numPr>
                <w:ilvl w:val="0"/>
                <w:numId w:val="8"/>
              </w:numPr>
              <w:tabs>
                <w:tab w:val="left" w:pos="360"/>
              </w:tabs>
              <w:ind w:left="335" w:hanging="270"/>
              <w:rPr>
                <w:sz w:val="22"/>
                <w:szCs w:val="22"/>
              </w:rPr>
            </w:pPr>
            <w:r w:rsidRPr="00DE7B40">
              <w:rPr>
                <w:sz w:val="22"/>
                <w:szCs w:val="22"/>
              </w:rPr>
              <w:t>Staff with requisite training and supplies available to respond to magnesium-related adverse events</w:t>
            </w:r>
            <w:r>
              <w:rPr>
                <w:sz w:val="22"/>
                <w:szCs w:val="22"/>
              </w:rPr>
              <w:t xml:space="preserve"> including</w:t>
            </w:r>
            <w:r w:rsidRPr="00DE7B40">
              <w:rPr>
                <w:sz w:val="22"/>
                <w:szCs w:val="22"/>
              </w:rPr>
              <w:t xml:space="preserve"> respiratory depression</w:t>
            </w:r>
            <w:r w:rsidRPr="00DE7B40" w:rsidDel="009B512C">
              <w:rPr>
                <w:sz w:val="22"/>
                <w:szCs w:val="22"/>
              </w:rPr>
              <w:t xml:space="preserve"> </w:t>
            </w:r>
          </w:p>
        </w:tc>
      </w:tr>
      <w:tr w:rsidR="009F76D4" w:rsidRPr="00AE23F0" w14:paraId="0F496305" w14:textId="77777777" w:rsidTr="009F76D4">
        <w:trPr>
          <w:cantSplit/>
        </w:trPr>
        <w:tc>
          <w:tcPr>
            <w:tcW w:w="2365" w:type="dxa"/>
            <w:shd w:val="clear" w:color="auto" w:fill="auto"/>
          </w:tcPr>
          <w:p w14:paraId="3E74D8A8" w14:textId="50A04E3A" w:rsidR="009F76D4" w:rsidRDefault="009F76D4" w:rsidP="00BD387E">
            <w:pPr>
              <w:pStyle w:val="FormText"/>
              <w:numPr>
                <w:ilvl w:val="0"/>
                <w:numId w:val="3"/>
              </w:numPr>
              <w:ind w:left="270" w:hanging="270"/>
              <w:rPr>
                <w:color w:val="auto"/>
              </w:rPr>
            </w:pPr>
            <w:r>
              <w:rPr>
                <w:color w:val="auto"/>
              </w:rPr>
              <w:t>Assessment</w:t>
            </w:r>
          </w:p>
        </w:tc>
        <w:tc>
          <w:tcPr>
            <w:tcW w:w="7225" w:type="dxa"/>
            <w:shd w:val="clear" w:color="auto" w:fill="auto"/>
          </w:tcPr>
          <w:p w14:paraId="668BB7F3" w14:textId="77777777" w:rsidR="009F76D4" w:rsidRDefault="009F76D4" w:rsidP="009F76D4">
            <w:pPr>
              <w:pStyle w:val="Bullet-Blank"/>
              <w:numPr>
                <w:ilvl w:val="0"/>
                <w:numId w:val="0"/>
              </w:numPr>
              <w:ind w:left="40"/>
            </w:pPr>
            <w:r>
              <w:t>Baseline maternal and fetal assessment and periodic assessment. Assessment documentation on labor and delivery flowsheet.</w:t>
            </w:r>
          </w:p>
          <w:p w14:paraId="191CC291" w14:textId="77777777" w:rsidR="009F76D4" w:rsidRPr="00E440C0" w:rsidRDefault="009F76D4" w:rsidP="009F76D4">
            <w:pPr>
              <w:pStyle w:val="Bullet-Blank"/>
              <w:numPr>
                <w:ilvl w:val="0"/>
                <w:numId w:val="4"/>
              </w:numPr>
              <w:ind w:left="245" w:hanging="205"/>
            </w:pPr>
            <w:r w:rsidRPr="00B1058C">
              <w:rPr>
                <w:rFonts w:asciiTheme="minorBidi" w:hAnsiTheme="minorBidi" w:cstheme="minorBidi"/>
                <w:i/>
              </w:rPr>
              <w:t xml:space="preserve">Assessment </w:t>
            </w:r>
            <w:r>
              <w:rPr>
                <w:rFonts w:asciiTheme="minorBidi" w:hAnsiTheme="minorBidi" w:cstheme="minorBidi"/>
                <w:i/>
              </w:rPr>
              <w:t>p</w:t>
            </w:r>
            <w:r w:rsidRPr="00B1058C">
              <w:rPr>
                <w:rFonts w:asciiTheme="minorBidi" w:hAnsiTheme="minorBidi" w:cstheme="minorBidi"/>
                <w:i/>
              </w:rPr>
              <w:t xml:space="preserve">rior to </w:t>
            </w:r>
            <w:r>
              <w:rPr>
                <w:rFonts w:asciiTheme="minorBidi" w:hAnsiTheme="minorBidi" w:cstheme="minorBidi"/>
                <w:i/>
              </w:rPr>
              <w:t>i</w:t>
            </w:r>
            <w:r w:rsidRPr="00B1058C">
              <w:rPr>
                <w:rFonts w:asciiTheme="minorBidi" w:hAnsiTheme="minorBidi" w:cstheme="minorBidi"/>
                <w:i/>
              </w:rPr>
              <w:t>nitiation</w:t>
            </w:r>
            <w:r w:rsidRPr="00B1058C">
              <w:rPr>
                <w:rFonts w:asciiTheme="minorBidi" w:hAnsiTheme="minorBidi" w:cstheme="minorBidi"/>
              </w:rPr>
              <w:t xml:space="preserve">: </w:t>
            </w:r>
            <w:r>
              <w:rPr>
                <w:rFonts w:asciiTheme="minorBidi" w:hAnsiTheme="minorBidi" w:cstheme="minorBidi"/>
              </w:rPr>
              <w:t>V</w:t>
            </w:r>
            <w:r w:rsidRPr="00B1058C">
              <w:rPr>
                <w:rFonts w:asciiTheme="minorBidi" w:hAnsiTheme="minorBidi" w:cstheme="minorBidi"/>
              </w:rPr>
              <w:t>ital signs</w:t>
            </w:r>
            <w:r>
              <w:rPr>
                <w:rFonts w:asciiTheme="minorBidi" w:hAnsiTheme="minorBidi" w:cstheme="minorBidi"/>
              </w:rPr>
              <w:t xml:space="preserve"> (temperature, pulse, blood pressure, respiratory rate and pattern)</w:t>
            </w:r>
            <w:r w:rsidRPr="00B1058C">
              <w:rPr>
                <w:rFonts w:asciiTheme="minorBidi" w:hAnsiTheme="minorBidi" w:cstheme="minorBidi"/>
              </w:rPr>
              <w:t>, deep tendon reflexes</w:t>
            </w:r>
            <w:r>
              <w:rPr>
                <w:rFonts w:asciiTheme="minorBidi" w:hAnsiTheme="minorBidi" w:cstheme="minorBidi"/>
              </w:rPr>
              <w:t>(DTRs)</w:t>
            </w:r>
            <w:r w:rsidRPr="00B1058C">
              <w:rPr>
                <w:rFonts w:asciiTheme="minorBidi" w:hAnsiTheme="minorBidi" w:cstheme="minorBidi"/>
              </w:rPr>
              <w:t>/c</w:t>
            </w:r>
            <w:r>
              <w:rPr>
                <w:rFonts w:asciiTheme="minorBidi" w:hAnsiTheme="minorBidi" w:cstheme="minorBidi"/>
              </w:rPr>
              <w:t>lonus, breath sounds, level of consciousness</w:t>
            </w:r>
            <w:r w:rsidRPr="00B1058C">
              <w:rPr>
                <w:rFonts w:asciiTheme="minorBidi" w:hAnsiTheme="minorBidi" w:cstheme="minorBidi"/>
              </w:rPr>
              <w:t>, symptoms such as headache, visual disturbances, nausea/vomiting, epigastric pain</w:t>
            </w:r>
            <w:r>
              <w:rPr>
                <w:rFonts w:asciiTheme="minorBidi" w:hAnsiTheme="minorBidi" w:cstheme="minorBidi"/>
              </w:rPr>
              <w:t>, t</w:t>
            </w:r>
            <w:r w:rsidRPr="00221CBE">
              <w:rPr>
                <w:rFonts w:asciiTheme="minorBidi" w:hAnsiTheme="minorBidi" w:cstheme="minorBidi"/>
              </w:rPr>
              <w:t>ocography</w:t>
            </w:r>
            <w:r>
              <w:rPr>
                <w:rFonts w:asciiTheme="minorBidi" w:hAnsiTheme="minorBidi" w:cstheme="minorBidi"/>
              </w:rPr>
              <w:t>,</w:t>
            </w:r>
            <w:r w:rsidRPr="00221CBE">
              <w:rPr>
                <w:rFonts w:asciiTheme="minorBidi" w:hAnsiTheme="minorBidi" w:cstheme="minorBidi"/>
              </w:rPr>
              <w:t xml:space="preserve"> and </w:t>
            </w:r>
            <w:r>
              <w:rPr>
                <w:rFonts w:asciiTheme="minorBidi" w:hAnsiTheme="minorBidi" w:cstheme="minorBidi"/>
              </w:rPr>
              <w:t>fetal heart rate (</w:t>
            </w:r>
            <w:r w:rsidRPr="00221CBE">
              <w:rPr>
                <w:rFonts w:asciiTheme="minorBidi" w:hAnsiTheme="minorBidi" w:cstheme="minorBidi"/>
              </w:rPr>
              <w:t>FHR</w:t>
            </w:r>
            <w:r>
              <w:rPr>
                <w:rFonts w:asciiTheme="minorBidi" w:hAnsiTheme="minorBidi" w:cstheme="minorBidi"/>
              </w:rPr>
              <w:t>)</w:t>
            </w:r>
            <w:r w:rsidRPr="00221CBE">
              <w:rPr>
                <w:rFonts w:asciiTheme="minorBidi" w:hAnsiTheme="minorBidi" w:cstheme="minorBidi"/>
              </w:rPr>
              <w:t xml:space="preserve"> pattern (antepartum and intrapartum only)</w:t>
            </w:r>
            <w:r>
              <w:rPr>
                <w:rFonts w:asciiTheme="minorBidi" w:hAnsiTheme="minorBidi" w:cstheme="minorBidi"/>
              </w:rPr>
              <w:t xml:space="preserve">. </w:t>
            </w:r>
          </w:p>
          <w:p w14:paraId="7F60ED9E" w14:textId="77777777" w:rsidR="009F76D4" w:rsidRDefault="009F76D4" w:rsidP="009F76D4">
            <w:pPr>
              <w:pStyle w:val="Bullet-Blank"/>
              <w:numPr>
                <w:ilvl w:val="0"/>
                <w:numId w:val="4"/>
              </w:numPr>
              <w:ind w:left="245" w:hanging="205"/>
            </w:pPr>
            <w:r>
              <w:t xml:space="preserve">Verify </w:t>
            </w:r>
            <w:r w:rsidRPr="00AE23F0">
              <w:t>seizure precautions</w:t>
            </w:r>
            <w:r>
              <w:t>:</w:t>
            </w:r>
          </w:p>
          <w:p w14:paraId="4488C866" w14:textId="77777777" w:rsidR="009F76D4" w:rsidRDefault="009F76D4" w:rsidP="009F76D4">
            <w:pPr>
              <w:pStyle w:val="Bullet-Blank-2"/>
              <w:numPr>
                <w:ilvl w:val="1"/>
                <w:numId w:val="13"/>
              </w:numPr>
              <w:ind w:left="936"/>
            </w:pPr>
            <w:r>
              <w:t>o</w:t>
            </w:r>
            <w:r w:rsidRPr="00AE23F0">
              <w:t xml:space="preserve">xygen and suction </w:t>
            </w:r>
            <w:r>
              <w:t xml:space="preserve">available </w:t>
            </w:r>
            <w:r w:rsidRPr="00AE23F0">
              <w:t>at the bedside</w:t>
            </w:r>
          </w:p>
          <w:p w14:paraId="4E7CD096" w14:textId="77777777" w:rsidR="009F76D4" w:rsidRDefault="009F76D4" w:rsidP="009F76D4">
            <w:pPr>
              <w:pStyle w:val="Bullet-Blank-2"/>
              <w:numPr>
                <w:ilvl w:val="1"/>
                <w:numId w:val="13"/>
              </w:numPr>
              <w:ind w:left="936"/>
            </w:pPr>
            <w:r>
              <w:t>b</w:t>
            </w:r>
            <w:r w:rsidRPr="00AE23F0">
              <w:t>edrails in the upright position</w:t>
            </w:r>
          </w:p>
          <w:p w14:paraId="255AFB09" w14:textId="77777777" w:rsidR="009F76D4" w:rsidRPr="00E440C0" w:rsidRDefault="009F76D4" w:rsidP="009F76D4">
            <w:pPr>
              <w:pStyle w:val="Bullet-Blank-2"/>
              <w:numPr>
                <w:ilvl w:val="1"/>
                <w:numId w:val="13"/>
              </w:numPr>
              <w:ind w:left="936"/>
            </w:pPr>
            <w:r w:rsidRPr="00AE23F0">
              <w:t xml:space="preserve">patient </w:t>
            </w:r>
            <w:r>
              <w:t>is NPO (nothing by mouth)</w:t>
            </w:r>
          </w:p>
          <w:p w14:paraId="23A86C24" w14:textId="15E8CF15" w:rsidR="009F76D4" w:rsidRDefault="009F76D4" w:rsidP="009F76D4">
            <w:pPr>
              <w:pStyle w:val="Bullet-Blank-2"/>
              <w:numPr>
                <w:ilvl w:val="0"/>
                <w:numId w:val="5"/>
              </w:numPr>
              <w:ind w:left="335" w:hanging="270"/>
            </w:pPr>
            <w:r w:rsidRPr="00221CBE">
              <w:rPr>
                <w:i/>
              </w:rPr>
              <w:t xml:space="preserve">During </w:t>
            </w:r>
            <w:r>
              <w:rPr>
                <w:i/>
              </w:rPr>
              <w:t>l</w:t>
            </w:r>
            <w:r w:rsidRPr="00221CBE">
              <w:rPr>
                <w:i/>
              </w:rPr>
              <w:t xml:space="preserve">oading </w:t>
            </w:r>
            <w:r>
              <w:rPr>
                <w:i/>
              </w:rPr>
              <w:t>d</w:t>
            </w:r>
            <w:r w:rsidRPr="00221CBE">
              <w:rPr>
                <w:i/>
              </w:rPr>
              <w:t>ose:</w:t>
            </w:r>
            <w:r>
              <w:t xml:space="preserve"> </w:t>
            </w:r>
            <w:r w:rsidRPr="00AE23F0">
              <w:t xml:space="preserve">While the loading dose is being administered, the nurse should </w:t>
            </w:r>
            <w:r>
              <w:t>remain at the bedside to monitor the patient.</w:t>
            </w:r>
          </w:p>
        </w:tc>
      </w:tr>
      <w:tr w:rsidR="00BD387E" w:rsidRPr="00AE23F0" w14:paraId="2E3DD882" w14:textId="77777777" w:rsidTr="009F76D4">
        <w:trPr>
          <w:cantSplit/>
        </w:trPr>
        <w:tc>
          <w:tcPr>
            <w:tcW w:w="2365" w:type="dxa"/>
            <w:shd w:val="clear" w:color="auto" w:fill="auto"/>
          </w:tcPr>
          <w:p w14:paraId="0F6E3D63" w14:textId="239BA926" w:rsidR="00BD387E" w:rsidRPr="001A68B2" w:rsidRDefault="00BD387E" w:rsidP="009F76D4">
            <w:pPr>
              <w:pStyle w:val="FormText"/>
              <w:numPr>
                <w:ilvl w:val="0"/>
                <w:numId w:val="35"/>
              </w:numPr>
              <w:ind w:left="270" w:hanging="270"/>
              <w:rPr>
                <w:color w:val="auto"/>
              </w:rPr>
            </w:pPr>
            <w:r>
              <w:rPr>
                <w:color w:val="auto"/>
              </w:rPr>
              <w:lastRenderedPageBreak/>
              <w:t>Assessment</w:t>
            </w:r>
            <w:r w:rsidR="009F76D4">
              <w:rPr>
                <w:color w:val="auto"/>
              </w:rPr>
              <w:t xml:space="preserve"> (cont'd)</w:t>
            </w:r>
          </w:p>
        </w:tc>
        <w:tc>
          <w:tcPr>
            <w:tcW w:w="7225" w:type="dxa"/>
            <w:shd w:val="clear" w:color="auto" w:fill="auto"/>
          </w:tcPr>
          <w:p w14:paraId="77901F0F" w14:textId="77777777" w:rsidR="00BD387E" w:rsidRDefault="00BD387E" w:rsidP="00BD387E">
            <w:pPr>
              <w:pStyle w:val="Bullet-Blank"/>
              <w:numPr>
                <w:ilvl w:val="0"/>
                <w:numId w:val="5"/>
              </w:numPr>
              <w:ind w:left="335" w:hanging="270"/>
            </w:pPr>
            <w:r w:rsidRPr="0010637A">
              <w:rPr>
                <w:i/>
              </w:rPr>
              <w:t>Periodic nursing assessments</w:t>
            </w:r>
            <w:r>
              <w:rPr>
                <w:i/>
              </w:rPr>
              <w:t xml:space="preserve">: </w:t>
            </w:r>
            <w:r w:rsidR="00BE256C">
              <w:t>E</w:t>
            </w:r>
            <w:r>
              <w:t xml:space="preserve">very 15 minutes during first hour of infusion, every 30 minutes during second hour, and hourly thereafter. Assessments should </w:t>
            </w:r>
            <w:r w:rsidRPr="00AE23F0">
              <w:t>include</w:t>
            </w:r>
            <w:r w:rsidR="00BE256C">
              <w:t>—</w:t>
            </w:r>
          </w:p>
          <w:p w14:paraId="6F048A37" w14:textId="77777777" w:rsidR="00BD387E" w:rsidRDefault="00BD387E" w:rsidP="00FD6F4D">
            <w:pPr>
              <w:pStyle w:val="Bullet-Blank-2"/>
              <w:numPr>
                <w:ilvl w:val="1"/>
                <w:numId w:val="13"/>
              </w:numPr>
              <w:ind w:left="936"/>
            </w:pPr>
            <w:r w:rsidRPr="00AE23F0">
              <w:t>vital signs (blood pressure, respirations</w:t>
            </w:r>
            <w:r w:rsidR="00BE256C">
              <w:t xml:space="preserve"> [</w:t>
            </w:r>
            <w:r>
              <w:t>rate and pattern</w:t>
            </w:r>
            <w:r w:rsidR="00BE256C">
              <w:t>]</w:t>
            </w:r>
            <w:r w:rsidRPr="00AE23F0">
              <w:t>, pulse, tempera</w:t>
            </w:r>
            <w:r>
              <w:t>ture, oxygen saturation level)</w:t>
            </w:r>
          </w:p>
          <w:p w14:paraId="1C376548" w14:textId="77777777" w:rsidR="00BD387E" w:rsidRDefault="00BD387E" w:rsidP="00FD6F4D">
            <w:pPr>
              <w:pStyle w:val="Bullet-Blank-2"/>
              <w:numPr>
                <w:ilvl w:val="1"/>
                <w:numId w:val="13"/>
              </w:numPr>
              <w:ind w:left="936"/>
            </w:pPr>
            <w:r>
              <w:t>DTRs and presence or absence of clonus</w:t>
            </w:r>
          </w:p>
          <w:p w14:paraId="14353408" w14:textId="77777777" w:rsidR="00BD387E" w:rsidRDefault="00861D7D" w:rsidP="00FD6F4D">
            <w:pPr>
              <w:pStyle w:val="Bullet-Blank-2"/>
              <w:numPr>
                <w:ilvl w:val="1"/>
                <w:numId w:val="13"/>
              </w:numPr>
              <w:ind w:left="936"/>
            </w:pPr>
            <w:r>
              <w:t>f</w:t>
            </w:r>
            <w:r w:rsidR="00BD387E">
              <w:t xml:space="preserve">luid </w:t>
            </w:r>
            <w:r w:rsidR="00BD387E" w:rsidRPr="00AE23F0">
              <w:t>input</w:t>
            </w:r>
            <w:r w:rsidR="00BD387E">
              <w:t>s</w:t>
            </w:r>
            <w:r w:rsidR="00BD387E" w:rsidRPr="00AE23F0">
              <w:t xml:space="preserve"> and output</w:t>
            </w:r>
            <w:r w:rsidR="00BD387E">
              <w:t>s</w:t>
            </w:r>
            <w:r>
              <w:t xml:space="preserve"> (i</w:t>
            </w:r>
            <w:r w:rsidR="00BD387E">
              <w:t xml:space="preserve">f a patient cannot ambulate to the bathroom or use a bedpan, </w:t>
            </w:r>
            <w:r w:rsidR="00BD387E" w:rsidRPr="00AE23F0">
              <w:t xml:space="preserve">an indwelling urine catheter </w:t>
            </w:r>
            <w:r w:rsidR="00BD387E">
              <w:t>may be needed</w:t>
            </w:r>
            <w:r>
              <w:t>)</w:t>
            </w:r>
            <w:r w:rsidR="00BD387E">
              <w:t xml:space="preserve"> </w:t>
            </w:r>
          </w:p>
          <w:p w14:paraId="5819C536" w14:textId="77777777" w:rsidR="00BD387E" w:rsidRDefault="00BD387E" w:rsidP="00FD6F4D">
            <w:pPr>
              <w:pStyle w:val="Bullet-Blank-2"/>
              <w:numPr>
                <w:ilvl w:val="1"/>
                <w:numId w:val="13"/>
              </w:numPr>
              <w:ind w:left="936"/>
            </w:pPr>
            <w:r>
              <w:t>level of consciousness</w:t>
            </w:r>
          </w:p>
          <w:p w14:paraId="6FAF8C32" w14:textId="77777777" w:rsidR="00BD387E" w:rsidRDefault="00BD387E" w:rsidP="00FD6F4D">
            <w:pPr>
              <w:pStyle w:val="Bullet-Blank-2"/>
              <w:numPr>
                <w:ilvl w:val="1"/>
                <w:numId w:val="13"/>
              </w:numPr>
              <w:ind w:left="936"/>
            </w:pPr>
            <w:r>
              <w:t>breath sounds</w:t>
            </w:r>
          </w:p>
          <w:p w14:paraId="3CA2435D" w14:textId="77777777" w:rsidR="00BD387E" w:rsidRDefault="00BD387E" w:rsidP="00FD6F4D">
            <w:pPr>
              <w:pStyle w:val="Bullet-Blank-2"/>
              <w:numPr>
                <w:ilvl w:val="1"/>
                <w:numId w:val="13"/>
              </w:numPr>
              <w:ind w:left="936"/>
            </w:pPr>
            <w:r w:rsidRPr="00AE23F0">
              <w:t>presence of headaches or visual disturban</w:t>
            </w:r>
            <w:r>
              <w:t>ces (blurred or double vision)</w:t>
            </w:r>
          </w:p>
          <w:p w14:paraId="37FF2186" w14:textId="77777777" w:rsidR="00BD387E" w:rsidRDefault="00BD387E" w:rsidP="00FD6F4D">
            <w:pPr>
              <w:pStyle w:val="Bullet-Blank-2"/>
              <w:numPr>
                <w:ilvl w:val="1"/>
                <w:numId w:val="13"/>
              </w:numPr>
              <w:ind w:left="936"/>
            </w:pPr>
            <w:r w:rsidRPr="00AE23F0">
              <w:t>presence or absence of epigastric pain</w:t>
            </w:r>
          </w:p>
          <w:p w14:paraId="51B5EA3F" w14:textId="7281BBEE" w:rsidR="00BD387E" w:rsidRDefault="00BD387E" w:rsidP="00FD6F4D">
            <w:pPr>
              <w:pStyle w:val="Bullet-Blank-2"/>
              <w:numPr>
                <w:ilvl w:val="1"/>
                <w:numId w:val="13"/>
              </w:numPr>
              <w:ind w:left="936"/>
            </w:pPr>
            <w:r>
              <w:t xml:space="preserve">presence of extravasation or infiltration at </w:t>
            </w:r>
            <w:r w:rsidR="0029213A">
              <w:t>intravenous (</w:t>
            </w:r>
            <w:r>
              <w:t>IV</w:t>
            </w:r>
            <w:r w:rsidR="0029213A">
              <w:t>)</w:t>
            </w:r>
            <w:r>
              <w:t xml:space="preserve"> site</w:t>
            </w:r>
          </w:p>
          <w:p w14:paraId="4AE84130" w14:textId="77777777" w:rsidR="00BD387E" w:rsidRDefault="00861D7D" w:rsidP="00FD6F4D">
            <w:pPr>
              <w:pStyle w:val="Bullet-Blank-2"/>
              <w:numPr>
                <w:ilvl w:val="1"/>
                <w:numId w:val="13"/>
              </w:numPr>
              <w:ind w:left="936"/>
            </w:pPr>
            <w:r>
              <w:t>s</w:t>
            </w:r>
            <w:r w:rsidR="00BD387E">
              <w:t>igns/symptoms of magnesium toxicity, worsening</w:t>
            </w:r>
            <w:r w:rsidR="00CC54CE">
              <w:t xml:space="preserve"> pre-signs or symptoms of eclamp</w:t>
            </w:r>
            <w:r w:rsidR="00BD387E">
              <w:t xml:space="preserve">sia, or progression of labor </w:t>
            </w:r>
          </w:p>
          <w:p w14:paraId="4B19A128" w14:textId="77777777" w:rsidR="00BD387E" w:rsidRDefault="00861D7D" w:rsidP="00FD6F4D">
            <w:pPr>
              <w:pStyle w:val="Bullet-Blank-2"/>
              <w:numPr>
                <w:ilvl w:val="1"/>
                <w:numId w:val="13"/>
              </w:numPr>
              <w:ind w:left="936"/>
            </w:pPr>
            <w:r>
              <w:t>p</w:t>
            </w:r>
            <w:r w:rsidR="00BD387E">
              <w:t>eriodic urine assessment for protein (if applicable)</w:t>
            </w:r>
          </w:p>
          <w:p w14:paraId="314869C1" w14:textId="77777777" w:rsidR="00BD387E" w:rsidRDefault="00861D7D" w:rsidP="00FD6F4D">
            <w:pPr>
              <w:pStyle w:val="Bullet-Blank-2"/>
              <w:numPr>
                <w:ilvl w:val="1"/>
                <w:numId w:val="13"/>
              </w:numPr>
              <w:ind w:left="936"/>
            </w:pPr>
            <w:r>
              <w:t>v</w:t>
            </w:r>
            <w:r w:rsidR="00BD387E">
              <w:t>aginal bleeding</w:t>
            </w:r>
          </w:p>
          <w:p w14:paraId="420DCC02" w14:textId="77777777" w:rsidR="00BD387E" w:rsidRDefault="00861D7D" w:rsidP="00FD6F4D">
            <w:pPr>
              <w:pStyle w:val="Bullet-Blank-2"/>
              <w:numPr>
                <w:ilvl w:val="1"/>
                <w:numId w:val="13"/>
              </w:numPr>
              <w:ind w:left="936"/>
            </w:pPr>
            <w:r>
              <w:t>t</w:t>
            </w:r>
            <w:r w:rsidR="00BD387E">
              <w:t>ocography and FHR (with antepartum or intrapartum use)</w:t>
            </w:r>
          </w:p>
          <w:p w14:paraId="265839BA" w14:textId="77777777" w:rsidR="00BD387E" w:rsidRDefault="00BD387E" w:rsidP="00194576">
            <w:pPr>
              <w:pStyle w:val="Bullet-Blank"/>
              <w:numPr>
                <w:ilvl w:val="0"/>
                <w:numId w:val="5"/>
              </w:numPr>
              <w:ind w:left="335" w:hanging="270"/>
            </w:pPr>
            <w:r>
              <w:t>Serum magnesium-level monitoring every</w:t>
            </w:r>
            <w:r w:rsidRPr="001D1428">
              <w:t xml:space="preserve"> 6 h</w:t>
            </w:r>
            <w:r>
              <w:t>ou</w:t>
            </w:r>
            <w:r w:rsidRPr="001D1428">
              <w:t>rs</w:t>
            </w:r>
            <w:r>
              <w:t xml:space="preserve"> </w:t>
            </w:r>
          </w:p>
          <w:p w14:paraId="21AB559C" w14:textId="77777777" w:rsidR="00BD387E" w:rsidRDefault="00BD387E" w:rsidP="00BE256C">
            <w:pPr>
              <w:pStyle w:val="Bullet-Blank"/>
              <w:numPr>
                <w:ilvl w:val="0"/>
                <w:numId w:val="0"/>
              </w:numPr>
              <w:ind w:left="360"/>
            </w:pPr>
            <w:r>
              <w:t>___YES (Patients with impaired renal function)</w:t>
            </w:r>
          </w:p>
          <w:p w14:paraId="45000EA0" w14:textId="77777777" w:rsidR="00BD387E" w:rsidRDefault="00BD387E" w:rsidP="00226680">
            <w:pPr>
              <w:pStyle w:val="Bullet-Blank"/>
              <w:numPr>
                <w:ilvl w:val="0"/>
                <w:numId w:val="0"/>
              </w:numPr>
              <w:ind w:left="40" w:firstLine="295"/>
            </w:pPr>
            <w:r>
              <w:t>___NO (Patients with normal renal function)</w:t>
            </w:r>
          </w:p>
        </w:tc>
      </w:tr>
      <w:tr w:rsidR="00F01C45" w:rsidRPr="00AE23F0" w14:paraId="3095A475" w14:textId="77777777" w:rsidTr="009F76D4">
        <w:trPr>
          <w:cantSplit/>
        </w:trPr>
        <w:tc>
          <w:tcPr>
            <w:tcW w:w="2365" w:type="dxa"/>
            <w:shd w:val="clear" w:color="auto" w:fill="auto"/>
          </w:tcPr>
          <w:p w14:paraId="39067F2E" w14:textId="55D59201" w:rsidR="00F01C45" w:rsidRPr="001A68B2" w:rsidRDefault="00F01C45" w:rsidP="00F01C45">
            <w:pPr>
              <w:pStyle w:val="FormText"/>
              <w:rPr>
                <w:color w:val="auto"/>
              </w:rPr>
            </w:pPr>
            <w:r w:rsidRPr="001A68B2">
              <w:rPr>
                <w:color w:val="auto"/>
              </w:rPr>
              <w:t>3.</w:t>
            </w:r>
            <w:r w:rsidRPr="001A68B2">
              <w:rPr>
                <w:color w:val="auto"/>
              </w:rPr>
              <w:tab/>
              <w:t>Administration</w:t>
            </w:r>
          </w:p>
        </w:tc>
        <w:tc>
          <w:tcPr>
            <w:tcW w:w="7225" w:type="dxa"/>
            <w:shd w:val="clear" w:color="auto" w:fill="auto"/>
          </w:tcPr>
          <w:p w14:paraId="7D4F1E48" w14:textId="77777777" w:rsidR="00F01C45" w:rsidRPr="000B4D54" w:rsidRDefault="00F01C45" w:rsidP="00F01C45">
            <w:pPr>
              <w:pStyle w:val="Bullet-Blank"/>
              <w:numPr>
                <w:ilvl w:val="0"/>
                <w:numId w:val="9"/>
              </w:numPr>
              <w:ind w:left="335" w:hanging="270"/>
            </w:pPr>
            <w:r w:rsidRPr="000B4D54">
              <w:t xml:space="preserve">Administer the mainline fluids and magnesium sulfate using a calibrated infusion pump. </w:t>
            </w:r>
          </w:p>
          <w:p w14:paraId="5F499BE7" w14:textId="77777777" w:rsidR="00F01C45" w:rsidRPr="000B4D54" w:rsidRDefault="00F01C45" w:rsidP="00F01C45">
            <w:pPr>
              <w:pStyle w:val="Bullet-Blank"/>
              <w:numPr>
                <w:ilvl w:val="0"/>
                <w:numId w:val="9"/>
              </w:numPr>
              <w:ind w:left="335" w:hanging="270"/>
            </w:pPr>
            <w:r w:rsidRPr="000B4D54">
              <w:t>Connect the magnesium sulfate medication bag into the mainline IV tubing by attaching it</w:t>
            </w:r>
            <w:r w:rsidRPr="000B4D54">
              <w:rPr>
                <w:vertAlign w:val="subscript"/>
              </w:rPr>
              <w:t xml:space="preserve"> </w:t>
            </w:r>
            <w:r w:rsidRPr="000B4D54">
              <w:t>to the lowest port on an extension set or the lowest connector on the IV tubing set to facilitate immediate disconnection during emergencies.</w:t>
            </w:r>
          </w:p>
          <w:p w14:paraId="4949D5A3" w14:textId="6F5A00D4" w:rsidR="00F01C45" w:rsidRPr="000B4D54" w:rsidRDefault="00F01C45" w:rsidP="00F01C45">
            <w:pPr>
              <w:pStyle w:val="Bullet-Blank"/>
              <w:numPr>
                <w:ilvl w:val="0"/>
                <w:numId w:val="9"/>
              </w:numPr>
              <w:ind w:left="335" w:hanging="270"/>
            </w:pPr>
            <w:r w:rsidRPr="000B4D54">
              <w:t>Initiate magnesium sulfate with a loading dose (bolus) using a premixed bag of 4 grams per 100 ml. Infuse the bolus dose over a 20- to 30-minute period</w:t>
            </w:r>
            <w:r>
              <w:t>.</w:t>
            </w:r>
            <w:r w:rsidRPr="000B4D54">
              <w:t xml:space="preserve"> </w:t>
            </w:r>
          </w:p>
        </w:tc>
      </w:tr>
      <w:tr w:rsidR="00F01C45" w:rsidRPr="00AE23F0" w14:paraId="5C9B408C" w14:textId="77777777" w:rsidTr="009F76D4">
        <w:trPr>
          <w:cantSplit/>
        </w:trPr>
        <w:tc>
          <w:tcPr>
            <w:tcW w:w="2365" w:type="dxa"/>
            <w:shd w:val="clear" w:color="auto" w:fill="auto"/>
          </w:tcPr>
          <w:p w14:paraId="15A7B88A" w14:textId="5528C945" w:rsidR="00F01C45" w:rsidRPr="001A68B2" w:rsidRDefault="00F01C45" w:rsidP="00F01C45">
            <w:pPr>
              <w:pStyle w:val="FormText"/>
              <w:rPr>
                <w:color w:val="auto"/>
              </w:rPr>
            </w:pPr>
            <w:r w:rsidRPr="001A68B2">
              <w:rPr>
                <w:color w:val="auto"/>
              </w:rPr>
              <w:lastRenderedPageBreak/>
              <w:t>3.</w:t>
            </w:r>
            <w:r w:rsidRPr="001A68B2">
              <w:rPr>
                <w:color w:val="auto"/>
              </w:rPr>
              <w:tab/>
              <w:t>Administration</w:t>
            </w:r>
            <w:r>
              <w:rPr>
                <w:color w:val="auto"/>
              </w:rPr>
              <w:t xml:space="preserve"> (cont'd)</w:t>
            </w:r>
          </w:p>
        </w:tc>
        <w:tc>
          <w:tcPr>
            <w:tcW w:w="7225" w:type="dxa"/>
            <w:shd w:val="clear" w:color="auto" w:fill="auto"/>
          </w:tcPr>
          <w:p w14:paraId="7C4E0D78" w14:textId="77777777" w:rsidR="00F01C45" w:rsidRPr="000B4D54" w:rsidRDefault="00F01C45" w:rsidP="00F01C45">
            <w:pPr>
              <w:pStyle w:val="Bullet-Blank"/>
              <w:numPr>
                <w:ilvl w:val="0"/>
                <w:numId w:val="9"/>
              </w:numPr>
              <w:ind w:left="335" w:hanging="270"/>
            </w:pPr>
            <w:r w:rsidRPr="000B4D54">
              <w:t xml:space="preserve">When bolus is complete, initiate a premixed maintenance bag with a concentration of 20 grams of per 500 ml. </w:t>
            </w:r>
            <w:r>
              <w:t>Administer m</w:t>
            </w:r>
            <w:r w:rsidRPr="000B4D54">
              <w:t>aintenance infusion at a rate of (check one)</w:t>
            </w:r>
            <w:r>
              <w:t>—</w:t>
            </w:r>
          </w:p>
          <w:p w14:paraId="5967AD60" w14:textId="19A1A00D" w:rsidR="00F01C45" w:rsidRPr="000B4D54" w:rsidRDefault="00F01C45" w:rsidP="00F01C45">
            <w:pPr>
              <w:pStyle w:val="Bullet-Blank"/>
              <w:numPr>
                <w:ilvl w:val="0"/>
                <w:numId w:val="0"/>
              </w:numPr>
              <w:ind w:left="245"/>
            </w:pPr>
            <w:r w:rsidRPr="000B4D54">
              <w:t xml:space="preserve">___1 gram/hour (25 </w:t>
            </w:r>
            <w:r>
              <w:t>ml</w:t>
            </w:r>
            <w:r w:rsidRPr="000B4D54">
              <w:t>/hour)</w:t>
            </w:r>
          </w:p>
          <w:p w14:paraId="79733495" w14:textId="71D1A483" w:rsidR="00F01C45" w:rsidRPr="000B4D54" w:rsidRDefault="00F01C45" w:rsidP="00F01C45">
            <w:pPr>
              <w:pStyle w:val="Bullet-Blank"/>
              <w:numPr>
                <w:ilvl w:val="0"/>
                <w:numId w:val="0"/>
              </w:numPr>
              <w:ind w:left="245"/>
            </w:pPr>
            <w:r>
              <w:t>___1.5 grams/hour (38 ml</w:t>
            </w:r>
            <w:r w:rsidRPr="000B4D54">
              <w:t>/hour)</w:t>
            </w:r>
          </w:p>
          <w:p w14:paraId="53B529DF" w14:textId="4BB3B46C" w:rsidR="00F01C45" w:rsidRPr="000B4D54" w:rsidRDefault="00F01C45" w:rsidP="00F01C45">
            <w:pPr>
              <w:pStyle w:val="Bullet-Blank"/>
              <w:numPr>
                <w:ilvl w:val="0"/>
                <w:numId w:val="0"/>
              </w:numPr>
              <w:ind w:left="245"/>
            </w:pPr>
            <w:r w:rsidRPr="000B4D54">
              <w:t xml:space="preserve">___2 </w:t>
            </w:r>
            <w:r>
              <w:t>grams/hour (50 ml</w:t>
            </w:r>
            <w:r w:rsidRPr="000B4D54">
              <w:t>/hour)</w:t>
            </w:r>
          </w:p>
          <w:p w14:paraId="68141FA9" w14:textId="77777777" w:rsidR="00F01C45" w:rsidRPr="000B4D54" w:rsidRDefault="00F01C45" w:rsidP="00F01C45">
            <w:pPr>
              <w:pStyle w:val="Bullet-Blank"/>
              <w:numPr>
                <w:ilvl w:val="0"/>
                <w:numId w:val="0"/>
              </w:numPr>
              <w:ind w:left="245"/>
            </w:pPr>
            <w:r w:rsidRPr="000B4D54">
              <w:t xml:space="preserve">___Other </w:t>
            </w:r>
            <w:r>
              <w:t>(s</w:t>
            </w:r>
            <w:r w:rsidRPr="000B4D54">
              <w:t>eparate provider order required for rates other than the above rates</w:t>
            </w:r>
            <w:r>
              <w:t>)</w:t>
            </w:r>
          </w:p>
          <w:p w14:paraId="670F7374" w14:textId="77777777" w:rsidR="00F01C45" w:rsidRPr="000B4D54" w:rsidRDefault="00F01C45" w:rsidP="00F01C45">
            <w:pPr>
              <w:pStyle w:val="Bullet-Blank"/>
              <w:numPr>
                <w:ilvl w:val="0"/>
                <w:numId w:val="10"/>
              </w:numPr>
              <w:ind w:left="335" w:hanging="270"/>
            </w:pPr>
            <w:r w:rsidRPr="000B4D54">
              <w:t xml:space="preserve">Label the magnesium sulfate line with appropriate medication sticker. </w:t>
            </w:r>
          </w:p>
          <w:p w14:paraId="56CD19E8" w14:textId="77777777" w:rsidR="00F01C45" w:rsidRPr="000B4D54" w:rsidRDefault="00F01C45" w:rsidP="00F01C45">
            <w:pPr>
              <w:pStyle w:val="Bullet-Blank"/>
              <w:numPr>
                <w:ilvl w:val="0"/>
                <w:numId w:val="10"/>
              </w:numPr>
              <w:ind w:left="335" w:hanging="270"/>
            </w:pPr>
            <w:r w:rsidRPr="000B4D54">
              <w:t>Do not infuse other medication into the magnesium sulfate line.</w:t>
            </w:r>
          </w:p>
          <w:p w14:paraId="1567C149" w14:textId="77777777" w:rsidR="00F01C45" w:rsidRPr="000B4D54" w:rsidRDefault="00F01C45" w:rsidP="00F01C45">
            <w:pPr>
              <w:pStyle w:val="Bullet-Blank"/>
              <w:numPr>
                <w:ilvl w:val="0"/>
                <w:numId w:val="10"/>
              </w:numPr>
              <w:ind w:left="335" w:hanging="270"/>
            </w:pPr>
            <w:r w:rsidRPr="000B4D54">
              <w:t>Second nurse must verify pump settings and line hookup whenever there is a rate change or a new bag is hung.</w:t>
            </w:r>
          </w:p>
          <w:p w14:paraId="486EC57E" w14:textId="77777777" w:rsidR="00F01C45" w:rsidRPr="000B4D54" w:rsidRDefault="00F01C45" w:rsidP="00F01C45">
            <w:pPr>
              <w:pStyle w:val="Bullet-Blank"/>
              <w:numPr>
                <w:ilvl w:val="0"/>
                <w:numId w:val="10"/>
              </w:numPr>
              <w:ind w:left="335" w:hanging="270"/>
            </w:pPr>
            <w:r w:rsidRPr="000B4D54">
              <w:t xml:space="preserve">When the order for magnesium is discontinued, the pump should be stopped and the bag and IV tubing promptly disconnected from the patient and discarded. </w:t>
            </w:r>
          </w:p>
        </w:tc>
      </w:tr>
      <w:tr w:rsidR="00F01C45" w:rsidRPr="00AE23F0" w14:paraId="65854BDF" w14:textId="77777777" w:rsidTr="00232303">
        <w:trPr>
          <w:cantSplit/>
        </w:trPr>
        <w:tc>
          <w:tcPr>
            <w:tcW w:w="2365" w:type="dxa"/>
            <w:shd w:val="clear" w:color="auto" w:fill="auto"/>
          </w:tcPr>
          <w:p w14:paraId="6ECEE5D9" w14:textId="77777777" w:rsidR="00F01C45" w:rsidRPr="001A68B2" w:rsidRDefault="00F01C45" w:rsidP="00232303">
            <w:pPr>
              <w:pStyle w:val="FormText"/>
              <w:rPr>
                <w:color w:val="auto"/>
              </w:rPr>
            </w:pPr>
            <w:r w:rsidRPr="001A68B2">
              <w:rPr>
                <w:color w:val="auto"/>
              </w:rPr>
              <w:t>4.</w:t>
            </w:r>
            <w:r w:rsidRPr="001A68B2">
              <w:rPr>
                <w:color w:val="auto"/>
              </w:rPr>
              <w:tab/>
            </w:r>
            <w:r>
              <w:rPr>
                <w:color w:val="auto"/>
              </w:rPr>
              <w:t>Provider notification parameters and standing orders for responding to suspected magnesium toxicity</w:t>
            </w:r>
          </w:p>
        </w:tc>
        <w:tc>
          <w:tcPr>
            <w:tcW w:w="7225" w:type="dxa"/>
            <w:shd w:val="clear" w:color="auto" w:fill="auto"/>
          </w:tcPr>
          <w:p w14:paraId="125495AB" w14:textId="77777777" w:rsidR="00F01C45" w:rsidRPr="000B4D54" w:rsidRDefault="00F01C45" w:rsidP="00232303">
            <w:pPr>
              <w:numPr>
                <w:ilvl w:val="0"/>
                <w:numId w:val="4"/>
              </w:numPr>
              <w:spacing w:before="60" w:after="60"/>
              <w:ind w:left="245" w:hanging="205"/>
              <w:rPr>
                <w:rFonts w:eastAsia="Times New Roman" w:cs="Arial"/>
                <w:sz w:val="22"/>
              </w:rPr>
            </w:pPr>
            <w:r w:rsidRPr="000B4D54">
              <w:rPr>
                <w:rFonts w:eastAsia="Times New Roman" w:cs="Arial"/>
                <w:sz w:val="22"/>
              </w:rPr>
              <w:t>Notify the primary maternity care provider if any of the following conditions occur:</w:t>
            </w:r>
          </w:p>
          <w:p w14:paraId="51FE80E2" w14:textId="77777777" w:rsidR="00F01C45" w:rsidRPr="000B4D54" w:rsidRDefault="00F01C45" w:rsidP="00232303">
            <w:pPr>
              <w:pStyle w:val="Bullet-Blank-2"/>
              <w:numPr>
                <w:ilvl w:val="1"/>
                <w:numId w:val="13"/>
              </w:numPr>
              <w:spacing w:before="0" w:after="0"/>
              <w:ind w:left="936"/>
            </w:pPr>
            <w:r>
              <w:t>c</w:t>
            </w:r>
            <w:r w:rsidRPr="000B4D54">
              <w:t>hanges from baseline more than 20 mmHg SBP or 10 mmHg DBP mmHg</w:t>
            </w:r>
          </w:p>
          <w:p w14:paraId="2BA34E0C" w14:textId="77777777" w:rsidR="00F01C45" w:rsidRPr="000B4D54" w:rsidRDefault="00F01C45" w:rsidP="00232303">
            <w:pPr>
              <w:pStyle w:val="Bullet-Blank-2"/>
              <w:numPr>
                <w:ilvl w:val="1"/>
                <w:numId w:val="13"/>
              </w:numPr>
              <w:spacing w:before="0" w:after="0"/>
              <w:ind w:left="936"/>
            </w:pPr>
            <w:r w:rsidRPr="000B4D54">
              <w:t>pulse &gt;120 bpm or &lt; 60</w:t>
            </w:r>
            <w:r>
              <w:t xml:space="preserve"> bpm</w:t>
            </w:r>
          </w:p>
          <w:p w14:paraId="32F5E413" w14:textId="77777777" w:rsidR="00F01C45" w:rsidRPr="000B4D54" w:rsidRDefault="00F01C45" w:rsidP="00232303">
            <w:pPr>
              <w:pStyle w:val="Bullet-Blank-2"/>
              <w:numPr>
                <w:ilvl w:val="1"/>
                <w:numId w:val="13"/>
              </w:numPr>
              <w:spacing w:before="0" w:after="0"/>
              <w:ind w:left="936"/>
            </w:pPr>
            <w:r>
              <w:t>r</w:t>
            </w:r>
            <w:r w:rsidRPr="000B4D54">
              <w:t>espiration &lt; 14 or &gt; 24</w:t>
            </w:r>
          </w:p>
          <w:p w14:paraId="1E3B6BD8" w14:textId="77777777" w:rsidR="00F01C45" w:rsidRPr="000B4D54" w:rsidRDefault="00F01C45" w:rsidP="00232303">
            <w:pPr>
              <w:pStyle w:val="Bullet-Blank-2"/>
              <w:numPr>
                <w:ilvl w:val="1"/>
                <w:numId w:val="13"/>
              </w:numPr>
              <w:spacing w:before="0" w:after="0"/>
              <w:ind w:left="936"/>
            </w:pPr>
            <w:r>
              <w:t>o</w:t>
            </w:r>
            <w:r w:rsidRPr="000B4D54">
              <w:t>xygen saturation &lt; 95%</w:t>
            </w:r>
          </w:p>
          <w:p w14:paraId="68A5071F" w14:textId="77777777" w:rsidR="00F01C45" w:rsidRPr="000B4D54" w:rsidRDefault="00F01C45" w:rsidP="00232303">
            <w:pPr>
              <w:pStyle w:val="Bullet-Blank-2"/>
              <w:numPr>
                <w:ilvl w:val="1"/>
                <w:numId w:val="13"/>
              </w:numPr>
              <w:spacing w:before="0" w:after="0"/>
              <w:ind w:left="936"/>
            </w:pPr>
            <w:r w:rsidRPr="000B4D54">
              <w:t xml:space="preserve">urine output less &lt;30 </w:t>
            </w:r>
            <w:r>
              <w:t>ml</w:t>
            </w:r>
            <w:r w:rsidRPr="000B4D54">
              <w:t>/hour</w:t>
            </w:r>
          </w:p>
          <w:p w14:paraId="1E0F1F4F" w14:textId="77777777" w:rsidR="00F01C45" w:rsidRPr="000B4D54" w:rsidRDefault="00F01C45" w:rsidP="00232303">
            <w:pPr>
              <w:pStyle w:val="Bullet-Blank-2"/>
              <w:numPr>
                <w:ilvl w:val="1"/>
                <w:numId w:val="13"/>
              </w:numPr>
              <w:spacing w:before="0" w:after="0"/>
              <w:ind w:left="936"/>
            </w:pPr>
            <w:r w:rsidRPr="000B4D54">
              <w:t>increasing proteinuria</w:t>
            </w:r>
          </w:p>
          <w:p w14:paraId="4530D485" w14:textId="77777777" w:rsidR="00F01C45" w:rsidRPr="000B4D54" w:rsidRDefault="00F01C45" w:rsidP="00232303">
            <w:pPr>
              <w:pStyle w:val="Bullet-Blank-2"/>
              <w:numPr>
                <w:ilvl w:val="1"/>
                <w:numId w:val="13"/>
              </w:numPr>
              <w:spacing w:before="0" w:after="0"/>
              <w:ind w:left="936"/>
            </w:pPr>
            <w:r w:rsidRPr="000B4D54">
              <w:t>increasing clonus</w:t>
            </w:r>
          </w:p>
          <w:p w14:paraId="7D55BC58" w14:textId="77777777" w:rsidR="00F01C45" w:rsidRPr="000B4D54" w:rsidRDefault="00F01C45" w:rsidP="00232303">
            <w:pPr>
              <w:pStyle w:val="Bullet-Blank-2"/>
              <w:numPr>
                <w:ilvl w:val="1"/>
                <w:numId w:val="13"/>
              </w:numPr>
              <w:spacing w:before="0" w:after="0"/>
              <w:ind w:left="936"/>
            </w:pPr>
            <w:r w:rsidRPr="000B4D54">
              <w:t>DTRs 4+</w:t>
            </w:r>
          </w:p>
          <w:p w14:paraId="5D27677D" w14:textId="77777777" w:rsidR="00F01C45" w:rsidRPr="000B4D54" w:rsidRDefault="00F01C45" w:rsidP="00232303">
            <w:pPr>
              <w:pStyle w:val="Bullet-Blank-2"/>
              <w:numPr>
                <w:ilvl w:val="1"/>
                <w:numId w:val="13"/>
              </w:numPr>
              <w:spacing w:before="0" w:after="0"/>
              <w:ind w:left="936"/>
            </w:pPr>
            <w:r w:rsidRPr="000B4D54">
              <w:t>persistent headache or visual disturbances</w:t>
            </w:r>
          </w:p>
          <w:p w14:paraId="4BBA196D" w14:textId="77777777" w:rsidR="00F01C45" w:rsidRPr="000B4D54" w:rsidRDefault="00F01C45" w:rsidP="00232303">
            <w:pPr>
              <w:pStyle w:val="Bullet-Blank-2"/>
              <w:numPr>
                <w:ilvl w:val="1"/>
                <w:numId w:val="13"/>
              </w:numPr>
              <w:spacing w:before="0" w:after="0"/>
              <w:ind w:left="936"/>
            </w:pPr>
            <w:r w:rsidRPr="000B4D54">
              <w:t>increasing swelling of face, hands, or feet</w:t>
            </w:r>
          </w:p>
          <w:p w14:paraId="3D6E3D78" w14:textId="77777777" w:rsidR="00F01C45" w:rsidRPr="000B4D54" w:rsidRDefault="00F01C45" w:rsidP="00232303">
            <w:pPr>
              <w:pStyle w:val="Bullet-Blank-2"/>
              <w:numPr>
                <w:ilvl w:val="1"/>
                <w:numId w:val="13"/>
              </w:numPr>
              <w:spacing w:before="0" w:after="0"/>
              <w:ind w:left="936"/>
            </w:pPr>
            <w:r w:rsidRPr="000B4D54">
              <w:t>presence/worsening of epigastric (right upper quadrant pain)</w:t>
            </w:r>
          </w:p>
          <w:p w14:paraId="4938FA63" w14:textId="77777777" w:rsidR="00F01C45" w:rsidRPr="000B4D54" w:rsidRDefault="00F01C45" w:rsidP="00232303">
            <w:pPr>
              <w:pStyle w:val="Bullet-Blank-2"/>
              <w:numPr>
                <w:ilvl w:val="1"/>
                <w:numId w:val="13"/>
              </w:numPr>
              <w:spacing w:before="0" w:after="0"/>
              <w:ind w:left="936"/>
            </w:pPr>
            <w:r w:rsidRPr="000B4D54">
              <w:t>increasing nausea/vomiting</w:t>
            </w:r>
          </w:p>
          <w:p w14:paraId="29EA80FB" w14:textId="77777777" w:rsidR="00F01C45" w:rsidRPr="000B4D54" w:rsidRDefault="00F01C45" w:rsidP="00232303">
            <w:pPr>
              <w:pStyle w:val="Bullet-Blank-2"/>
              <w:numPr>
                <w:ilvl w:val="1"/>
                <w:numId w:val="13"/>
              </w:numPr>
              <w:spacing w:before="0" w:after="0"/>
              <w:ind w:left="936"/>
            </w:pPr>
            <w:r w:rsidRPr="000B4D54">
              <w:t>bruising</w:t>
            </w:r>
          </w:p>
          <w:p w14:paraId="2462EEEF" w14:textId="77777777" w:rsidR="00F01C45" w:rsidRDefault="00F01C45" w:rsidP="00232303">
            <w:pPr>
              <w:pStyle w:val="Bullet-Blank-2"/>
              <w:numPr>
                <w:ilvl w:val="1"/>
                <w:numId w:val="13"/>
              </w:numPr>
              <w:spacing w:before="0"/>
              <w:ind w:left="936"/>
            </w:pPr>
            <w:r w:rsidRPr="000B4D54">
              <w:t>vaginal bleeding</w:t>
            </w:r>
          </w:p>
          <w:p w14:paraId="027500D3" w14:textId="77777777" w:rsidR="00F01C45" w:rsidRDefault="00F01C45" w:rsidP="00232303">
            <w:pPr>
              <w:pStyle w:val="ListParagraph"/>
              <w:numPr>
                <w:ilvl w:val="1"/>
                <w:numId w:val="12"/>
              </w:numPr>
              <w:spacing w:before="60" w:after="60"/>
              <w:rPr>
                <w:rFonts w:cs="Arial"/>
                <w:sz w:val="22"/>
              </w:rPr>
            </w:pPr>
            <w:r w:rsidRPr="000B4D54">
              <w:rPr>
                <w:rFonts w:cs="Arial"/>
                <w:sz w:val="22"/>
              </w:rPr>
              <w:t xml:space="preserve">Activate a rapid response </w:t>
            </w:r>
            <w:r>
              <w:rPr>
                <w:rFonts w:cs="Arial"/>
                <w:sz w:val="22"/>
              </w:rPr>
              <w:t>AND notify the primary maternity care provider for—</w:t>
            </w:r>
          </w:p>
          <w:p w14:paraId="5DAD4264" w14:textId="77777777" w:rsidR="00F01C45" w:rsidRDefault="00F01C45" w:rsidP="00232303">
            <w:pPr>
              <w:pStyle w:val="Bullet-Blank-2"/>
              <w:numPr>
                <w:ilvl w:val="1"/>
                <w:numId w:val="13"/>
              </w:numPr>
              <w:spacing w:after="0"/>
              <w:ind w:left="936"/>
            </w:pPr>
            <w:r>
              <w:t>signs and symptoms of magnesium toxicity</w:t>
            </w:r>
          </w:p>
          <w:p w14:paraId="5AD8E8D2" w14:textId="77777777" w:rsidR="00F01C45" w:rsidRPr="000B4D54" w:rsidRDefault="00F01C45" w:rsidP="00232303">
            <w:pPr>
              <w:pStyle w:val="Bullet-Blank-2"/>
              <w:numPr>
                <w:ilvl w:val="1"/>
                <w:numId w:val="13"/>
              </w:numPr>
              <w:spacing w:before="0"/>
              <w:ind w:left="936"/>
            </w:pPr>
            <w:r>
              <w:t>seizure</w:t>
            </w:r>
          </w:p>
          <w:p w14:paraId="55136E8F" w14:textId="2A729285" w:rsidR="00F01C45" w:rsidRPr="000B4D54" w:rsidRDefault="00F01C45" w:rsidP="00F01C45">
            <w:pPr>
              <w:pStyle w:val="Bullet-Blank"/>
              <w:numPr>
                <w:ilvl w:val="0"/>
                <w:numId w:val="11"/>
              </w:numPr>
            </w:pPr>
            <w:r w:rsidRPr="000B4D54">
              <w:t xml:space="preserve">Signs and symptoms of magnesium toxicity include respiratory depression (less than 12 respirations/minute), prolonged expiration, severe chest heaviness or shortness of breath, a significant decrease in the level of consciousness, the absence of deep tendon reflexes, and a significant decrease in the patient’s pulse or blood pressure. </w:t>
            </w:r>
          </w:p>
        </w:tc>
      </w:tr>
      <w:tr w:rsidR="00F01C45" w:rsidRPr="00AE23F0" w14:paraId="7E020446" w14:textId="77777777" w:rsidTr="009F76D4">
        <w:trPr>
          <w:cantSplit/>
        </w:trPr>
        <w:tc>
          <w:tcPr>
            <w:tcW w:w="2365" w:type="dxa"/>
            <w:shd w:val="clear" w:color="auto" w:fill="auto"/>
          </w:tcPr>
          <w:p w14:paraId="4B082987" w14:textId="5995BDD7" w:rsidR="00F01C45" w:rsidRPr="001A68B2" w:rsidRDefault="00F01C45" w:rsidP="00F01C45">
            <w:pPr>
              <w:pStyle w:val="FormText"/>
              <w:rPr>
                <w:color w:val="auto"/>
              </w:rPr>
            </w:pPr>
            <w:r w:rsidRPr="001A68B2">
              <w:rPr>
                <w:color w:val="auto"/>
              </w:rPr>
              <w:lastRenderedPageBreak/>
              <w:t>4.</w:t>
            </w:r>
            <w:r w:rsidRPr="001A68B2">
              <w:rPr>
                <w:color w:val="auto"/>
              </w:rPr>
              <w:tab/>
            </w:r>
            <w:r>
              <w:rPr>
                <w:color w:val="auto"/>
              </w:rPr>
              <w:t>Provider notification parameters and standing orders for responding to suspected magnesium toxicity (cont'd)</w:t>
            </w:r>
          </w:p>
        </w:tc>
        <w:tc>
          <w:tcPr>
            <w:tcW w:w="7225" w:type="dxa"/>
            <w:shd w:val="clear" w:color="auto" w:fill="auto"/>
          </w:tcPr>
          <w:p w14:paraId="4DCE44F4" w14:textId="77777777" w:rsidR="00F01C45" w:rsidRPr="000B4D54" w:rsidRDefault="00F01C45" w:rsidP="00F01C45">
            <w:pPr>
              <w:pStyle w:val="Bullet-Blank-2"/>
              <w:numPr>
                <w:ilvl w:val="0"/>
                <w:numId w:val="11"/>
              </w:numPr>
            </w:pPr>
            <w:r w:rsidRPr="000B4D54">
              <w:t>Magnesium toxicity is a clinical diagnosis</w:t>
            </w:r>
            <w:r>
              <w:t>,</w:t>
            </w:r>
            <w:r w:rsidRPr="000B4D54">
              <w:t xml:space="preserve"> and serum levels do not always correlate with clinical signs and symptoms.</w:t>
            </w:r>
          </w:p>
          <w:tbl>
            <w:tblPr>
              <w:tblStyle w:val="TableGrid"/>
              <w:tblW w:w="6980" w:type="dxa"/>
              <w:tblInd w:w="360" w:type="dxa"/>
              <w:tblLayout w:type="fixed"/>
              <w:tblLook w:val="04A0" w:firstRow="1" w:lastRow="0" w:firstColumn="1" w:lastColumn="0" w:noHBand="0" w:noVBand="1"/>
              <w:tblDescription w:val="magnesium levels and symptoms"/>
            </w:tblPr>
            <w:tblGrid>
              <w:gridCol w:w="3630"/>
              <w:gridCol w:w="3350"/>
            </w:tblGrid>
            <w:tr w:rsidR="00F01C45" w:rsidRPr="000B4D54" w14:paraId="3437640B" w14:textId="77777777" w:rsidTr="009F76D4">
              <w:trPr>
                <w:cantSplit/>
                <w:tblHeader/>
              </w:trPr>
              <w:tc>
                <w:tcPr>
                  <w:tcW w:w="3120" w:type="dxa"/>
                </w:tcPr>
                <w:p w14:paraId="7D382020" w14:textId="77777777" w:rsidR="00F01C45" w:rsidRPr="000B4D54" w:rsidRDefault="00F01C45" w:rsidP="00F01C45">
                  <w:pPr>
                    <w:pStyle w:val="Bullet-Blank-2"/>
                    <w:numPr>
                      <w:ilvl w:val="0"/>
                      <w:numId w:val="0"/>
                    </w:numPr>
                    <w:rPr>
                      <w:b/>
                    </w:rPr>
                  </w:pPr>
                  <w:r w:rsidRPr="000B4D54">
                    <w:rPr>
                      <w:b/>
                    </w:rPr>
                    <w:t>Symptoms</w:t>
                  </w:r>
                </w:p>
              </w:tc>
              <w:tc>
                <w:tcPr>
                  <w:tcW w:w="2880" w:type="dxa"/>
                </w:tcPr>
                <w:p w14:paraId="6D356382" w14:textId="77777777" w:rsidR="00F01C45" w:rsidRPr="000B4D54" w:rsidRDefault="00F01C45" w:rsidP="00F01C45">
                  <w:pPr>
                    <w:pStyle w:val="Bullet-Blank-2"/>
                    <w:numPr>
                      <w:ilvl w:val="0"/>
                      <w:numId w:val="0"/>
                    </w:numPr>
                    <w:rPr>
                      <w:b/>
                    </w:rPr>
                  </w:pPr>
                  <w:r w:rsidRPr="000B4D54">
                    <w:rPr>
                      <w:b/>
                    </w:rPr>
                    <w:t>Magnesium Level (mg/dl)</w:t>
                  </w:r>
                </w:p>
              </w:tc>
            </w:tr>
            <w:tr w:rsidR="00F01C45" w:rsidRPr="000B4D54" w14:paraId="1A5CAAB6" w14:textId="77777777" w:rsidTr="009F76D4">
              <w:trPr>
                <w:cantSplit/>
              </w:trPr>
              <w:tc>
                <w:tcPr>
                  <w:tcW w:w="3120" w:type="dxa"/>
                </w:tcPr>
                <w:p w14:paraId="4C05D08A" w14:textId="77777777" w:rsidR="00F01C45" w:rsidRPr="000B4D54" w:rsidRDefault="00F01C45" w:rsidP="00F01C45">
                  <w:pPr>
                    <w:pStyle w:val="Bullet-Blank-2"/>
                    <w:numPr>
                      <w:ilvl w:val="0"/>
                      <w:numId w:val="0"/>
                    </w:numPr>
                    <w:spacing w:before="40" w:after="40"/>
                  </w:pPr>
                  <w:r w:rsidRPr="000B4D54">
                    <w:rPr>
                      <w:color w:val="000000"/>
                      <w:lang w:bidi="ar-SA"/>
                    </w:rPr>
                    <w:t>Normal adult values</w:t>
                  </w:r>
                </w:p>
              </w:tc>
              <w:tc>
                <w:tcPr>
                  <w:tcW w:w="2880" w:type="dxa"/>
                </w:tcPr>
                <w:p w14:paraId="161E101B" w14:textId="406B7702" w:rsidR="00F01C45" w:rsidRPr="000B4D54" w:rsidRDefault="00F01C45" w:rsidP="00F01C45">
                  <w:pPr>
                    <w:pStyle w:val="Bullet-Blank-2"/>
                    <w:numPr>
                      <w:ilvl w:val="0"/>
                      <w:numId w:val="0"/>
                    </w:numPr>
                    <w:spacing w:before="40" w:after="40"/>
                  </w:pPr>
                  <w:r>
                    <w:t>1.7</w:t>
                  </w:r>
                  <w:r w:rsidRPr="000B4D54">
                    <w:t>-2.4</w:t>
                  </w:r>
                </w:p>
              </w:tc>
            </w:tr>
            <w:tr w:rsidR="00F01C45" w:rsidRPr="000B4D54" w14:paraId="6632BA50" w14:textId="77777777" w:rsidTr="009F76D4">
              <w:trPr>
                <w:cantSplit/>
              </w:trPr>
              <w:tc>
                <w:tcPr>
                  <w:tcW w:w="3120" w:type="dxa"/>
                </w:tcPr>
                <w:p w14:paraId="700DC5DB" w14:textId="77777777" w:rsidR="00F01C45" w:rsidRPr="000B4D54" w:rsidRDefault="00F01C45" w:rsidP="00F01C45">
                  <w:pPr>
                    <w:pStyle w:val="Bullet-Blank-2"/>
                    <w:numPr>
                      <w:ilvl w:val="0"/>
                      <w:numId w:val="0"/>
                    </w:numPr>
                    <w:spacing w:before="40" w:after="40"/>
                    <w:rPr>
                      <w:color w:val="000000"/>
                      <w:lang w:bidi="ar-SA"/>
                    </w:rPr>
                  </w:pPr>
                  <w:r w:rsidRPr="000B4D54">
                    <w:rPr>
                      <w:color w:val="000000"/>
                      <w:lang w:bidi="ar-SA"/>
                    </w:rPr>
                    <w:t xml:space="preserve">Therapeutic </w:t>
                  </w:r>
                  <w:r>
                    <w:rPr>
                      <w:color w:val="000000"/>
                      <w:lang w:bidi="ar-SA"/>
                    </w:rPr>
                    <w:t>r</w:t>
                  </w:r>
                  <w:r w:rsidRPr="000B4D54">
                    <w:rPr>
                      <w:color w:val="000000"/>
                      <w:lang w:bidi="ar-SA"/>
                    </w:rPr>
                    <w:t>ange</w:t>
                  </w:r>
                </w:p>
              </w:tc>
              <w:tc>
                <w:tcPr>
                  <w:tcW w:w="2880" w:type="dxa"/>
                </w:tcPr>
                <w:p w14:paraId="5B6C562C" w14:textId="77777777" w:rsidR="00F01C45" w:rsidRPr="000B4D54" w:rsidRDefault="00F01C45" w:rsidP="00F01C45">
                  <w:pPr>
                    <w:pStyle w:val="Bullet-Blank-2"/>
                    <w:numPr>
                      <w:ilvl w:val="0"/>
                      <w:numId w:val="0"/>
                    </w:numPr>
                    <w:spacing w:before="40" w:after="40"/>
                  </w:pPr>
                  <w:r w:rsidRPr="000B4D54">
                    <w:t>5-9</w:t>
                  </w:r>
                </w:p>
              </w:tc>
            </w:tr>
            <w:tr w:rsidR="00F01C45" w:rsidRPr="000B4D54" w14:paraId="0B2C5F1D" w14:textId="77777777" w:rsidTr="009F76D4">
              <w:trPr>
                <w:cantSplit/>
              </w:trPr>
              <w:tc>
                <w:tcPr>
                  <w:tcW w:w="3120" w:type="dxa"/>
                </w:tcPr>
                <w:p w14:paraId="43227138" w14:textId="77777777" w:rsidR="00F01C45" w:rsidRPr="000B4D54" w:rsidRDefault="00F01C45" w:rsidP="00F01C45">
                  <w:pPr>
                    <w:pStyle w:val="Bullet-Blank-2"/>
                    <w:numPr>
                      <w:ilvl w:val="0"/>
                      <w:numId w:val="0"/>
                    </w:numPr>
                    <w:spacing w:before="40" w:after="40"/>
                    <w:rPr>
                      <w:color w:val="000000"/>
                      <w:lang w:bidi="ar-SA"/>
                    </w:rPr>
                  </w:pPr>
                  <w:r w:rsidRPr="000B4D54">
                    <w:rPr>
                      <w:color w:val="000000"/>
                      <w:lang w:bidi="ar-SA"/>
                    </w:rPr>
                    <w:t>Loss of patellar reflexes</w:t>
                  </w:r>
                </w:p>
              </w:tc>
              <w:tc>
                <w:tcPr>
                  <w:tcW w:w="2880" w:type="dxa"/>
                </w:tcPr>
                <w:p w14:paraId="1B5E493D" w14:textId="77777777" w:rsidR="00F01C45" w:rsidRPr="000B4D54" w:rsidRDefault="00F01C45" w:rsidP="00F01C45">
                  <w:pPr>
                    <w:pStyle w:val="Bullet-Blank-2"/>
                    <w:numPr>
                      <w:ilvl w:val="0"/>
                      <w:numId w:val="0"/>
                    </w:numPr>
                    <w:spacing w:before="40" w:after="40"/>
                  </w:pPr>
                  <w:r w:rsidRPr="000B4D54">
                    <w:t>8-12</w:t>
                  </w:r>
                </w:p>
              </w:tc>
            </w:tr>
            <w:tr w:rsidR="00F01C45" w:rsidRPr="000B4D54" w14:paraId="2199B97A" w14:textId="77777777" w:rsidTr="009F76D4">
              <w:trPr>
                <w:cantSplit/>
              </w:trPr>
              <w:tc>
                <w:tcPr>
                  <w:tcW w:w="3120" w:type="dxa"/>
                </w:tcPr>
                <w:p w14:paraId="4049869F" w14:textId="77777777" w:rsidR="00F01C45" w:rsidRPr="000B4D54" w:rsidRDefault="00F01C45" w:rsidP="00F01C45">
                  <w:pPr>
                    <w:pStyle w:val="Bullet-Blank-2"/>
                    <w:numPr>
                      <w:ilvl w:val="0"/>
                      <w:numId w:val="0"/>
                    </w:numPr>
                    <w:spacing w:before="40" w:after="40"/>
                    <w:rPr>
                      <w:color w:val="000000"/>
                      <w:lang w:bidi="ar-SA"/>
                    </w:rPr>
                  </w:pPr>
                  <w:r w:rsidRPr="000B4D54">
                    <w:rPr>
                      <w:color w:val="000000"/>
                      <w:lang w:bidi="ar-SA"/>
                    </w:rPr>
                    <w:t>Feelings of warmth, flushing</w:t>
                  </w:r>
                </w:p>
              </w:tc>
              <w:tc>
                <w:tcPr>
                  <w:tcW w:w="2880" w:type="dxa"/>
                </w:tcPr>
                <w:p w14:paraId="5FBE463F" w14:textId="77777777" w:rsidR="00F01C45" w:rsidRPr="000B4D54" w:rsidRDefault="00F01C45" w:rsidP="00F01C45">
                  <w:pPr>
                    <w:pStyle w:val="Bullet-Blank-2"/>
                    <w:numPr>
                      <w:ilvl w:val="0"/>
                      <w:numId w:val="0"/>
                    </w:numPr>
                    <w:spacing w:before="40" w:after="40"/>
                  </w:pPr>
                  <w:r w:rsidRPr="000B4D54">
                    <w:t>9-12</w:t>
                  </w:r>
                </w:p>
              </w:tc>
            </w:tr>
            <w:tr w:rsidR="00F01C45" w:rsidRPr="000B4D54" w14:paraId="30C84943" w14:textId="77777777" w:rsidTr="009F76D4">
              <w:trPr>
                <w:cantSplit/>
              </w:trPr>
              <w:tc>
                <w:tcPr>
                  <w:tcW w:w="3120" w:type="dxa"/>
                </w:tcPr>
                <w:p w14:paraId="216D47F3" w14:textId="77777777" w:rsidR="00F01C45" w:rsidRPr="000B4D54" w:rsidRDefault="00F01C45" w:rsidP="00F01C45">
                  <w:pPr>
                    <w:pStyle w:val="Bullet-Blank-2"/>
                    <w:numPr>
                      <w:ilvl w:val="0"/>
                      <w:numId w:val="0"/>
                    </w:numPr>
                    <w:spacing w:before="40" w:after="40"/>
                    <w:rPr>
                      <w:color w:val="000000"/>
                      <w:lang w:bidi="ar-SA"/>
                    </w:rPr>
                  </w:pPr>
                  <w:r w:rsidRPr="000B4D54">
                    <w:rPr>
                      <w:color w:val="000000"/>
                      <w:lang w:bidi="ar-SA"/>
                    </w:rPr>
                    <w:t>Somnolence</w:t>
                  </w:r>
                </w:p>
              </w:tc>
              <w:tc>
                <w:tcPr>
                  <w:tcW w:w="2880" w:type="dxa"/>
                </w:tcPr>
                <w:p w14:paraId="786E0BD1" w14:textId="77777777" w:rsidR="00F01C45" w:rsidRPr="000B4D54" w:rsidRDefault="00F01C45" w:rsidP="00F01C45">
                  <w:pPr>
                    <w:pStyle w:val="Bullet-Blank-2"/>
                    <w:numPr>
                      <w:ilvl w:val="0"/>
                      <w:numId w:val="0"/>
                    </w:numPr>
                    <w:spacing w:before="40" w:after="40"/>
                  </w:pPr>
                  <w:r w:rsidRPr="000B4D54">
                    <w:t>10-12</w:t>
                  </w:r>
                </w:p>
              </w:tc>
            </w:tr>
            <w:tr w:rsidR="00F01C45" w:rsidRPr="000B4D54" w14:paraId="35EB87BD" w14:textId="77777777" w:rsidTr="009F76D4">
              <w:trPr>
                <w:cantSplit/>
              </w:trPr>
              <w:tc>
                <w:tcPr>
                  <w:tcW w:w="3120" w:type="dxa"/>
                </w:tcPr>
                <w:p w14:paraId="0EAF5E64" w14:textId="77777777" w:rsidR="00F01C45" w:rsidRPr="000B4D54" w:rsidRDefault="00F01C45" w:rsidP="00F01C45">
                  <w:pPr>
                    <w:pStyle w:val="Bullet-Blank-2"/>
                    <w:numPr>
                      <w:ilvl w:val="0"/>
                      <w:numId w:val="0"/>
                    </w:numPr>
                    <w:spacing w:before="40" w:after="40"/>
                    <w:rPr>
                      <w:color w:val="000000"/>
                      <w:lang w:bidi="ar-SA"/>
                    </w:rPr>
                  </w:pPr>
                  <w:r w:rsidRPr="000B4D54">
                    <w:rPr>
                      <w:color w:val="000000"/>
                      <w:lang w:bidi="ar-SA"/>
                    </w:rPr>
                    <w:t>Respiratory difficulty/depression</w:t>
                  </w:r>
                </w:p>
              </w:tc>
              <w:tc>
                <w:tcPr>
                  <w:tcW w:w="2880" w:type="dxa"/>
                </w:tcPr>
                <w:p w14:paraId="78C4EE01" w14:textId="77777777" w:rsidR="00F01C45" w:rsidRPr="000B4D54" w:rsidRDefault="00F01C45" w:rsidP="00F01C45">
                  <w:pPr>
                    <w:pStyle w:val="Bullet-Blank-2"/>
                    <w:numPr>
                      <w:ilvl w:val="0"/>
                      <w:numId w:val="0"/>
                    </w:numPr>
                    <w:spacing w:before="40" w:after="40"/>
                  </w:pPr>
                  <w:r w:rsidRPr="000B4D54">
                    <w:t>12-16</w:t>
                  </w:r>
                </w:p>
              </w:tc>
            </w:tr>
            <w:tr w:rsidR="00F01C45" w:rsidRPr="000B4D54" w14:paraId="2702E3F5" w14:textId="77777777" w:rsidTr="009F76D4">
              <w:trPr>
                <w:cantSplit/>
              </w:trPr>
              <w:tc>
                <w:tcPr>
                  <w:tcW w:w="3120" w:type="dxa"/>
                </w:tcPr>
                <w:p w14:paraId="27C31C60" w14:textId="77777777" w:rsidR="00F01C45" w:rsidRPr="000B4D54" w:rsidRDefault="00F01C45" w:rsidP="00F01C45">
                  <w:pPr>
                    <w:pStyle w:val="Bullet-Blank-2"/>
                    <w:numPr>
                      <w:ilvl w:val="0"/>
                      <w:numId w:val="0"/>
                    </w:numPr>
                    <w:spacing w:before="40" w:after="40"/>
                    <w:rPr>
                      <w:color w:val="000000"/>
                      <w:lang w:bidi="ar-SA"/>
                    </w:rPr>
                  </w:pPr>
                  <w:r w:rsidRPr="000B4D54">
                    <w:rPr>
                      <w:color w:val="000000"/>
                      <w:lang w:bidi="ar-SA"/>
                    </w:rPr>
                    <w:t>Muscular paralysis</w:t>
                  </w:r>
                </w:p>
              </w:tc>
              <w:tc>
                <w:tcPr>
                  <w:tcW w:w="2880" w:type="dxa"/>
                </w:tcPr>
                <w:p w14:paraId="032469FE" w14:textId="77777777" w:rsidR="00F01C45" w:rsidRPr="000B4D54" w:rsidRDefault="00F01C45" w:rsidP="00F01C45">
                  <w:pPr>
                    <w:pStyle w:val="Bullet-Blank-2"/>
                    <w:numPr>
                      <w:ilvl w:val="0"/>
                      <w:numId w:val="0"/>
                    </w:numPr>
                    <w:spacing w:before="40" w:after="40"/>
                  </w:pPr>
                  <w:r w:rsidRPr="000B4D54">
                    <w:t>15-17</w:t>
                  </w:r>
                </w:p>
              </w:tc>
            </w:tr>
            <w:tr w:rsidR="00F01C45" w:rsidRPr="000B4D54" w14:paraId="65B032AB" w14:textId="77777777" w:rsidTr="009F76D4">
              <w:trPr>
                <w:cantSplit/>
              </w:trPr>
              <w:tc>
                <w:tcPr>
                  <w:tcW w:w="3120" w:type="dxa"/>
                </w:tcPr>
                <w:p w14:paraId="34EFE7B4" w14:textId="77777777" w:rsidR="00F01C45" w:rsidRPr="000B4D54" w:rsidRDefault="00F01C45" w:rsidP="00F01C45">
                  <w:pPr>
                    <w:pStyle w:val="Bullet-Blank-2"/>
                    <w:numPr>
                      <w:ilvl w:val="0"/>
                      <w:numId w:val="0"/>
                    </w:numPr>
                    <w:spacing w:before="40" w:after="40"/>
                    <w:rPr>
                      <w:color w:val="000000"/>
                      <w:lang w:bidi="ar-SA"/>
                    </w:rPr>
                  </w:pPr>
                  <w:r w:rsidRPr="000B4D54">
                    <w:rPr>
                      <w:color w:val="000000"/>
                      <w:lang w:bidi="ar-SA"/>
                    </w:rPr>
                    <w:t>Altered cardiac conduction</w:t>
                  </w:r>
                </w:p>
              </w:tc>
              <w:tc>
                <w:tcPr>
                  <w:tcW w:w="2880" w:type="dxa"/>
                </w:tcPr>
                <w:p w14:paraId="7298A99F" w14:textId="77777777" w:rsidR="00F01C45" w:rsidRPr="000B4D54" w:rsidRDefault="00F01C45" w:rsidP="00F01C45">
                  <w:pPr>
                    <w:pStyle w:val="Bullet-Blank-2"/>
                    <w:numPr>
                      <w:ilvl w:val="0"/>
                      <w:numId w:val="0"/>
                    </w:numPr>
                    <w:spacing w:before="40" w:after="40"/>
                  </w:pPr>
                  <w:r w:rsidRPr="000B4D54">
                    <w:t>&gt;18</w:t>
                  </w:r>
                </w:p>
              </w:tc>
            </w:tr>
            <w:tr w:rsidR="00F01C45" w:rsidRPr="000B4D54" w14:paraId="5FF06948" w14:textId="77777777" w:rsidTr="009F76D4">
              <w:trPr>
                <w:cantSplit/>
              </w:trPr>
              <w:tc>
                <w:tcPr>
                  <w:tcW w:w="3120" w:type="dxa"/>
                </w:tcPr>
                <w:p w14:paraId="3394B857" w14:textId="77777777" w:rsidR="00F01C45" w:rsidRPr="000B4D54" w:rsidRDefault="00F01C45" w:rsidP="00F01C45">
                  <w:pPr>
                    <w:pStyle w:val="Bullet-Blank-2"/>
                    <w:numPr>
                      <w:ilvl w:val="0"/>
                      <w:numId w:val="0"/>
                    </w:numPr>
                    <w:spacing w:before="40" w:after="40"/>
                    <w:rPr>
                      <w:color w:val="000000"/>
                      <w:lang w:bidi="ar-SA"/>
                    </w:rPr>
                  </w:pPr>
                  <w:r w:rsidRPr="000B4D54">
                    <w:rPr>
                      <w:color w:val="000000"/>
                      <w:lang w:bidi="ar-SA"/>
                    </w:rPr>
                    <w:t>Cardiac arrest</w:t>
                  </w:r>
                </w:p>
              </w:tc>
              <w:tc>
                <w:tcPr>
                  <w:tcW w:w="2880" w:type="dxa"/>
                </w:tcPr>
                <w:p w14:paraId="6B70C2DC" w14:textId="77777777" w:rsidR="00F01C45" w:rsidRPr="000B4D54" w:rsidRDefault="00F01C45" w:rsidP="00F01C45">
                  <w:pPr>
                    <w:pStyle w:val="Bullet-Blank-2"/>
                    <w:numPr>
                      <w:ilvl w:val="0"/>
                      <w:numId w:val="0"/>
                    </w:numPr>
                    <w:spacing w:before="40" w:after="40"/>
                  </w:pPr>
                  <w:r w:rsidRPr="000B4D54">
                    <w:t>30-35</w:t>
                  </w:r>
                </w:p>
              </w:tc>
            </w:tr>
          </w:tbl>
          <w:p w14:paraId="2503D6A2" w14:textId="77777777" w:rsidR="00F01C45" w:rsidRPr="000B4D54" w:rsidRDefault="00F01C45" w:rsidP="00F01C45">
            <w:pPr>
              <w:ind w:left="398"/>
              <w:rPr>
                <w:sz w:val="22"/>
              </w:rPr>
            </w:pPr>
            <w:r w:rsidRPr="000B4D54">
              <w:rPr>
                <w:sz w:val="22"/>
              </w:rPr>
              <w:t>Adapted from Simpson, 2004</w:t>
            </w:r>
            <w:r w:rsidRPr="00CC54CE">
              <w:rPr>
                <w:sz w:val="22"/>
                <w:vertAlign w:val="superscript"/>
              </w:rPr>
              <w:t>10</w:t>
            </w:r>
          </w:p>
          <w:p w14:paraId="1F4DD8C6" w14:textId="77777777" w:rsidR="00F01C45" w:rsidRPr="000B4D54" w:rsidRDefault="00F01C45" w:rsidP="00F01C45">
            <w:pPr>
              <w:pStyle w:val="Bullet-Blank"/>
              <w:numPr>
                <w:ilvl w:val="0"/>
                <w:numId w:val="11"/>
              </w:numPr>
            </w:pPr>
            <w:r>
              <w:t xml:space="preserve">Standing orders for </w:t>
            </w:r>
            <w:r w:rsidRPr="000B4D54">
              <w:t>suspected magnesium sulfate toxicity</w:t>
            </w:r>
          </w:p>
          <w:p w14:paraId="0881E831" w14:textId="435FD6AF" w:rsidR="00F01C45" w:rsidRPr="000B4D54" w:rsidRDefault="00F01C45" w:rsidP="00F01C45">
            <w:pPr>
              <w:pStyle w:val="Bullet-Blank-2"/>
              <w:numPr>
                <w:ilvl w:val="1"/>
                <w:numId w:val="13"/>
              </w:numPr>
              <w:ind w:left="936"/>
            </w:pPr>
            <w:r w:rsidRPr="000B4D54">
              <w:t>Stop the infusion</w:t>
            </w:r>
          </w:p>
          <w:p w14:paraId="7AB5657B" w14:textId="77777777" w:rsidR="00F01C45" w:rsidRPr="000B4D54" w:rsidRDefault="00F01C45" w:rsidP="00F01C45">
            <w:pPr>
              <w:pStyle w:val="Bullet-Blank-2"/>
              <w:numPr>
                <w:ilvl w:val="1"/>
                <w:numId w:val="13"/>
              </w:numPr>
              <w:ind w:left="936"/>
            </w:pPr>
            <w:r w:rsidRPr="000B4D54">
              <w:t>Activate a rapid response and notify provider</w:t>
            </w:r>
          </w:p>
          <w:p w14:paraId="1C031D0B" w14:textId="77777777" w:rsidR="00F01C45" w:rsidRPr="000B4D54" w:rsidRDefault="00F01C45" w:rsidP="00F01C45">
            <w:pPr>
              <w:pStyle w:val="Bullet-Blank-2"/>
              <w:numPr>
                <w:ilvl w:val="1"/>
                <w:numId w:val="13"/>
              </w:numPr>
              <w:ind w:left="936"/>
            </w:pPr>
            <w:r w:rsidRPr="000B4D54">
              <w:t>Monitor respiratory rate, pattern, and monitor oxygen saturation with pulse oximeter</w:t>
            </w:r>
          </w:p>
          <w:p w14:paraId="3E7DDE20" w14:textId="77777777" w:rsidR="00F01C45" w:rsidRPr="000B4D54" w:rsidRDefault="00F01C45" w:rsidP="00F01C45">
            <w:pPr>
              <w:pStyle w:val="Bullet-Blank-2"/>
              <w:numPr>
                <w:ilvl w:val="1"/>
                <w:numId w:val="13"/>
              </w:numPr>
              <w:ind w:left="936"/>
            </w:pPr>
            <w:r w:rsidRPr="000B4D54">
              <w:t>Draw a STAT serum magnesium level</w:t>
            </w:r>
          </w:p>
          <w:p w14:paraId="7DBF5520" w14:textId="77777777" w:rsidR="00F01C45" w:rsidRPr="000B4D54" w:rsidRDefault="00F01C45" w:rsidP="00F01C45">
            <w:pPr>
              <w:pStyle w:val="Bullet-Blank-2"/>
              <w:numPr>
                <w:ilvl w:val="1"/>
                <w:numId w:val="13"/>
              </w:numPr>
              <w:ind w:left="936"/>
            </w:pPr>
            <w:r w:rsidRPr="000B4D54">
              <w:t>If respiration is depressed, administer oxygen 2L by face mask and administer calcium gluconate 1 gm (10 ml of a 10% solution) over 5 minutes.</w:t>
            </w:r>
            <w:r>
              <w:t xml:space="preserve"> </w:t>
            </w:r>
          </w:p>
          <w:p w14:paraId="3031B538" w14:textId="77777777" w:rsidR="00F01C45" w:rsidRPr="000B4D54" w:rsidRDefault="00F01C45" w:rsidP="00F01C45">
            <w:pPr>
              <w:pStyle w:val="Bullet-Blank-2"/>
              <w:numPr>
                <w:ilvl w:val="1"/>
                <w:numId w:val="13"/>
              </w:numPr>
              <w:ind w:left="936"/>
            </w:pPr>
            <w:r w:rsidRPr="000B4D54">
              <w:t xml:space="preserve">If </w:t>
            </w:r>
            <w:r>
              <w:t>respiration arrests, request</w:t>
            </w:r>
            <w:r w:rsidRPr="000B4D54">
              <w:t xml:space="preserve"> advanced airway support and bag-valve-mask to support respiration. </w:t>
            </w:r>
          </w:p>
        </w:tc>
      </w:tr>
      <w:tr w:rsidR="00F01C45" w:rsidRPr="00AE23F0" w14:paraId="27F6E200" w14:textId="77777777" w:rsidTr="009F76D4">
        <w:trPr>
          <w:cantSplit/>
        </w:trPr>
        <w:tc>
          <w:tcPr>
            <w:tcW w:w="2365" w:type="dxa"/>
            <w:shd w:val="clear" w:color="auto" w:fill="auto"/>
          </w:tcPr>
          <w:p w14:paraId="2E6AF6F4" w14:textId="25A8D33E" w:rsidR="00F01C45" w:rsidRPr="001A68B2" w:rsidRDefault="00F01C45" w:rsidP="00F01C45">
            <w:pPr>
              <w:pStyle w:val="FormText"/>
              <w:rPr>
                <w:color w:val="auto"/>
              </w:rPr>
            </w:pPr>
            <w:r w:rsidRPr="001A68B2">
              <w:rPr>
                <w:color w:val="auto"/>
              </w:rPr>
              <w:t>6.</w:t>
            </w:r>
            <w:r w:rsidRPr="001A68B2">
              <w:rPr>
                <w:color w:val="auto"/>
              </w:rPr>
              <w:tab/>
              <w:t xml:space="preserve">Patient </w:t>
            </w:r>
            <w:r>
              <w:rPr>
                <w:color w:val="auto"/>
              </w:rPr>
              <w:t xml:space="preserve">comfort </w:t>
            </w:r>
            <w:r w:rsidRPr="001A68B2">
              <w:rPr>
                <w:color w:val="auto"/>
              </w:rPr>
              <w:t xml:space="preserve">and </w:t>
            </w:r>
            <w:r>
              <w:rPr>
                <w:color w:val="auto"/>
              </w:rPr>
              <w:t>e</w:t>
            </w:r>
            <w:r w:rsidRPr="001A68B2">
              <w:rPr>
                <w:color w:val="auto"/>
              </w:rPr>
              <w:t>ducation</w:t>
            </w:r>
          </w:p>
        </w:tc>
        <w:tc>
          <w:tcPr>
            <w:tcW w:w="7225" w:type="dxa"/>
            <w:shd w:val="clear" w:color="auto" w:fill="auto"/>
          </w:tcPr>
          <w:p w14:paraId="5890BC7D" w14:textId="77777777" w:rsidR="00F01C45" w:rsidRDefault="00F01C45" w:rsidP="00F01C45">
            <w:pPr>
              <w:pStyle w:val="Bullet-Blank"/>
              <w:numPr>
                <w:ilvl w:val="0"/>
                <w:numId w:val="4"/>
              </w:numPr>
              <w:ind w:left="245" w:hanging="205"/>
            </w:pPr>
            <w:r w:rsidRPr="00917EA4">
              <w:t xml:space="preserve">Discuss risks and benefits of magnesium sulfate with patient and family. </w:t>
            </w:r>
          </w:p>
          <w:p w14:paraId="439BFD0C" w14:textId="77777777" w:rsidR="00F01C45" w:rsidRDefault="00F01C45" w:rsidP="00F01C45">
            <w:pPr>
              <w:pStyle w:val="Bullet-Blank"/>
              <w:numPr>
                <w:ilvl w:val="0"/>
                <w:numId w:val="4"/>
              </w:numPr>
              <w:ind w:left="245" w:hanging="205"/>
            </w:pPr>
            <w:r>
              <w:t xml:space="preserve">Explain the magnesium infusion procedure, mobility, and dietary restrictions. </w:t>
            </w:r>
          </w:p>
          <w:p w14:paraId="524795F1" w14:textId="77777777" w:rsidR="00F01C45" w:rsidRDefault="00F01C45" w:rsidP="00F01C45">
            <w:pPr>
              <w:pStyle w:val="Bullet-Blank"/>
              <w:numPr>
                <w:ilvl w:val="0"/>
                <w:numId w:val="4"/>
              </w:numPr>
              <w:ind w:left="245" w:hanging="205"/>
            </w:pPr>
            <w:r>
              <w:t>Explain expected therapeutic effects, and discuss likely side effects, and symptoms of toxicity that should be reported immediately.</w:t>
            </w:r>
          </w:p>
          <w:p w14:paraId="1F501D90" w14:textId="77777777" w:rsidR="00F01C45" w:rsidRDefault="00F01C45" w:rsidP="00F01C45">
            <w:pPr>
              <w:pStyle w:val="Bullet-Blank"/>
              <w:numPr>
                <w:ilvl w:val="0"/>
                <w:numId w:val="4"/>
              </w:numPr>
              <w:ind w:left="245" w:hanging="205"/>
            </w:pPr>
            <w:r w:rsidRPr="00917EA4">
              <w:t>Discuss how patient and family can request urgent assistance if nurse is not at bedside.</w:t>
            </w:r>
          </w:p>
          <w:p w14:paraId="5F8ADD13" w14:textId="77777777" w:rsidR="00F01C45" w:rsidRDefault="00F01C45" w:rsidP="00F01C45">
            <w:pPr>
              <w:pStyle w:val="Bullet-Blank"/>
              <w:numPr>
                <w:ilvl w:val="0"/>
                <w:numId w:val="4"/>
              </w:numPr>
              <w:ind w:left="245" w:hanging="205"/>
            </w:pPr>
            <w:r w:rsidRPr="00AE23F0">
              <w:t>Place lights in the patient’s room on low.</w:t>
            </w:r>
          </w:p>
          <w:p w14:paraId="6D5011D8" w14:textId="77777777" w:rsidR="00F01C45" w:rsidRDefault="00F01C45" w:rsidP="00F01C45">
            <w:pPr>
              <w:pStyle w:val="Bullet-Blank"/>
              <w:numPr>
                <w:ilvl w:val="0"/>
                <w:numId w:val="4"/>
              </w:numPr>
              <w:ind w:left="245" w:hanging="205"/>
            </w:pPr>
            <w:r>
              <w:t>M</w:t>
            </w:r>
            <w:r w:rsidRPr="00AE23F0">
              <w:t>aintain a quiet environment.</w:t>
            </w:r>
          </w:p>
          <w:p w14:paraId="526280E0" w14:textId="22620BCE" w:rsidR="00F01C45" w:rsidRPr="004B668F" w:rsidRDefault="00F01C45" w:rsidP="00F01C45">
            <w:pPr>
              <w:pStyle w:val="Bullet-Blank"/>
              <w:numPr>
                <w:ilvl w:val="0"/>
                <w:numId w:val="4"/>
              </w:numPr>
              <w:ind w:left="245" w:hanging="205"/>
            </w:pPr>
            <w:r w:rsidRPr="00AE23F0">
              <w:t xml:space="preserve">Provide a fan at the bedside </w:t>
            </w:r>
            <w:r>
              <w:t>for relief</w:t>
            </w:r>
            <w:r w:rsidRPr="00AE23F0">
              <w:t xml:space="preserve"> from flushing, hot flashes, and sensation of increased body temperature. </w:t>
            </w:r>
          </w:p>
        </w:tc>
      </w:tr>
      <w:tr w:rsidR="00F01C45" w:rsidRPr="00AE23F0" w14:paraId="462B35A4" w14:textId="77777777" w:rsidTr="009F76D4">
        <w:trPr>
          <w:cantSplit/>
        </w:trPr>
        <w:tc>
          <w:tcPr>
            <w:tcW w:w="2365" w:type="dxa"/>
            <w:shd w:val="clear" w:color="auto" w:fill="auto"/>
          </w:tcPr>
          <w:p w14:paraId="4548DE8F" w14:textId="77777777" w:rsidR="00F01C45" w:rsidRPr="001A68B2" w:rsidRDefault="00F01C45" w:rsidP="00F01C45">
            <w:pPr>
              <w:pStyle w:val="FormText"/>
              <w:rPr>
                <w:color w:val="auto"/>
              </w:rPr>
            </w:pPr>
            <w:r>
              <w:rPr>
                <w:color w:val="auto"/>
              </w:rPr>
              <w:lastRenderedPageBreak/>
              <w:t xml:space="preserve">7. </w:t>
            </w:r>
            <w:r w:rsidRPr="001A68B2">
              <w:rPr>
                <w:color w:val="auto"/>
              </w:rPr>
              <w:t xml:space="preserve">Communication </w:t>
            </w:r>
          </w:p>
        </w:tc>
        <w:tc>
          <w:tcPr>
            <w:tcW w:w="7225" w:type="dxa"/>
            <w:shd w:val="clear" w:color="auto" w:fill="auto"/>
          </w:tcPr>
          <w:p w14:paraId="178EF582" w14:textId="77777777" w:rsidR="00F01C45" w:rsidRDefault="00F01C45" w:rsidP="00F01C45">
            <w:pPr>
              <w:pStyle w:val="Bullet-Blank"/>
              <w:numPr>
                <w:ilvl w:val="0"/>
                <w:numId w:val="4"/>
              </w:numPr>
              <w:ind w:left="245" w:hanging="205"/>
            </w:pPr>
            <w:r>
              <w:t>Notify pediatrics when antepartum and intrapartum patients are placed on magnesium sulfate</w:t>
            </w:r>
          </w:p>
          <w:p w14:paraId="626D42BB" w14:textId="77777777" w:rsidR="00F01C45" w:rsidRDefault="00F01C45" w:rsidP="00F01C45">
            <w:pPr>
              <w:pStyle w:val="Bullet-Blank"/>
              <w:numPr>
                <w:ilvl w:val="0"/>
                <w:numId w:val="4"/>
              </w:numPr>
              <w:ind w:left="245" w:hanging="205"/>
            </w:pPr>
            <w:r>
              <w:t xml:space="preserve">Verify medication bag, pump settings, and IV tubing are correct during change of shifts or other transitions of care team </w:t>
            </w:r>
          </w:p>
          <w:p w14:paraId="14A5FD37" w14:textId="77777777" w:rsidR="00F01C45" w:rsidRDefault="00F01C45" w:rsidP="00F01C45">
            <w:pPr>
              <w:pStyle w:val="Bullet-Blank"/>
              <w:numPr>
                <w:ilvl w:val="0"/>
                <w:numId w:val="4"/>
              </w:numPr>
              <w:ind w:left="245" w:hanging="205"/>
            </w:pPr>
            <w:r>
              <w:t>Use TeamSTEPPS communication techniques to—</w:t>
            </w:r>
          </w:p>
          <w:p w14:paraId="3EEFF56E" w14:textId="77777777" w:rsidR="00F01C45" w:rsidRDefault="00F01C45" w:rsidP="00F01C45">
            <w:pPr>
              <w:pStyle w:val="Bullet-Blank-2"/>
              <w:numPr>
                <w:ilvl w:val="1"/>
                <w:numId w:val="13"/>
              </w:numPr>
              <w:ind w:left="936"/>
            </w:pPr>
            <w:r>
              <w:t>request urgent additional help</w:t>
            </w:r>
          </w:p>
          <w:p w14:paraId="16A75D9F" w14:textId="77777777" w:rsidR="00F01C45" w:rsidRDefault="00F01C45" w:rsidP="00F01C45">
            <w:pPr>
              <w:pStyle w:val="Bullet-Blank-2"/>
              <w:numPr>
                <w:ilvl w:val="1"/>
                <w:numId w:val="13"/>
              </w:numPr>
              <w:ind w:left="936"/>
            </w:pPr>
            <w:r>
              <w:t>assert and advocate for safe practices (CUS)</w:t>
            </w:r>
          </w:p>
          <w:p w14:paraId="2DBF5C61" w14:textId="77777777" w:rsidR="00F01C45" w:rsidRDefault="00F01C45" w:rsidP="00F01C45">
            <w:pPr>
              <w:pStyle w:val="Bullet-Blank-2"/>
              <w:numPr>
                <w:ilvl w:val="1"/>
                <w:numId w:val="13"/>
              </w:numPr>
              <w:ind w:left="936"/>
            </w:pPr>
            <w:r>
              <w:t>brief new team members, such as during a rapid response (SBAR)</w:t>
            </w:r>
          </w:p>
          <w:p w14:paraId="2147B0E2" w14:textId="77777777" w:rsidR="00F01C45" w:rsidRDefault="00F01C45" w:rsidP="00F01C45">
            <w:pPr>
              <w:pStyle w:val="Bullet-Blank-2"/>
              <w:numPr>
                <w:ilvl w:val="1"/>
                <w:numId w:val="13"/>
              </w:numPr>
              <w:ind w:left="936"/>
            </w:pPr>
            <w:r>
              <w:t>acknowledge receipt of orders (closed-loop communication)</w:t>
            </w:r>
          </w:p>
          <w:p w14:paraId="5659980E" w14:textId="2FDCA2DD" w:rsidR="00F01C45" w:rsidRPr="00AE23F0" w:rsidRDefault="00F01C45" w:rsidP="00F01C45">
            <w:pPr>
              <w:pStyle w:val="Bullet-Blank-2"/>
              <w:numPr>
                <w:ilvl w:val="1"/>
                <w:numId w:val="13"/>
              </w:numPr>
              <w:ind w:left="936"/>
            </w:pPr>
            <w:r>
              <w:t>maintain situational awareness by sharing new information with team as it is learned</w:t>
            </w:r>
          </w:p>
        </w:tc>
      </w:tr>
    </w:tbl>
    <w:p w14:paraId="02B5A548" w14:textId="4B63D535" w:rsidR="00BD387E" w:rsidRDefault="00275C6E" w:rsidP="00FD6F4D">
      <w:pPr>
        <w:pStyle w:val="BodyText"/>
      </w:pPr>
      <w:r w:rsidRPr="00275C6E">
        <w:rPr>
          <w:rFonts w:eastAsiaTheme="minorHAnsi" w:cstheme="minorBidi"/>
          <w:noProof/>
          <w:sz w:val="18"/>
          <w:szCs w:val="18"/>
          <w:lang w:bidi="ar-SA"/>
        </w:rPr>
        <mc:AlternateContent>
          <mc:Choice Requires="wps">
            <w:drawing>
              <wp:anchor distT="45720" distB="45720" distL="114300" distR="114300" simplePos="0" relativeHeight="251659264" behindDoc="0" locked="0" layoutInCell="1" allowOverlap="1" wp14:anchorId="4FF73E13" wp14:editId="4EC22A49">
                <wp:simplePos x="0" y="0"/>
                <wp:positionH relativeFrom="column">
                  <wp:posOffset>4282440</wp:posOffset>
                </wp:positionH>
                <wp:positionV relativeFrom="page">
                  <wp:posOffset>8716645</wp:posOffset>
                </wp:positionV>
                <wp:extent cx="2203450" cy="40259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402590"/>
                        </a:xfrm>
                        <a:prstGeom prst="rect">
                          <a:avLst/>
                        </a:prstGeom>
                        <a:noFill/>
                        <a:ln w="9525">
                          <a:noFill/>
                          <a:miter lim="800000"/>
                          <a:headEnd/>
                          <a:tailEnd/>
                        </a:ln>
                      </wps:spPr>
                      <wps:txbx>
                        <w:txbxContent>
                          <w:p w14:paraId="68CDA7A2" w14:textId="77777777" w:rsidR="00275C6E" w:rsidRPr="00275C6E" w:rsidRDefault="00275C6E" w:rsidP="00275C6E">
                            <w:pPr>
                              <w:pStyle w:val="Footer"/>
                              <w:tabs>
                                <w:tab w:val="clear" w:pos="9360"/>
                              </w:tabs>
                              <w:jc w:val="right"/>
                              <w:rPr>
                                <w:sz w:val="18"/>
                                <w:szCs w:val="18"/>
                              </w:rPr>
                            </w:pPr>
                            <w:r w:rsidRPr="00275C6E">
                              <w:rPr>
                                <w:sz w:val="18"/>
                                <w:szCs w:val="18"/>
                              </w:rPr>
                              <w:t>AHRQ Publication No. 17-0003-19-EF</w:t>
                            </w:r>
                          </w:p>
                          <w:p w14:paraId="34A4D19C" w14:textId="7D4E8126" w:rsidR="00275C6E" w:rsidRPr="00275C6E" w:rsidRDefault="009B6A4F" w:rsidP="00275C6E">
                            <w:pPr>
                              <w:pStyle w:val="Footer"/>
                              <w:tabs>
                                <w:tab w:val="clear" w:pos="9360"/>
                              </w:tabs>
                              <w:jc w:val="right"/>
                              <w:rPr>
                                <w:sz w:val="18"/>
                                <w:szCs w:val="18"/>
                              </w:rPr>
                            </w:pPr>
                            <w:r>
                              <w:rPr>
                                <w:sz w:val="18"/>
                                <w:szCs w:val="18"/>
                              </w:rPr>
                              <w:t>May</w:t>
                            </w:r>
                            <w:r w:rsidR="00275C6E" w:rsidRPr="00275C6E">
                              <w:rPr>
                                <w:sz w:val="18"/>
                                <w:szCs w:val="18"/>
                              </w:rPr>
                              <w:t xml:space="preserve"> 201</w:t>
                            </w:r>
                            <w:r>
                              <w:rPr>
                                <w:sz w:val="18"/>
                                <w:szCs w:val="18"/>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7.2pt;margin-top:686.35pt;width:173.5pt;height:31.7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" filled="f" stroked="f">
                <v:textbox style="mso-fit-shape-to-text:t">
                  <w:txbxContent>
                    <w:p w14:paraId="68CDA7A2" w14:textId="77777777" w:rsidR="00275C6E" w:rsidRPr="00275C6E" w:rsidRDefault="00275C6E" w:rsidP="00275C6E">
                      <w:pPr>
                        <w:pStyle w:val="Footer"/>
                        <w:tabs>
                          <w:tab w:val="clear" w:pos="9360"/>
                        </w:tabs>
                        <w:jc w:val="right"/>
                        <w:rPr>
                          <w:sz w:val="18"/>
                          <w:szCs w:val="18"/>
                        </w:rPr>
                      </w:pPr>
                      <w:r w:rsidRPr="00275C6E">
                        <w:rPr>
                          <w:sz w:val="18"/>
                          <w:szCs w:val="18"/>
                        </w:rPr>
                        <w:t>AHRQ Publication No. 17-0003-19-EF</w:t>
                      </w:r>
                    </w:p>
                    <w:p w14:paraId="34A4D19C" w14:textId="7D4E8126" w:rsidR="00275C6E" w:rsidRPr="00275C6E" w:rsidRDefault="009B6A4F" w:rsidP="00275C6E">
                      <w:pPr>
                        <w:pStyle w:val="Footer"/>
                        <w:tabs>
                          <w:tab w:val="clear" w:pos="9360"/>
                        </w:tabs>
                        <w:jc w:val="right"/>
                        <w:rPr>
                          <w:sz w:val="18"/>
                          <w:szCs w:val="18"/>
                        </w:rPr>
                      </w:pPr>
                      <w:r>
                        <w:rPr>
                          <w:sz w:val="18"/>
                          <w:szCs w:val="18"/>
                        </w:rPr>
                        <w:t>May</w:t>
                      </w:r>
                      <w:r w:rsidR="00275C6E" w:rsidRPr="00275C6E">
                        <w:rPr>
                          <w:sz w:val="18"/>
                          <w:szCs w:val="18"/>
                        </w:rPr>
                        <w:t xml:space="preserve"> 201</w:t>
                      </w:r>
                      <w:r>
                        <w:rPr>
                          <w:sz w:val="18"/>
                          <w:szCs w:val="18"/>
                        </w:rPr>
                        <w:t>7</w:t>
                      </w:r>
                    </w:p>
                  </w:txbxContent>
                </v:textbox>
                <w10:wrap anchory="page"/>
              </v:shape>
            </w:pict>
          </mc:Fallback>
        </mc:AlternateContent>
      </w:r>
    </w:p>
    <w:sectPr w:rsidR="00BD387E" w:rsidSect="00275C6E">
      <w:headerReference w:type="default" r:id="rId14"/>
      <w:footerReference w:type="default" r:id="rId15"/>
      <w:headerReference w:type="first" r:id="rId16"/>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20B38" w14:textId="77777777" w:rsidR="00491BD3" w:rsidRDefault="00491BD3" w:rsidP="009D0579">
      <w:pPr>
        <w:spacing w:after="0"/>
      </w:pPr>
      <w:r>
        <w:separator/>
      </w:r>
    </w:p>
  </w:endnote>
  <w:endnote w:type="continuationSeparator" w:id="0">
    <w:p w14:paraId="4A1ADC4E" w14:textId="77777777" w:rsidR="00491BD3" w:rsidRDefault="00491BD3" w:rsidP="009D05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088892"/>
      <w:docPartObj>
        <w:docPartGallery w:val="Page Numbers (Bottom of Page)"/>
        <w:docPartUnique/>
      </w:docPartObj>
    </w:sdtPr>
    <w:sdtEndPr>
      <w:rPr>
        <w:noProof/>
        <w:sz w:val="22"/>
      </w:rPr>
    </w:sdtEndPr>
    <w:sdtContent>
      <w:p w14:paraId="4E7F31B0" w14:textId="1C1C2726" w:rsidR="00491BD3" w:rsidRPr="00B95092" w:rsidRDefault="00B95092" w:rsidP="00985C92">
        <w:pPr>
          <w:pStyle w:val="Footer"/>
          <w:tabs>
            <w:tab w:val="clear" w:pos="4680"/>
            <w:tab w:val="left" w:pos="180"/>
            <w:tab w:val="right" w:pos="9072"/>
          </w:tabs>
          <w:spacing w:after="120"/>
          <w:rPr>
            <w:color w:val="FFFFFF" w:themeColor="background1"/>
            <w:sz w:val="22"/>
          </w:rPr>
        </w:pPr>
        <w:r w:rsidRPr="00AE6E52">
          <w:rPr>
            <w:noProof/>
            <w:color w:val="FFFFFF" w:themeColor="background1"/>
          </w:rPr>
          <w:drawing>
            <wp:anchor distT="0" distB="0" distL="114300" distR="114300" simplePos="0" relativeHeight="251663360" behindDoc="1" locked="0" layoutInCell="1" allowOverlap="1" wp14:anchorId="21FF4471" wp14:editId="2A1CCFB0">
              <wp:simplePos x="0" y="0"/>
              <wp:positionH relativeFrom="column">
                <wp:posOffset>3080385</wp:posOffset>
              </wp:positionH>
              <wp:positionV relativeFrom="paragraph">
                <wp:posOffset>-480060</wp:posOffset>
              </wp:positionV>
              <wp:extent cx="3762375" cy="704215"/>
              <wp:effectExtent l="0" t="0" r="9525" b="635"/>
              <wp:wrapNone/>
              <wp:docPr id="21" name="Picture 21"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P for Word 1_2.jpg"/>
                      <pic:cNvPicPr/>
                    </pic:nvPicPr>
                    <pic:blipFill rotWithShape="1">
                      <a:blip r:embed="rId1" cstate="print">
                        <a:extLst>
                          <a:ext uri="{28A0092B-C50C-407E-A947-70E740481C1C}">
                            <a14:useLocalDpi xmlns:a14="http://schemas.microsoft.com/office/drawing/2010/main" val="0"/>
                          </a:ext>
                        </a:extLst>
                      </a:blip>
                      <a:srcRect l="43893" t="87976" r="7677" b="4790"/>
                      <a:stretch/>
                    </pic:blipFill>
                    <pic:spPr bwMode="auto">
                      <a:xfrm>
                        <a:off x="0" y="0"/>
                        <a:ext cx="3762375" cy="704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color w:val="FFFFFF" w:themeColor="background1"/>
            </w:rPr>
            <w:id w:val="-114063590"/>
            <w:docPartObj>
              <w:docPartGallery w:val="Page Numbers (Bottom of Page)"/>
              <w:docPartUnique/>
            </w:docPartObj>
          </w:sdtPr>
          <w:sdtEndPr>
            <w:rPr>
              <w:noProof/>
              <w:sz w:val="22"/>
            </w:rPr>
          </w:sdtEndPr>
          <w:sdtContent>
            <w:r w:rsidRPr="00B95092">
              <w:rPr>
                <w:sz w:val="22"/>
              </w:rPr>
              <w:t>AHRQ Safety Program for Perinatal Care</w:t>
            </w:r>
            <w:r w:rsidRPr="00B95092">
              <w:rPr>
                <w:color w:val="FFFFFF" w:themeColor="background1"/>
                <w:sz w:val="22"/>
              </w:rPr>
              <w:tab/>
            </w:r>
            <w:r w:rsidR="00985C92" w:rsidRPr="00B95092">
              <w:rPr>
                <w:color w:val="FFFFFF" w:themeColor="background1"/>
                <w:sz w:val="22"/>
              </w:rPr>
              <w:t xml:space="preserve">Magnesium </w:t>
            </w:r>
            <w:r w:rsidRPr="00B95092">
              <w:rPr>
                <w:color w:val="FFFFFF" w:themeColor="background1"/>
                <w:sz w:val="22"/>
              </w:rPr>
              <w:t>Sulfate</w:t>
            </w:r>
            <w:r w:rsidRPr="00B95092">
              <w:rPr>
                <w:color w:val="FFFFFF" w:themeColor="background1"/>
                <w:sz w:val="22"/>
              </w:rPr>
              <w:tab/>
            </w:r>
            <w:r w:rsidRPr="00B95092">
              <w:rPr>
                <w:color w:val="FFFFFF" w:themeColor="background1"/>
                <w:sz w:val="22"/>
              </w:rPr>
              <w:fldChar w:fldCharType="begin"/>
            </w:r>
            <w:r w:rsidRPr="00B95092">
              <w:rPr>
                <w:color w:val="FFFFFF" w:themeColor="background1"/>
                <w:sz w:val="22"/>
              </w:rPr>
              <w:instrText xml:space="preserve"> PAGE   \* MERGEFORMAT </w:instrText>
            </w:r>
            <w:r w:rsidRPr="00B95092">
              <w:rPr>
                <w:color w:val="FFFFFF" w:themeColor="background1"/>
                <w:sz w:val="22"/>
              </w:rPr>
              <w:fldChar w:fldCharType="separate"/>
            </w:r>
            <w:r w:rsidR="009B6A4F">
              <w:rPr>
                <w:noProof/>
                <w:color w:val="FFFFFF" w:themeColor="background1"/>
                <w:sz w:val="22"/>
              </w:rPr>
              <w:t>2</w:t>
            </w:r>
            <w:r w:rsidRPr="00B95092">
              <w:rPr>
                <w:noProof/>
                <w:color w:val="FFFFFF" w:themeColor="background1"/>
                <w:sz w:val="22"/>
              </w:rPr>
              <w:fldChar w:fldCharType="end"/>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4F480" w14:textId="77777777" w:rsidR="00491BD3" w:rsidRDefault="00491BD3" w:rsidP="009D0579">
      <w:pPr>
        <w:spacing w:after="0"/>
      </w:pPr>
      <w:r>
        <w:separator/>
      </w:r>
    </w:p>
  </w:footnote>
  <w:footnote w:type="continuationSeparator" w:id="0">
    <w:p w14:paraId="4823D4E6" w14:textId="77777777" w:rsidR="00491BD3" w:rsidRDefault="00491BD3" w:rsidP="009D057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CD1F1" w14:textId="71191C23" w:rsidR="00B95092" w:rsidRPr="00B95092" w:rsidRDefault="00B95092" w:rsidP="00B95092">
    <w:pPr>
      <w:pStyle w:val="Header"/>
      <w:spacing w:after="240" w:line="276" w:lineRule="auto"/>
      <w:jc w:val="center"/>
      <w:rPr>
        <w:rFonts w:ascii="Calibri" w:eastAsia="Calibri" w:hAnsi="Calibri" w:cs="Arial"/>
        <w:b/>
        <w:sz w:val="28"/>
        <w:szCs w:val="28"/>
      </w:rPr>
    </w:pPr>
    <w:r w:rsidRPr="00B95092">
      <w:rPr>
        <w:rFonts w:ascii="Calibri" w:eastAsia="Calibri" w:hAnsi="Calibri" w:cs="Arial"/>
        <w:b/>
        <w:sz w:val="28"/>
        <w:szCs w:val="28"/>
      </w:rPr>
      <w:t>Safe Medication Administration</w:t>
    </w:r>
    <w:r>
      <w:rPr>
        <w:rFonts w:ascii="Calibri" w:eastAsia="Calibri" w:hAnsi="Calibri" w:cs="Arial"/>
        <w:b/>
        <w:sz w:val="28"/>
        <w:szCs w:val="28"/>
      </w:rPr>
      <w:t>—</w:t>
    </w:r>
    <w:r w:rsidRPr="00B95092">
      <w:rPr>
        <w:rFonts w:ascii="Calibri" w:eastAsia="Calibri" w:hAnsi="Calibri" w:cs="Arial"/>
        <w:b/>
        <w:sz w:val="28"/>
        <w:szCs w:val="28"/>
      </w:rPr>
      <w:t>Magnesium Sulfate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802A5" w14:textId="6484DF98" w:rsidR="00491BD3" w:rsidRDefault="00491BD3" w:rsidP="008E07AA">
    <w:pPr>
      <w:pStyle w:val="Header"/>
      <w:spacing w:after="360"/>
      <w:jc w:val="center"/>
      <w:rPr>
        <w:rFonts w:ascii="Calibri" w:hAnsi="Calibri" w:cs="Arial"/>
        <w:b/>
        <w:color w:val="FFFFFF" w:themeColor="background1"/>
        <w:sz w:val="48"/>
        <w:szCs w:val="48"/>
      </w:rPr>
    </w:pPr>
    <w:r w:rsidRPr="00B95092">
      <w:rPr>
        <w:rFonts w:ascii="Calibri" w:hAnsi="Calibri" w:cs="Arial"/>
        <w:b/>
        <w:noProof/>
        <w:color w:val="FFFFFF" w:themeColor="background1"/>
        <w:sz w:val="48"/>
        <w:szCs w:val="48"/>
      </w:rPr>
      <w:drawing>
        <wp:anchor distT="0" distB="0" distL="114300" distR="114300" simplePos="0" relativeHeight="251654144" behindDoc="1" locked="0" layoutInCell="1" allowOverlap="1" wp14:anchorId="3FC030FE" wp14:editId="0E0FBBD8">
          <wp:simplePos x="0" y="0"/>
          <wp:positionH relativeFrom="column">
            <wp:posOffset>-904875</wp:posOffset>
          </wp:positionH>
          <wp:positionV relativeFrom="paragraph">
            <wp:posOffset>-447675</wp:posOffset>
          </wp:positionV>
          <wp:extent cx="7764598" cy="10058400"/>
          <wp:effectExtent l="0" t="0" r="8255" b="0"/>
          <wp:wrapNone/>
          <wp:docPr id="3" name="Picture 3"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P for Word 1_better.jpg"/>
                  <pic:cNvPicPr/>
                </pic:nvPicPr>
                <pic:blipFill rotWithShape="1">
                  <a:blip r:embed="rId1" cstate="print">
                    <a:extLst>
                      <a:ext uri="{28A0092B-C50C-407E-A947-70E740481C1C}">
                        <a14:useLocalDpi xmlns:a14="http://schemas.microsoft.com/office/drawing/2010/main" val="0"/>
                      </a:ext>
                    </a:extLst>
                  </a:blip>
                  <a:srcRect l="2083" t="1148" r="7364" b="5364"/>
                  <a:stretch/>
                </pic:blipFill>
                <pic:spPr bwMode="auto">
                  <a:xfrm>
                    <a:off x="0" y="0"/>
                    <a:ext cx="7764598" cy="1005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5092" w:rsidRPr="00B95092">
      <w:rPr>
        <w:rFonts w:ascii="Calibri" w:hAnsi="Calibri" w:cs="Arial"/>
        <w:b/>
        <w:color w:val="FFFFFF" w:themeColor="background1"/>
        <w:sz w:val="48"/>
        <w:szCs w:val="48"/>
      </w:rPr>
      <w:t xml:space="preserve">AHRQ </w:t>
    </w:r>
    <w:r w:rsidRPr="00B95092">
      <w:rPr>
        <w:rFonts w:ascii="Calibri" w:hAnsi="Calibri" w:cs="Arial"/>
        <w:b/>
        <w:color w:val="FFFFFF" w:themeColor="background1"/>
        <w:sz w:val="48"/>
        <w:szCs w:val="48"/>
      </w:rPr>
      <w:t>Safety Program for Perinatal Care</w:t>
    </w:r>
  </w:p>
  <w:p w14:paraId="6EC69E36" w14:textId="105F23E8" w:rsidR="00B95092" w:rsidRPr="00B95092" w:rsidRDefault="00B95092" w:rsidP="00B95092">
    <w:pPr>
      <w:pStyle w:val="Header"/>
      <w:spacing w:after="240" w:line="276" w:lineRule="auto"/>
      <w:jc w:val="center"/>
      <w:rPr>
        <w:rFonts w:ascii="Calibri" w:eastAsia="Calibri" w:hAnsi="Calibri" w:cs="Arial"/>
        <w:b/>
        <w:sz w:val="28"/>
        <w:szCs w:val="28"/>
      </w:rPr>
    </w:pPr>
    <w:r w:rsidRPr="00B95092">
      <w:rPr>
        <w:rFonts w:ascii="Calibri" w:eastAsia="Calibri" w:hAnsi="Calibri" w:cs="Arial"/>
        <w:b/>
        <w:sz w:val="28"/>
        <w:szCs w:val="28"/>
      </w:rPr>
      <w:t>Safe Medication Administration</w:t>
    </w:r>
    <w:r w:rsidRPr="00B95092">
      <w:rPr>
        <w:rFonts w:ascii="Calibri" w:eastAsia="Calibri" w:hAnsi="Calibri" w:cs="Arial"/>
        <w:b/>
        <w:sz w:val="28"/>
        <w:szCs w:val="28"/>
      </w:rPr>
      <w:br/>
      <w:t>Magnesium Sulfate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C8433CA"/>
    <w:lvl w:ilvl="0">
      <w:start w:val="1"/>
      <w:numFmt w:val="bullet"/>
      <w:pStyle w:val="ListBullet"/>
      <w:lvlText w:val="•"/>
      <w:lvlJc w:val="left"/>
      <w:pPr>
        <w:tabs>
          <w:tab w:val="num" w:pos="360"/>
        </w:tabs>
        <w:ind w:left="360" w:hanging="360"/>
      </w:pPr>
      <w:rPr>
        <w:rFonts w:ascii="Arial" w:hAnsi="Arial" w:hint="default"/>
      </w:rPr>
    </w:lvl>
  </w:abstractNum>
  <w:abstractNum w:abstractNumId="1">
    <w:nsid w:val="037A1BD1"/>
    <w:multiLevelType w:val="hybridMultilevel"/>
    <w:tmpl w:val="8B78167C"/>
    <w:lvl w:ilvl="0" w:tplc="04090001">
      <w:start w:val="1"/>
      <w:numFmt w:val="bullet"/>
      <w:lvlText w:val=""/>
      <w:lvlJc w:val="left"/>
      <w:pPr>
        <w:ind w:left="720" w:hanging="360"/>
      </w:pPr>
      <w:rPr>
        <w:rFonts w:ascii="Symbol" w:hAnsi="Symbol" w:hint="default"/>
        <w:b/>
        <w:i w:val="0"/>
        <w:color w:val="auto"/>
        <w:sz w:val="24"/>
        <w:szCs w:val="22"/>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107E5D"/>
    <w:multiLevelType w:val="hybridMultilevel"/>
    <w:tmpl w:val="3836CA98"/>
    <w:lvl w:ilvl="0" w:tplc="EFA40FB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11BAB"/>
    <w:multiLevelType w:val="hybridMultilevel"/>
    <w:tmpl w:val="675CB9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C93D19"/>
    <w:multiLevelType w:val="hybridMultilevel"/>
    <w:tmpl w:val="3CFE6F4E"/>
    <w:lvl w:ilvl="0" w:tplc="04090001">
      <w:start w:val="1"/>
      <w:numFmt w:val="bullet"/>
      <w:lvlText w:val=""/>
      <w:lvlJc w:val="left"/>
      <w:pPr>
        <w:ind w:left="720" w:hanging="360"/>
      </w:pPr>
      <w:rPr>
        <w:rFonts w:ascii="Symbol" w:hAnsi="Symbol" w:hint="default"/>
        <w:b/>
        <w:i w:val="0"/>
        <w:color w:val="auto"/>
        <w:sz w:val="24"/>
        <w:szCs w:val="22"/>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3E6E3C"/>
    <w:multiLevelType w:val="hybridMultilevel"/>
    <w:tmpl w:val="6394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00744B"/>
    <w:multiLevelType w:val="hybridMultilevel"/>
    <w:tmpl w:val="5308B112"/>
    <w:lvl w:ilvl="0" w:tplc="04090001">
      <w:start w:val="1"/>
      <w:numFmt w:val="bullet"/>
      <w:lvlText w:val=""/>
      <w:lvlJc w:val="left"/>
      <w:pPr>
        <w:ind w:left="720" w:hanging="360"/>
      </w:pPr>
      <w:rPr>
        <w:rFonts w:ascii="Symbol" w:hAnsi="Symbol" w:hint="default"/>
        <w:b/>
        <w:i w:val="0"/>
        <w:color w:val="auto"/>
        <w:sz w:val="24"/>
        <w:szCs w:val="22"/>
      </w:rPr>
    </w:lvl>
    <w:lvl w:ilvl="1" w:tplc="C7F0DDEC">
      <w:start w:val="1"/>
      <w:numFmt w:val="bullet"/>
      <w:lvlText w:val=""/>
      <w:lvlJc w:val="left"/>
      <w:pPr>
        <w:ind w:left="117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1F2B7F"/>
    <w:multiLevelType w:val="hybridMultilevel"/>
    <w:tmpl w:val="37901638"/>
    <w:lvl w:ilvl="0" w:tplc="0A188198">
      <w:start w:val="1"/>
      <w:numFmt w:val="bullet"/>
      <w:pStyle w:val="Bullet-Blank"/>
      <w:lvlText w:val=""/>
      <w:lvlJc w:val="left"/>
      <w:pPr>
        <w:ind w:left="720" w:hanging="360"/>
      </w:pPr>
      <w:rPr>
        <w:rFonts w:ascii="Symbol" w:hAnsi="Symbol" w:hint="default"/>
      </w:rPr>
    </w:lvl>
    <w:lvl w:ilvl="1" w:tplc="C7F0DDEC">
      <w:start w:val="1"/>
      <w:numFmt w:val="bullet"/>
      <w:pStyle w:val="Bullet-Blank-2"/>
      <w:lvlText w:val=""/>
      <w:lvlJc w:val="left"/>
      <w:pPr>
        <w:ind w:left="117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27758C"/>
    <w:multiLevelType w:val="hybridMultilevel"/>
    <w:tmpl w:val="128609EC"/>
    <w:lvl w:ilvl="0" w:tplc="04090001">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5346D9"/>
    <w:multiLevelType w:val="hybridMultilevel"/>
    <w:tmpl w:val="485695C4"/>
    <w:lvl w:ilvl="0" w:tplc="50AC4AD0">
      <w:start w:val="1"/>
      <w:numFmt w:val="bullet"/>
      <w:pStyle w:val="TableBullet1"/>
      <w:lvlText w:val=""/>
      <w:lvlJc w:val="left"/>
      <w:pPr>
        <w:ind w:left="810" w:hanging="360"/>
      </w:pPr>
      <w:rPr>
        <w:rFonts w:ascii="Symbol" w:hAnsi="Symbol" w:hint="default"/>
        <w:sz w:val="22"/>
        <w:szCs w:val="22"/>
      </w:rPr>
    </w:lvl>
    <w:lvl w:ilvl="1" w:tplc="E91EE904">
      <w:start w:val="623"/>
      <w:numFmt w:val="bullet"/>
      <w:pStyle w:val="TableBullet3"/>
      <w:lvlText w:val="–"/>
      <w:lvlJc w:val="left"/>
      <w:pPr>
        <w:ind w:left="1512" w:hanging="360"/>
      </w:pPr>
      <w:rPr>
        <w:rFonts w:ascii="Arial" w:hAnsi="Arial"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nsid w:val="30E6294A"/>
    <w:multiLevelType w:val="hybridMultilevel"/>
    <w:tmpl w:val="7B306A4C"/>
    <w:lvl w:ilvl="0" w:tplc="04090001">
      <w:start w:val="1"/>
      <w:numFmt w:val="bullet"/>
      <w:lvlText w:val=""/>
      <w:lvlJc w:val="left"/>
      <w:pPr>
        <w:ind w:left="1015" w:hanging="360"/>
      </w:pPr>
      <w:rPr>
        <w:rFonts w:ascii="Symbol" w:hAnsi="Symbol" w:hint="default"/>
        <w:b/>
        <w:i w:val="0"/>
        <w:color w:val="auto"/>
        <w:sz w:val="24"/>
        <w:szCs w:val="22"/>
      </w:rPr>
    </w:lvl>
    <w:lvl w:ilvl="1" w:tplc="C7F0DDEC">
      <w:start w:val="1"/>
      <w:numFmt w:val="bullet"/>
      <w:lvlText w:val=""/>
      <w:lvlJc w:val="left"/>
      <w:pPr>
        <w:ind w:left="1465" w:hanging="360"/>
      </w:pPr>
      <w:rPr>
        <w:rFonts w:ascii="Wingdings" w:hAnsi="Wingdings" w:hint="default"/>
      </w:rPr>
    </w:lvl>
    <w:lvl w:ilvl="2" w:tplc="04090005">
      <w:start w:val="1"/>
      <w:numFmt w:val="bullet"/>
      <w:lvlText w:val=""/>
      <w:lvlJc w:val="left"/>
      <w:pPr>
        <w:ind w:left="2455" w:hanging="360"/>
      </w:pPr>
      <w:rPr>
        <w:rFonts w:ascii="Wingdings" w:hAnsi="Wingdings" w:hint="default"/>
      </w:rPr>
    </w:lvl>
    <w:lvl w:ilvl="3" w:tplc="04090001" w:tentative="1">
      <w:start w:val="1"/>
      <w:numFmt w:val="bullet"/>
      <w:lvlText w:val=""/>
      <w:lvlJc w:val="left"/>
      <w:pPr>
        <w:ind w:left="3175" w:hanging="360"/>
      </w:pPr>
      <w:rPr>
        <w:rFonts w:ascii="Symbol" w:hAnsi="Symbol" w:hint="default"/>
      </w:rPr>
    </w:lvl>
    <w:lvl w:ilvl="4" w:tplc="04090003" w:tentative="1">
      <w:start w:val="1"/>
      <w:numFmt w:val="bullet"/>
      <w:lvlText w:val="o"/>
      <w:lvlJc w:val="left"/>
      <w:pPr>
        <w:ind w:left="3895" w:hanging="360"/>
      </w:pPr>
      <w:rPr>
        <w:rFonts w:ascii="Courier New" w:hAnsi="Courier New" w:cs="Courier New" w:hint="default"/>
      </w:rPr>
    </w:lvl>
    <w:lvl w:ilvl="5" w:tplc="04090005" w:tentative="1">
      <w:start w:val="1"/>
      <w:numFmt w:val="bullet"/>
      <w:lvlText w:val=""/>
      <w:lvlJc w:val="left"/>
      <w:pPr>
        <w:ind w:left="4615" w:hanging="360"/>
      </w:pPr>
      <w:rPr>
        <w:rFonts w:ascii="Wingdings" w:hAnsi="Wingdings" w:hint="default"/>
      </w:rPr>
    </w:lvl>
    <w:lvl w:ilvl="6" w:tplc="04090001" w:tentative="1">
      <w:start w:val="1"/>
      <w:numFmt w:val="bullet"/>
      <w:lvlText w:val=""/>
      <w:lvlJc w:val="left"/>
      <w:pPr>
        <w:ind w:left="5335" w:hanging="360"/>
      </w:pPr>
      <w:rPr>
        <w:rFonts w:ascii="Symbol" w:hAnsi="Symbol" w:hint="default"/>
      </w:rPr>
    </w:lvl>
    <w:lvl w:ilvl="7" w:tplc="04090003" w:tentative="1">
      <w:start w:val="1"/>
      <w:numFmt w:val="bullet"/>
      <w:lvlText w:val="o"/>
      <w:lvlJc w:val="left"/>
      <w:pPr>
        <w:ind w:left="6055" w:hanging="360"/>
      </w:pPr>
      <w:rPr>
        <w:rFonts w:ascii="Courier New" w:hAnsi="Courier New" w:cs="Courier New" w:hint="default"/>
      </w:rPr>
    </w:lvl>
    <w:lvl w:ilvl="8" w:tplc="04090005" w:tentative="1">
      <w:start w:val="1"/>
      <w:numFmt w:val="bullet"/>
      <w:lvlText w:val=""/>
      <w:lvlJc w:val="left"/>
      <w:pPr>
        <w:ind w:left="6775" w:hanging="360"/>
      </w:pPr>
      <w:rPr>
        <w:rFonts w:ascii="Wingdings" w:hAnsi="Wingdings" w:hint="default"/>
      </w:rPr>
    </w:lvl>
  </w:abstractNum>
  <w:abstractNum w:abstractNumId="11">
    <w:nsid w:val="3D616BE4"/>
    <w:multiLevelType w:val="hybridMultilevel"/>
    <w:tmpl w:val="6CCC55F6"/>
    <w:lvl w:ilvl="0" w:tplc="3A24D20A">
      <w:start w:val="1"/>
      <w:numFmt w:val="bullet"/>
      <w:pStyle w:val="TableBullet1a-Indentundertext"/>
      <w:lvlText w:val=""/>
      <w:lvlJc w:val="left"/>
      <w:pPr>
        <w:ind w:left="720" w:hanging="360"/>
      </w:pPr>
      <w:rPr>
        <w:rFonts w:ascii="Symbol" w:hAnsi="Symbol" w:hint="default"/>
        <w:b/>
        <w:i w:val="0"/>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996BA5"/>
    <w:multiLevelType w:val="hybridMultilevel"/>
    <w:tmpl w:val="E7FE7E70"/>
    <w:lvl w:ilvl="0" w:tplc="04090001">
      <w:start w:val="1"/>
      <w:numFmt w:val="bullet"/>
      <w:lvlText w:val=""/>
      <w:lvlJc w:val="left"/>
      <w:pPr>
        <w:ind w:left="720" w:hanging="360"/>
      </w:pPr>
      <w:rPr>
        <w:rFonts w:ascii="Symbol" w:hAnsi="Symbol" w:hint="default"/>
        <w:b/>
        <w:i w:val="0"/>
        <w:color w:val="auto"/>
        <w:sz w:val="24"/>
        <w:szCs w:val="22"/>
      </w:rPr>
    </w:lvl>
    <w:lvl w:ilvl="1" w:tplc="C7F0DDEC">
      <w:start w:val="1"/>
      <w:numFmt w:val="bullet"/>
      <w:lvlText w:val=""/>
      <w:lvlJc w:val="left"/>
      <w:pPr>
        <w:ind w:left="117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DA1D81"/>
    <w:multiLevelType w:val="hybridMultilevel"/>
    <w:tmpl w:val="EBFCD164"/>
    <w:lvl w:ilvl="0" w:tplc="0A188198">
      <w:start w:val="1"/>
      <w:numFmt w:val="bullet"/>
      <w:lvlText w:val=""/>
      <w:lvlJc w:val="left"/>
      <w:pPr>
        <w:ind w:left="720" w:hanging="360"/>
      </w:pPr>
      <w:rPr>
        <w:rFonts w:ascii="Symbol" w:hAnsi="Symbol" w:hint="default"/>
      </w:rPr>
    </w:lvl>
    <w:lvl w:ilvl="1" w:tplc="9DC62598">
      <w:start w:val="1"/>
      <w:numFmt w:val="bullet"/>
      <w:lvlText w:val=""/>
      <w:lvlJc w:val="left"/>
      <w:pPr>
        <w:ind w:left="360" w:hanging="360"/>
      </w:pPr>
      <w:rPr>
        <w:rFonts w:ascii="Symbol" w:hAnsi="Symbol" w:hint="default"/>
        <w:sz w:val="24"/>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D065CC"/>
    <w:multiLevelType w:val="hybridMultilevel"/>
    <w:tmpl w:val="12325480"/>
    <w:lvl w:ilvl="0" w:tplc="2792565E">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4DC4B28"/>
    <w:multiLevelType w:val="hybridMultilevel"/>
    <w:tmpl w:val="E2D8089E"/>
    <w:lvl w:ilvl="0" w:tplc="0A188198">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193192"/>
    <w:multiLevelType w:val="multilevel"/>
    <w:tmpl w:val="BBF2A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69F11386"/>
    <w:multiLevelType w:val="hybridMultilevel"/>
    <w:tmpl w:val="12E41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7B5C3C"/>
    <w:multiLevelType w:val="hybridMultilevel"/>
    <w:tmpl w:val="83084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0734EC"/>
    <w:multiLevelType w:val="hybridMultilevel"/>
    <w:tmpl w:val="1A5C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540453"/>
    <w:multiLevelType w:val="hybridMultilevel"/>
    <w:tmpl w:val="971C7F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FF0B50"/>
    <w:multiLevelType w:val="hybridMultilevel"/>
    <w:tmpl w:val="C6A8D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782237"/>
    <w:multiLevelType w:val="hybridMultilevel"/>
    <w:tmpl w:val="245424F2"/>
    <w:lvl w:ilvl="0" w:tplc="B7420888">
      <w:start w:val="1"/>
      <w:numFmt w:val="bullet"/>
      <w:pStyle w:val="TableBullet2"/>
      <w:lvlText w:val="o"/>
      <w:lvlJc w:val="left"/>
      <w:pPr>
        <w:ind w:left="792" w:hanging="360"/>
      </w:pPr>
      <w:rPr>
        <w:rFonts w:ascii="Courier New" w:hAnsi="Courier New" w:cs="Courier New" w:hint="default"/>
      </w:rPr>
    </w:lvl>
    <w:lvl w:ilvl="1" w:tplc="04090003">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0"/>
  </w:num>
  <w:num w:numId="2">
    <w:abstractNumId w:val="7"/>
  </w:num>
  <w:num w:numId="3">
    <w:abstractNumId w:val="17"/>
  </w:num>
  <w:num w:numId="4">
    <w:abstractNumId w:val="4"/>
  </w:num>
  <w:num w:numId="5">
    <w:abstractNumId w:val="8"/>
  </w:num>
  <w:num w:numId="6">
    <w:abstractNumId w:val="9"/>
  </w:num>
  <w:num w:numId="7">
    <w:abstractNumId w:val="22"/>
  </w:num>
  <w:num w:numId="8">
    <w:abstractNumId w:val="10"/>
  </w:num>
  <w:num w:numId="9">
    <w:abstractNumId w:val="6"/>
  </w:num>
  <w:num w:numId="10">
    <w:abstractNumId w:val="12"/>
  </w:num>
  <w:num w:numId="11">
    <w:abstractNumId w:val="14"/>
  </w:num>
  <w:num w:numId="12">
    <w:abstractNumId w:val="13"/>
  </w:num>
  <w:num w:numId="13">
    <w:abstractNumId w:val="15"/>
  </w:num>
  <w:num w:numId="14">
    <w:abstractNumId w:val="3"/>
  </w:num>
  <w:num w:numId="15">
    <w:abstractNumId w:val="19"/>
  </w:num>
  <w:num w:numId="16">
    <w:abstractNumId w:val="11"/>
  </w:num>
  <w:num w:numId="17">
    <w:abstractNumId w:val="5"/>
  </w:num>
  <w:num w:numId="18">
    <w:abstractNumId w:val="21"/>
  </w:num>
  <w:num w:numId="19">
    <w:abstractNumId w:val="1"/>
  </w:num>
  <w:num w:numId="20">
    <w:abstractNumId w:val="20"/>
  </w:num>
  <w:num w:numId="21">
    <w:abstractNumId w:val="18"/>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1"/>
  </w:num>
  <w:num w:numId="34">
    <w:abstractNumId w:val="22"/>
  </w:num>
  <w:num w:numId="35">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79"/>
    <w:rsid w:val="00013EC3"/>
    <w:rsid w:val="00036891"/>
    <w:rsid w:val="000648C1"/>
    <w:rsid w:val="000B3662"/>
    <w:rsid w:val="00136E75"/>
    <w:rsid w:val="001573D0"/>
    <w:rsid w:val="0017323C"/>
    <w:rsid w:val="001748A1"/>
    <w:rsid w:val="00184553"/>
    <w:rsid w:val="00194576"/>
    <w:rsid w:val="00194A13"/>
    <w:rsid w:val="001B0AF1"/>
    <w:rsid w:val="001B2202"/>
    <w:rsid w:val="00226680"/>
    <w:rsid w:val="00233D1D"/>
    <w:rsid w:val="00234066"/>
    <w:rsid w:val="00244854"/>
    <w:rsid w:val="00250EC1"/>
    <w:rsid w:val="00275C6E"/>
    <w:rsid w:val="0029213A"/>
    <w:rsid w:val="002B6424"/>
    <w:rsid w:val="002C5884"/>
    <w:rsid w:val="00324EE8"/>
    <w:rsid w:val="00392CF0"/>
    <w:rsid w:val="003A23B7"/>
    <w:rsid w:val="003B53F1"/>
    <w:rsid w:val="003D7B5B"/>
    <w:rsid w:val="00446D81"/>
    <w:rsid w:val="004625A7"/>
    <w:rsid w:val="00467187"/>
    <w:rsid w:val="00491BD3"/>
    <w:rsid w:val="005101ED"/>
    <w:rsid w:val="00516668"/>
    <w:rsid w:val="005172DA"/>
    <w:rsid w:val="005A0150"/>
    <w:rsid w:val="005F72F7"/>
    <w:rsid w:val="00654EBE"/>
    <w:rsid w:val="00684C9C"/>
    <w:rsid w:val="006C2A05"/>
    <w:rsid w:val="006C75EE"/>
    <w:rsid w:val="007070DB"/>
    <w:rsid w:val="00716A4A"/>
    <w:rsid w:val="00751190"/>
    <w:rsid w:val="00757412"/>
    <w:rsid w:val="007964AA"/>
    <w:rsid w:val="007A46FA"/>
    <w:rsid w:val="007B1B3A"/>
    <w:rsid w:val="008137A8"/>
    <w:rsid w:val="00815F50"/>
    <w:rsid w:val="008206F0"/>
    <w:rsid w:val="00861D7D"/>
    <w:rsid w:val="00866102"/>
    <w:rsid w:val="00892340"/>
    <w:rsid w:val="008C455F"/>
    <w:rsid w:val="008D5D4E"/>
    <w:rsid w:val="008E07AA"/>
    <w:rsid w:val="008E0C26"/>
    <w:rsid w:val="00917EA4"/>
    <w:rsid w:val="00946F9C"/>
    <w:rsid w:val="0095035C"/>
    <w:rsid w:val="00977F08"/>
    <w:rsid w:val="00981D3F"/>
    <w:rsid w:val="00985C92"/>
    <w:rsid w:val="00997245"/>
    <w:rsid w:val="009B512C"/>
    <w:rsid w:val="009B6A4F"/>
    <w:rsid w:val="009D0579"/>
    <w:rsid w:val="009F76D4"/>
    <w:rsid w:val="00A20E60"/>
    <w:rsid w:val="00A4601D"/>
    <w:rsid w:val="00AD04A0"/>
    <w:rsid w:val="00B3758C"/>
    <w:rsid w:val="00B62E27"/>
    <w:rsid w:val="00B935CD"/>
    <w:rsid w:val="00B94ED3"/>
    <w:rsid w:val="00B95092"/>
    <w:rsid w:val="00B95ED7"/>
    <w:rsid w:val="00B97911"/>
    <w:rsid w:val="00BA7232"/>
    <w:rsid w:val="00BD387E"/>
    <w:rsid w:val="00BD38C0"/>
    <w:rsid w:val="00BE256C"/>
    <w:rsid w:val="00C15209"/>
    <w:rsid w:val="00CC54CE"/>
    <w:rsid w:val="00D02467"/>
    <w:rsid w:val="00D10ECE"/>
    <w:rsid w:val="00D11FF1"/>
    <w:rsid w:val="00D34F1A"/>
    <w:rsid w:val="00D528CD"/>
    <w:rsid w:val="00D77381"/>
    <w:rsid w:val="00D84F94"/>
    <w:rsid w:val="00D92B21"/>
    <w:rsid w:val="00DC4623"/>
    <w:rsid w:val="00DE7B40"/>
    <w:rsid w:val="00E11062"/>
    <w:rsid w:val="00E33232"/>
    <w:rsid w:val="00E7687F"/>
    <w:rsid w:val="00EA6D3D"/>
    <w:rsid w:val="00EA6EF5"/>
    <w:rsid w:val="00ED7818"/>
    <w:rsid w:val="00EE261B"/>
    <w:rsid w:val="00F01C45"/>
    <w:rsid w:val="00F0309A"/>
    <w:rsid w:val="00F23F3F"/>
    <w:rsid w:val="00F46EFC"/>
    <w:rsid w:val="00F50C29"/>
    <w:rsid w:val="00F517B1"/>
    <w:rsid w:val="00F63D15"/>
    <w:rsid w:val="00FD6F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0AD2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50"/>
    <w:pPr>
      <w:spacing w:line="240" w:lineRule="auto"/>
    </w:pPr>
    <w:rPr>
      <w:rFonts w:ascii="Arial" w:hAnsi="Arial"/>
      <w:sz w:val="24"/>
    </w:rPr>
  </w:style>
  <w:style w:type="paragraph" w:styleId="Heading1">
    <w:name w:val="heading 1"/>
    <w:basedOn w:val="BodyText"/>
    <w:next w:val="Normal"/>
    <w:link w:val="Heading1Char"/>
    <w:uiPriority w:val="9"/>
    <w:qFormat/>
    <w:rsid w:val="009F76D4"/>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579"/>
    <w:pPr>
      <w:tabs>
        <w:tab w:val="center" w:pos="4680"/>
        <w:tab w:val="right" w:pos="9360"/>
      </w:tabs>
      <w:spacing w:after="0"/>
    </w:pPr>
  </w:style>
  <w:style w:type="character" w:customStyle="1" w:styleId="HeaderChar">
    <w:name w:val="Header Char"/>
    <w:basedOn w:val="DefaultParagraphFont"/>
    <w:link w:val="Header"/>
    <w:uiPriority w:val="99"/>
    <w:rsid w:val="009D0579"/>
  </w:style>
  <w:style w:type="paragraph" w:styleId="Footer">
    <w:name w:val="footer"/>
    <w:basedOn w:val="Normal"/>
    <w:link w:val="FooterChar"/>
    <w:uiPriority w:val="99"/>
    <w:unhideWhenUsed/>
    <w:rsid w:val="009D0579"/>
    <w:pPr>
      <w:tabs>
        <w:tab w:val="center" w:pos="4680"/>
        <w:tab w:val="right" w:pos="9360"/>
      </w:tabs>
      <w:spacing w:after="0"/>
    </w:pPr>
  </w:style>
  <w:style w:type="character" w:customStyle="1" w:styleId="FooterChar">
    <w:name w:val="Footer Char"/>
    <w:basedOn w:val="DefaultParagraphFont"/>
    <w:link w:val="Footer"/>
    <w:uiPriority w:val="99"/>
    <w:rsid w:val="009D0579"/>
  </w:style>
  <w:style w:type="paragraph" w:styleId="BalloonText">
    <w:name w:val="Balloon Text"/>
    <w:basedOn w:val="Normal"/>
    <w:link w:val="BalloonTextChar"/>
    <w:uiPriority w:val="99"/>
    <w:semiHidden/>
    <w:unhideWhenUsed/>
    <w:rsid w:val="009D057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579"/>
    <w:rPr>
      <w:rFonts w:ascii="Tahoma" w:hAnsi="Tahoma" w:cs="Tahoma"/>
      <w:sz w:val="16"/>
      <w:szCs w:val="16"/>
    </w:rPr>
  </w:style>
  <w:style w:type="character" w:customStyle="1" w:styleId="Heading1Char">
    <w:name w:val="Heading 1 Char"/>
    <w:basedOn w:val="DefaultParagraphFont"/>
    <w:link w:val="Heading1"/>
    <w:uiPriority w:val="9"/>
    <w:rsid w:val="009F76D4"/>
    <w:rPr>
      <w:rFonts w:ascii="Arial" w:eastAsiaTheme="minorEastAsia" w:hAnsi="Arial" w:cs="Times New Roman"/>
      <w:b/>
      <w:sz w:val="24"/>
      <w:lang w:bidi="en-US"/>
    </w:rPr>
  </w:style>
  <w:style w:type="paragraph" w:styleId="Title">
    <w:name w:val="Title"/>
    <w:basedOn w:val="Normal"/>
    <w:next w:val="Normal"/>
    <w:link w:val="TitleChar"/>
    <w:uiPriority w:val="10"/>
    <w:qFormat/>
    <w:rsid w:val="00BD387E"/>
    <w:pPr>
      <w:spacing w:before="600"/>
      <w:contextualSpacing/>
      <w:jc w:val="center"/>
    </w:pPr>
    <w:rPr>
      <w:rFonts w:eastAsia="Times New Roman" w:cs="Times New Roman"/>
      <w:b/>
      <w:spacing w:val="5"/>
      <w:szCs w:val="52"/>
    </w:rPr>
  </w:style>
  <w:style w:type="character" w:customStyle="1" w:styleId="TitleChar">
    <w:name w:val="Title Char"/>
    <w:basedOn w:val="DefaultParagraphFont"/>
    <w:link w:val="Title"/>
    <w:uiPriority w:val="10"/>
    <w:rsid w:val="00BD387E"/>
    <w:rPr>
      <w:rFonts w:ascii="Arial" w:eastAsia="Times New Roman" w:hAnsi="Arial" w:cs="Times New Roman"/>
      <w:b/>
      <w:spacing w:val="5"/>
      <w:sz w:val="24"/>
      <w:szCs w:val="52"/>
    </w:rPr>
  </w:style>
  <w:style w:type="paragraph" w:styleId="BodyText">
    <w:name w:val="Body Text"/>
    <w:basedOn w:val="Normal"/>
    <w:link w:val="BodyTextChar"/>
    <w:uiPriority w:val="99"/>
    <w:unhideWhenUsed/>
    <w:rsid w:val="00BD387E"/>
    <w:pPr>
      <w:spacing w:after="240"/>
    </w:pPr>
    <w:rPr>
      <w:rFonts w:eastAsiaTheme="minorEastAsia" w:cs="Times New Roman"/>
      <w:lang w:bidi="en-US"/>
    </w:rPr>
  </w:style>
  <w:style w:type="character" w:customStyle="1" w:styleId="BodyTextChar">
    <w:name w:val="Body Text Char"/>
    <w:basedOn w:val="DefaultParagraphFont"/>
    <w:link w:val="BodyText"/>
    <w:uiPriority w:val="99"/>
    <w:rsid w:val="00BD387E"/>
    <w:rPr>
      <w:rFonts w:ascii="Arial" w:eastAsiaTheme="minorEastAsia" w:hAnsi="Arial" w:cs="Times New Roman"/>
      <w:sz w:val="24"/>
      <w:lang w:bidi="en-US"/>
    </w:rPr>
  </w:style>
  <w:style w:type="paragraph" w:styleId="ListBullet">
    <w:name w:val="List Bullet"/>
    <w:basedOn w:val="Normal"/>
    <w:uiPriority w:val="99"/>
    <w:unhideWhenUsed/>
    <w:rsid w:val="00BD387E"/>
    <w:pPr>
      <w:numPr>
        <w:numId w:val="1"/>
      </w:numPr>
      <w:spacing w:after="240"/>
      <w:ind w:left="720"/>
    </w:pPr>
    <w:rPr>
      <w:rFonts w:eastAsiaTheme="minorEastAsia" w:cs="Times New Roman"/>
      <w:lang w:bidi="en-US"/>
    </w:rPr>
  </w:style>
  <w:style w:type="character" w:styleId="Hyperlink">
    <w:name w:val="Hyperlink"/>
    <w:uiPriority w:val="99"/>
    <w:unhideWhenUsed/>
    <w:rsid w:val="00BD387E"/>
    <w:rPr>
      <w:color w:val="0000FF"/>
      <w:u w:val="single"/>
    </w:rPr>
  </w:style>
  <w:style w:type="paragraph" w:styleId="CommentText">
    <w:name w:val="annotation text"/>
    <w:basedOn w:val="Normal"/>
    <w:link w:val="CommentTextChar"/>
    <w:uiPriority w:val="99"/>
    <w:unhideWhenUsed/>
    <w:rsid w:val="00BD387E"/>
    <w:rPr>
      <w:rFonts w:eastAsiaTheme="minorEastAsia" w:cs="Times New Roman"/>
      <w:sz w:val="20"/>
      <w:szCs w:val="20"/>
      <w:lang w:bidi="en-US"/>
    </w:rPr>
  </w:style>
  <w:style w:type="character" w:customStyle="1" w:styleId="CommentTextChar">
    <w:name w:val="Comment Text Char"/>
    <w:basedOn w:val="DefaultParagraphFont"/>
    <w:link w:val="CommentText"/>
    <w:uiPriority w:val="99"/>
    <w:rsid w:val="00BD387E"/>
    <w:rPr>
      <w:rFonts w:ascii="Arial" w:eastAsiaTheme="minorEastAsia" w:hAnsi="Arial" w:cs="Times New Roman"/>
      <w:sz w:val="20"/>
      <w:szCs w:val="20"/>
      <w:lang w:bidi="en-US"/>
    </w:rPr>
  </w:style>
  <w:style w:type="paragraph" w:customStyle="1" w:styleId="FormText">
    <w:name w:val="FormText"/>
    <w:basedOn w:val="Normal"/>
    <w:qFormat/>
    <w:rsid w:val="00BD387E"/>
    <w:pPr>
      <w:spacing w:before="60" w:after="60"/>
      <w:ind w:left="360" w:hanging="360"/>
    </w:pPr>
    <w:rPr>
      <w:rFonts w:eastAsiaTheme="minorEastAsia" w:cs="Arial"/>
      <w:b/>
      <w:bCs/>
      <w:color w:val="000000"/>
      <w:sz w:val="22"/>
    </w:rPr>
  </w:style>
  <w:style w:type="paragraph" w:styleId="ListParagraph">
    <w:name w:val="List Paragraph"/>
    <w:basedOn w:val="Normal"/>
    <w:link w:val="ListParagraphChar"/>
    <w:uiPriority w:val="34"/>
    <w:qFormat/>
    <w:rsid w:val="00BD387E"/>
    <w:pPr>
      <w:ind w:left="720"/>
      <w:contextualSpacing/>
    </w:pPr>
    <w:rPr>
      <w:rFonts w:eastAsiaTheme="minorEastAsia" w:cs="Times New Roman"/>
      <w:lang w:bidi="en-US"/>
    </w:rPr>
  </w:style>
  <w:style w:type="paragraph" w:customStyle="1" w:styleId="Bullet-Blank">
    <w:name w:val="Bullet-Blank"/>
    <w:basedOn w:val="Normal"/>
    <w:qFormat/>
    <w:rsid w:val="00BD387E"/>
    <w:pPr>
      <w:numPr>
        <w:numId w:val="2"/>
      </w:numPr>
      <w:spacing w:before="60" w:after="60"/>
    </w:pPr>
    <w:rPr>
      <w:rFonts w:eastAsia="Times New Roman" w:cs="Arial"/>
      <w:sz w:val="22"/>
    </w:rPr>
  </w:style>
  <w:style w:type="paragraph" w:customStyle="1" w:styleId="Bullet-Blank-2">
    <w:name w:val="Bullet-Blank-2"/>
    <w:basedOn w:val="Normal"/>
    <w:qFormat/>
    <w:rsid w:val="00BD387E"/>
    <w:pPr>
      <w:numPr>
        <w:ilvl w:val="1"/>
        <w:numId w:val="2"/>
      </w:numPr>
      <w:spacing w:before="60" w:after="60"/>
    </w:pPr>
    <w:rPr>
      <w:rFonts w:eastAsiaTheme="minorEastAsia" w:cs="Arial"/>
      <w:sz w:val="22"/>
      <w:lang w:bidi="en-US"/>
    </w:rPr>
  </w:style>
  <w:style w:type="table" w:styleId="TableGrid">
    <w:name w:val="Table Grid"/>
    <w:basedOn w:val="TableNormal"/>
    <w:uiPriority w:val="59"/>
    <w:rsid w:val="00BD387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C455F"/>
    <w:rPr>
      <w:i/>
      <w:iCs/>
    </w:rPr>
  </w:style>
  <w:style w:type="paragraph" w:customStyle="1" w:styleId="TableBullet1">
    <w:name w:val="Table Bullet 1"/>
    <w:basedOn w:val="ListParagraph"/>
    <w:qFormat/>
    <w:rsid w:val="00815F50"/>
    <w:pPr>
      <w:numPr>
        <w:numId w:val="6"/>
      </w:numPr>
      <w:spacing w:after="0"/>
      <w:ind w:left="360"/>
    </w:pPr>
    <w:rPr>
      <w:szCs w:val="24"/>
    </w:rPr>
  </w:style>
  <w:style w:type="paragraph" w:customStyle="1" w:styleId="TableBullet2">
    <w:name w:val="Table Bullet 2"/>
    <w:basedOn w:val="ListParagraph"/>
    <w:qFormat/>
    <w:rsid w:val="00815F50"/>
    <w:pPr>
      <w:numPr>
        <w:numId w:val="7"/>
      </w:numPr>
      <w:spacing w:after="0"/>
    </w:pPr>
    <w:rPr>
      <w:szCs w:val="24"/>
    </w:rPr>
  </w:style>
  <w:style w:type="paragraph" w:customStyle="1" w:styleId="TableBullet3">
    <w:name w:val="Table Bullet 3"/>
    <w:basedOn w:val="ListParagraph"/>
    <w:qFormat/>
    <w:rsid w:val="00815F50"/>
    <w:pPr>
      <w:numPr>
        <w:ilvl w:val="1"/>
        <w:numId w:val="6"/>
      </w:numPr>
      <w:spacing w:after="0"/>
    </w:pPr>
    <w:rPr>
      <w:szCs w:val="24"/>
    </w:rPr>
  </w:style>
  <w:style w:type="paragraph" w:customStyle="1" w:styleId="TableBullet1a-Indentundertext">
    <w:name w:val="Table Bullet 1a-Indent under text"/>
    <w:qFormat/>
    <w:rsid w:val="00B935CD"/>
    <w:pPr>
      <w:numPr>
        <w:numId w:val="16"/>
      </w:numPr>
      <w:spacing w:after="0" w:line="240" w:lineRule="auto"/>
    </w:pPr>
    <w:rPr>
      <w:rFonts w:ascii="Arial" w:eastAsiaTheme="minorEastAsia" w:hAnsi="Arial" w:cs="Times New Roman"/>
      <w:sz w:val="24"/>
      <w:szCs w:val="24"/>
      <w:lang w:bidi="en-US"/>
    </w:rPr>
  </w:style>
  <w:style w:type="character" w:styleId="CommentReference">
    <w:name w:val="annotation reference"/>
    <w:basedOn w:val="DefaultParagraphFont"/>
    <w:uiPriority w:val="99"/>
    <w:semiHidden/>
    <w:unhideWhenUsed/>
    <w:rsid w:val="00D528CD"/>
    <w:rPr>
      <w:sz w:val="18"/>
      <w:szCs w:val="18"/>
    </w:rPr>
  </w:style>
  <w:style w:type="paragraph" w:styleId="CommentSubject">
    <w:name w:val="annotation subject"/>
    <w:basedOn w:val="CommentText"/>
    <w:next w:val="CommentText"/>
    <w:link w:val="CommentSubjectChar"/>
    <w:uiPriority w:val="99"/>
    <w:semiHidden/>
    <w:unhideWhenUsed/>
    <w:rsid w:val="00D528CD"/>
    <w:rPr>
      <w:rFonts w:eastAsiaTheme="minorHAnsi" w:cstheme="minorBidi"/>
      <w:b/>
      <w:bCs/>
      <w:lang w:bidi="ar-SA"/>
    </w:rPr>
  </w:style>
  <w:style w:type="character" w:customStyle="1" w:styleId="CommentSubjectChar">
    <w:name w:val="Comment Subject Char"/>
    <w:basedOn w:val="CommentTextChar"/>
    <w:link w:val="CommentSubject"/>
    <w:uiPriority w:val="99"/>
    <w:semiHidden/>
    <w:rsid w:val="00D528CD"/>
    <w:rPr>
      <w:rFonts w:ascii="Arial" w:eastAsiaTheme="minorEastAsia" w:hAnsi="Arial" w:cs="Times New Roman"/>
      <w:b/>
      <w:bCs/>
      <w:sz w:val="20"/>
      <w:szCs w:val="20"/>
      <w:lang w:bidi="en-US"/>
    </w:rPr>
  </w:style>
  <w:style w:type="character" w:styleId="FollowedHyperlink">
    <w:name w:val="FollowedHyperlink"/>
    <w:basedOn w:val="DefaultParagraphFont"/>
    <w:uiPriority w:val="99"/>
    <w:semiHidden/>
    <w:unhideWhenUsed/>
    <w:rsid w:val="00BE256C"/>
    <w:rPr>
      <w:color w:val="800080" w:themeColor="followedHyperlink"/>
      <w:u w:val="single"/>
    </w:rPr>
  </w:style>
  <w:style w:type="character" w:customStyle="1" w:styleId="ListParagraphChar">
    <w:name w:val="List Paragraph Char"/>
    <w:basedOn w:val="DefaultParagraphFont"/>
    <w:link w:val="ListParagraph"/>
    <w:uiPriority w:val="34"/>
    <w:rsid w:val="002B6424"/>
    <w:rPr>
      <w:rFonts w:ascii="Arial" w:eastAsiaTheme="minorEastAsia" w:hAnsi="Arial" w:cs="Times New Roman"/>
      <w:sz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50"/>
    <w:pPr>
      <w:spacing w:line="240" w:lineRule="auto"/>
    </w:pPr>
    <w:rPr>
      <w:rFonts w:ascii="Arial" w:hAnsi="Arial"/>
      <w:sz w:val="24"/>
    </w:rPr>
  </w:style>
  <w:style w:type="paragraph" w:styleId="Heading1">
    <w:name w:val="heading 1"/>
    <w:basedOn w:val="BodyText"/>
    <w:next w:val="Normal"/>
    <w:link w:val="Heading1Char"/>
    <w:uiPriority w:val="9"/>
    <w:qFormat/>
    <w:rsid w:val="009F76D4"/>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579"/>
    <w:pPr>
      <w:tabs>
        <w:tab w:val="center" w:pos="4680"/>
        <w:tab w:val="right" w:pos="9360"/>
      </w:tabs>
      <w:spacing w:after="0"/>
    </w:pPr>
  </w:style>
  <w:style w:type="character" w:customStyle="1" w:styleId="HeaderChar">
    <w:name w:val="Header Char"/>
    <w:basedOn w:val="DefaultParagraphFont"/>
    <w:link w:val="Header"/>
    <w:uiPriority w:val="99"/>
    <w:rsid w:val="009D0579"/>
  </w:style>
  <w:style w:type="paragraph" w:styleId="Footer">
    <w:name w:val="footer"/>
    <w:basedOn w:val="Normal"/>
    <w:link w:val="FooterChar"/>
    <w:uiPriority w:val="99"/>
    <w:unhideWhenUsed/>
    <w:rsid w:val="009D0579"/>
    <w:pPr>
      <w:tabs>
        <w:tab w:val="center" w:pos="4680"/>
        <w:tab w:val="right" w:pos="9360"/>
      </w:tabs>
      <w:spacing w:after="0"/>
    </w:pPr>
  </w:style>
  <w:style w:type="character" w:customStyle="1" w:styleId="FooterChar">
    <w:name w:val="Footer Char"/>
    <w:basedOn w:val="DefaultParagraphFont"/>
    <w:link w:val="Footer"/>
    <w:uiPriority w:val="99"/>
    <w:rsid w:val="009D0579"/>
  </w:style>
  <w:style w:type="paragraph" w:styleId="BalloonText">
    <w:name w:val="Balloon Text"/>
    <w:basedOn w:val="Normal"/>
    <w:link w:val="BalloonTextChar"/>
    <w:uiPriority w:val="99"/>
    <w:semiHidden/>
    <w:unhideWhenUsed/>
    <w:rsid w:val="009D057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579"/>
    <w:rPr>
      <w:rFonts w:ascii="Tahoma" w:hAnsi="Tahoma" w:cs="Tahoma"/>
      <w:sz w:val="16"/>
      <w:szCs w:val="16"/>
    </w:rPr>
  </w:style>
  <w:style w:type="character" w:customStyle="1" w:styleId="Heading1Char">
    <w:name w:val="Heading 1 Char"/>
    <w:basedOn w:val="DefaultParagraphFont"/>
    <w:link w:val="Heading1"/>
    <w:uiPriority w:val="9"/>
    <w:rsid w:val="009F76D4"/>
    <w:rPr>
      <w:rFonts w:ascii="Arial" w:eastAsiaTheme="minorEastAsia" w:hAnsi="Arial" w:cs="Times New Roman"/>
      <w:b/>
      <w:sz w:val="24"/>
      <w:lang w:bidi="en-US"/>
    </w:rPr>
  </w:style>
  <w:style w:type="paragraph" w:styleId="Title">
    <w:name w:val="Title"/>
    <w:basedOn w:val="Normal"/>
    <w:next w:val="Normal"/>
    <w:link w:val="TitleChar"/>
    <w:uiPriority w:val="10"/>
    <w:qFormat/>
    <w:rsid w:val="00BD387E"/>
    <w:pPr>
      <w:spacing w:before="600"/>
      <w:contextualSpacing/>
      <w:jc w:val="center"/>
    </w:pPr>
    <w:rPr>
      <w:rFonts w:eastAsia="Times New Roman" w:cs="Times New Roman"/>
      <w:b/>
      <w:spacing w:val="5"/>
      <w:szCs w:val="52"/>
    </w:rPr>
  </w:style>
  <w:style w:type="character" w:customStyle="1" w:styleId="TitleChar">
    <w:name w:val="Title Char"/>
    <w:basedOn w:val="DefaultParagraphFont"/>
    <w:link w:val="Title"/>
    <w:uiPriority w:val="10"/>
    <w:rsid w:val="00BD387E"/>
    <w:rPr>
      <w:rFonts w:ascii="Arial" w:eastAsia="Times New Roman" w:hAnsi="Arial" w:cs="Times New Roman"/>
      <w:b/>
      <w:spacing w:val="5"/>
      <w:sz w:val="24"/>
      <w:szCs w:val="52"/>
    </w:rPr>
  </w:style>
  <w:style w:type="paragraph" w:styleId="BodyText">
    <w:name w:val="Body Text"/>
    <w:basedOn w:val="Normal"/>
    <w:link w:val="BodyTextChar"/>
    <w:uiPriority w:val="99"/>
    <w:unhideWhenUsed/>
    <w:rsid w:val="00BD387E"/>
    <w:pPr>
      <w:spacing w:after="240"/>
    </w:pPr>
    <w:rPr>
      <w:rFonts w:eastAsiaTheme="minorEastAsia" w:cs="Times New Roman"/>
      <w:lang w:bidi="en-US"/>
    </w:rPr>
  </w:style>
  <w:style w:type="character" w:customStyle="1" w:styleId="BodyTextChar">
    <w:name w:val="Body Text Char"/>
    <w:basedOn w:val="DefaultParagraphFont"/>
    <w:link w:val="BodyText"/>
    <w:uiPriority w:val="99"/>
    <w:rsid w:val="00BD387E"/>
    <w:rPr>
      <w:rFonts w:ascii="Arial" w:eastAsiaTheme="minorEastAsia" w:hAnsi="Arial" w:cs="Times New Roman"/>
      <w:sz w:val="24"/>
      <w:lang w:bidi="en-US"/>
    </w:rPr>
  </w:style>
  <w:style w:type="paragraph" w:styleId="ListBullet">
    <w:name w:val="List Bullet"/>
    <w:basedOn w:val="Normal"/>
    <w:uiPriority w:val="99"/>
    <w:unhideWhenUsed/>
    <w:rsid w:val="00BD387E"/>
    <w:pPr>
      <w:numPr>
        <w:numId w:val="1"/>
      </w:numPr>
      <w:spacing w:after="240"/>
      <w:ind w:left="720"/>
    </w:pPr>
    <w:rPr>
      <w:rFonts w:eastAsiaTheme="minorEastAsia" w:cs="Times New Roman"/>
      <w:lang w:bidi="en-US"/>
    </w:rPr>
  </w:style>
  <w:style w:type="character" w:styleId="Hyperlink">
    <w:name w:val="Hyperlink"/>
    <w:uiPriority w:val="99"/>
    <w:unhideWhenUsed/>
    <w:rsid w:val="00BD387E"/>
    <w:rPr>
      <w:color w:val="0000FF"/>
      <w:u w:val="single"/>
    </w:rPr>
  </w:style>
  <w:style w:type="paragraph" w:styleId="CommentText">
    <w:name w:val="annotation text"/>
    <w:basedOn w:val="Normal"/>
    <w:link w:val="CommentTextChar"/>
    <w:uiPriority w:val="99"/>
    <w:unhideWhenUsed/>
    <w:rsid w:val="00BD387E"/>
    <w:rPr>
      <w:rFonts w:eastAsiaTheme="minorEastAsia" w:cs="Times New Roman"/>
      <w:sz w:val="20"/>
      <w:szCs w:val="20"/>
      <w:lang w:bidi="en-US"/>
    </w:rPr>
  </w:style>
  <w:style w:type="character" w:customStyle="1" w:styleId="CommentTextChar">
    <w:name w:val="Comment Text Char"/>
    <w:basedOn w:val="DefaultParagraphFont"/>
    <w:link w:val="CommentText"/>
    <w:uiPriority w:val="99"/>
    <w:rsid w:val="00BD387E"/>
    <w:rPr>
      <w:rFonts w:ascii="Arial" w:eastAsiaTheme="minorEastAsia" w:hAnsi="Arial" w:cs="Times New Roman"/>
      <w:sz w:val="20"/>
      <w:szCs w:val="20"/>
      <w:lang w:bidi="en-US"/>
    </w:rPr>
  </w:style>
  <w:style w:type="paragraph" w:customStyle="1" w:styleId="FormText">
    <w:name w:val="FormText"/>
    <w:basedOn w:val="Normal"/>
    <w:qFormat/>
    <w:rsid w:val="00BD387E"/>
    <w:pPr>
      <w:spacing w:before="60" w:after="60"/>
      <w:ind w:left="360" w:hanging="360"/>
    </w:pPr>
    <w:rPr>
      <w:rFonts w:eastAsiaTheme="minorEastAsia" w:cs="Arial"/>
      <w:b/>
      <w:bCs/>
      <w:color w:val="000000"/>
      <w:sz w:val="22"/>
    </w:rPr>
  </w:style>
  <w:style w:type="paragraph" w:styleId="ListParagraph">
    <w:name w:val="List Paragraph"/>
    <w:basedOn w:val="Normal"/>
    <w:link w:val="ListParagraphChar"/>
    <w:uiPriority w:val="34"/>
    <w:qFormat/>
    <w:rsid w:val="00BD387E"/>
    <w:pPr>
      <w:ind w:left="720"/>
      <w:contextualSpacing/>
    </w:pPr>
    <w:rPr>
      <w:rFonts w:eastAsiaTheme="minorEastAsia" w:cs="Times New Roman"/>
      <w:lang w:bidi="en-US"/>
    </w:rPr>
  </w:style>
  <w:style w:type="paragraph" w:customStyle="1" w:styleId="Bullet-Blank">
    <w:name w:val="Bullet-Blank"/>
    <w:basedOn w:val="Normal"/>
    <w:qFormat/>
    <w:rsid w:val="00BD387E"/>
    <w:pPr>
      <w:numPr>
        <w:numId w:val="2"/>
      </w:numPr>
      <w:spacing w:before="60" w:after="60"/>
    </w:pPr>
    <w:rPr>
      <w:rFonts w:eastAsia="Times New Roman" w:cs="Arial"/>
      <w:sz w:val="22"/>
    </w:rPr>
  </w:style>
  <w:style w:type="paragraph" w:customStyle="1" w:styleId="Bullet-Blank-2">
    <w:name w:val="Bullet-Blank-2"/>
    <w:basedOn w:val="Normal"/>
    <w:qFormat/>
    <w:rsid w:val="00BD387E"/>
    <w:pPr>
      <w:numPr>
        <w:ilvl w:val="1"/>
        <w:numId w:val="2"/>
      </w:numPr>
      <w:spacing w:before="60" w:after="60"/>
    </w:pPr>
    <w:rPr>
      <w:rFonts w:eastAsiaTheme="minorEastAsia" w:cs="Arial"/>
      <w:sz w:val="22"/>
      <w:lang w:bidi="en-US"/>
    </w:rPr>
  </w:style>
  <w:style w:type="table" w:styleId="TableGrid">
    <w:name w:val="Table Grid"/>
    <w:basedOn w:val="TableNormal"/>
    <w:uiPriority w:val="59"/>
    <w:rsid w:val="00BD387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C455F"/>
    <w:rPr>
      <w:i/>
      <w:iCs/>
    </w:rPr>
  </w:style>
  <w:style w:type="paragraph" w:customStyle="1" w:styleId="TableBullet1">
    <w:name w:val="Table Bullet 1"/>
    <w:basedOn w:val="ListParagraph"/>
    <w:qFormat/>
    <w:rsid w:val="00815F50"/>
    <w:pPr>
      <w:numPr>
        <w:numId w:val="6"/>
      </w:numPr>
      <w:spacing w:after="0"/>
      <w:ind w:left="360"/>
    </w:pPr>
    <w:rPr>
      <w:szCs w:val="24"/>
    </w:rPr>
  </w:style>
  <w:style w:type="paragraph" w:customStyle="1" w:styleId="TableBullet2">
    <w:name w:val="Table Bullet 2"/>
    <w:basedOn w:val="ListParagraph"/>
    <w:qFormat/>
    <w:rsid w:val="00815F50"/>
    <w:pPr>
      <w:numPr>
        <w:numId w:val="7"/>
      </w:numPr>
      <w:spacing w:after="0"/>
    </w:pPr>
    <w:rPr>
      <w:szCs w:val="24"/>
    </w:rPr>
  </w:style>
  <w:style w:type="paragraph" w:customStyle="1" w:styleId="TableBullet3">
    <w:name w:val="Table Bullet 3"/>
    <w:basedOn w:val="ListParagraph"/>
    <w:qFormat/>
    <w:rsid w:val="00815F50"/>
    <w:pPr>
      <w:numPr>
        <w:ilvl w:val="1"/>
        <w:numId w:val="6"/>
      </w:numPr>
      <w:spacing w:after="0"/>
    </w:pPr>
    <w:rPr>
      <w:szCs w:val="24"/>
    </w:rPr>
  </w:style>
  <w:style w:type="paragraph" w:customStyle="1" w:styleId="TableBullet1a-Indentundertext">
    <w:name w:val="Table Bullet 1a-Indent under text"/>
    <w:qFormat/>
    <w:rsid w:val="00B935CD"/>
    <w:pPr>
      <w:numPr>
        <w:numId w:val="16"/>
      </w:numPr>
      <w:spacing w:after="0" w:line="240" w:lineRule="auto"/>
    </w:pPr>
    <w:rPr>
      <w:rFonts w:ascii="Arial" w:eastAsiaTheme="minorEastAsia" w:hAnsi="Arial" w:cs="Times New Roman"/>
      <w:sz w:val="24"/>
      <w:szCs w:val="24"/>
      <w:lang w:bidi="en-US"/>
    </w:rPr>
  </w:style>
  <w:style w:type="character" w:styleId="CommentReference">
    <w:name w:val="annotation reference"/>
    <w:basedOn w:val="DefaultParagraphFont"/>
    <w:uiPriority w:val="99"/>
    <w:semiHidden/>
    <w:unhideWhenUsed/>
    <w:rsid w:val="00D528CD"/>
    <w:rPr>
      <w:sz w:val="18"/>
      <w:szCs w:val="18"/>
    </w:rPr>
  </w:style>
  <w:style w:type="paragraph" w:styleId="CommentSubject">
    <w:name w:val="annotation subject"/>
    <w:basedOn w:val="CommentText"/>
    <w:next w:val="CommentText"/>
    <w:link w:val="CommentSubjectChar"/>
    <w:uiPriority w:val="99"/>
    <w:semiHidden/>
    <w:unhideWhenUsed/>
    <w:rsid w:val="00D528CD"/>
    <w:rPr>
      <w:rFonts w:eastAsiaTheme="minorHAnsi" w:cstheme="minorBidi"/>
      <w:b/>
      <w:bCs/>
      <w:lang w:bidi="ar-SA"/>
    </w:rPr>
  </w:style>
  <w:style w:type="character" w:customStyle="1" w:styleId="CommentSubjectChar">
    <w:name w:val="Comment Subject Char"/>
    <w:basedOn w:val="CommentTextChar"/>
    <w:link w:val="CommentSubject"/>
    <w:uiPriority w:val="99"/>
    <w:semiHidden/>
    <w:rsid w:val="00D528CD"/>
    <w:rPr>
      <w:rFonts w:ascii="Arial" w:eastAsiaTheme="minorEastAsia" w:hAnsi="Arial" w:cs="Times New Roman"/>
      <w:b/>
      <w:bCs/>
      <w:sz w:val="20"/>
      <w:szCs w:val="20"/>
      <w:lang w:bidi="en-US"/>
    </w:rPr>
  </w:style>
  <w:style w:type="character" w:styleId="FollowedHyperlink">
    <w:name w:val="FollowedHyperlink"/>
    <w:basedOn w:val="DefaultParagraphFont"/>
    <w:uiPriority w:val="99"/>
    <w:semiHidden/>
    <w:unhideWhenUsed/>
    <w:rsid w:val="00BE256C"/>
    <w:rPr>
      <w:color w:val="800080" w:themeColor="followedHyperlink"/>
      <w:u w:val="single"/>
    </w:rPr>
  </w:style>
  <w:style w:type="character" w:customStyle="1" w:styleId="ListParagraphChar">
    <w:name w:val="List Paragraph Char"/>
    <w:basedOn w:val="DefaultParagraphFont"/>
    <w:link w:val="ListParagraph"/>
    <w:uiPriority w:val="34"/>
    <w:rsid w:val="002B6424"/>
    <w:rPr>
      <w:rFonts w:ascii="Arial" w:eastAsiaTheme="minorEastAsia" w:hAnsi="Arial"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healthcareforeverywoman.org" TargetMode="External"/><Relationship Id="rId13" Type="http://schemas.openxmlformats.org/officeDocument/2006/relationships/hyperlink" Target="http://www.ismp.org/Newsletters/acutecare/articles/20051020.asp"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ismp.org/tools/institutionalhighAlert.as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smp.org/Newsletters/acutecare/articles/20100603.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da.gov/Safety/MedWatch/SafetyInformation/SafetyAlertsforHumanMedicalProducts/ucm354603.htm" TargetMode="External"/><Relationship Id="rId4" Type="http://schemas.openxmlformats.org/officeDocument/2006/relationships/settings" Target="settings.xml"/><Relationship Id="rId9" Type="http://schemas.openxmlformats.org/officeDocument/2006/relationships/hyperlink" Target="http://www.accessdata.fda.gov/drugsatfda_docs/label/2013/019316s018lbl.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17</Pages>
  <Words>4281</Words>
  <Characters>24402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AHRQ Safety Program for Perinatal Care: Safe Medication Administration: Magnesium Sulfate</vt:lpstr>
    </vt:vector>
  </TitlesOfParts>
  <Company>RTI International under contract to AHRQ</Company>
  <LinksUpToDate>false</LinksUpToDate>
  <CharactersWithSpaces>28626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AHRQ Safety Program for Perinatal Care: Safe Medication Administration: Magnesium Sulfate</dc:title>
  <dc:subject>Magnesium Sulfate</dc:subject>
  <dc:creator>AHRQ</dc:creator>
  <cp:keywords>Safety Program for Perinatal Care, Safe Medication Administration, labor and delivery, oxytocin, magnesium sulfate</cp:keywords>
  <cp:lastModifiedBy>Chris Heidenrich OCKT</cp:lastModifiedBy>
  <cp:revision>5</cp:revision>
  <cp:lastPrinted>2014-10-28T19:11:00Z</cp:lastPrinted>
  <dcterms:created xsi:type="dcterms:W3CDTF">2016-10-12T21:51:00Z</dcterms:created>
  <dcterms:modified xsi:type="dcterms:W3CDTF">2017-03-21T20:22:00Z</dcterms:modified>
</cp:coreProperties>
</file>