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8C3BC" w14:textId="77777777" w:rsidR="00330094" w:rsidRDefault="00330094" w:rsidP="0000751E">
      <w:pPr>
        <w:pStyle w:val="BodyText"/>
      </w:pPr>
      <w:r w:rsidRPr="00BA1937">
        <w:rPr>
          <w:b/>
        </w:rPr>
        <w:t xml:space="preserve">Purpose of the tool: </w:t>
      </w:r>
      <w:r>
        <w:t xml:space="preserve">This tool describes the key perinatal safety elements with examples </w:t>
      </w:r>
      <w:r w:rsidRPr="00DA6F46">
        <w:t xml:space="preserve">for </w:t>
      </w:r>
      <w:r>
        <w:t>the safe administration</w:t>
      </w:r>
      <w:r w:rsidRPr="00DA6F46">
        <w:t xml:space="preserve"> </w:t>
      </w:r>
      <w:r>
        <w:t xml:space="preserve">of </w:t>
      </w:r>
      <w:r w:rsidRPr="00DA6F46">
        <w:t xml:space="preserve">oxytocin </w:t>
      </w:r>
      <w:r>
        <w:t>during labor</w:t>
      </w:r>
      <w:r w:rsidRPr="00DA6F46">
        <w:t xml:space="preserve">. </w:t>
      </w:r>
      <w:r>
        <w:t>The key elements are presented within the framework of the Comprehensive Unit-</w:t>
      </w:r>
      <w:r w:rsidR="001330B0">
        <w:t>b</w:t>
      </w:r>
      <w:r>
        <w:t>ased Safety Program (CUSP).</w:t>
      </w:r>
    </w:p>
    <w:p w14:paraId="5549EF0B" w14:textId="77777777" w:rsidR="00330094" w:rsidRDefault="00330094" w:rsidP="0000751E">
      <w:pPr>
        <w:pStyle w:val="BodyText"/>
      </w:pPr>
      <w:r w:rsidRPr="00DA6F46">
        <w:rPr>
          <w:b/>
        </w:rPr>
        <w:t xml:space="preserve">Who should use this tool: </w:t>
      </w:r>
      <w:r w:rsidRPr="000E6837">
        <w:t xml:space="preserve">Nurses, physicians, midwives, pharmacists, and other </w:t>
      </w:r>
      <w:r>
        <w:t>labor and delivery (</w:t>
      </w:r>
      <w:r w:rsidRPr="000E6837">
        <w:t>L&amp;D</w:t>
      </w:r>
      <w:r>
        <w:t>)</w:t>
      </w:r>
      <w:r w:rsidRPr="000E6837">
        <w:t xml:space="preserve"> unit staff involved in the preparation and administration of oxytocin</w:t>
      </w:r>
      <w:r>
        <w:t xml:space="preserve"> during labor.</w:t>
      </w:r>
    </w:p>
    <w:p w14:paraId="10645AA2" w14:textId="77777777" w:rsidR="00330094" w:rsidRDefault="00330094" w:rsidP="0000751E">
      <w:pPr>
        <w:pStyle w:val="BodyText"/>
      </w:pPr>
      <w:r w:rsidRPr="000E6837">
        <w:rPr>
          <w:rStyle w:val="Heading1Char"/>
          <w:rFonts w:eastAsia="Calibri"/>
          <w:szCs w:val="24"/>
        </w:rPr>
        <w:t xml:space="preserve">How to use this tool: </w:t>
      </w:r>
      <w:r w:rsidRPr="00E7466A">
        <w:t xml:space="preserve">Review </w:t>
      </w:r>
      <w:r>
        <w:t>the key perinatal safety elements</w:t>
      </w:r>
      <w:r w:rsidRPr="00E7466A">
        <w:t xml:space="preserve"> with L&amp;D </w:t>
      </w:r>
      <w:r>
        <w:t>leadership and unit staff</w:t>
      </w:r>
      <w:r w:rsidRPr="00E7466A">
        <w:t xml:space="preserve"> to determine </w:t>
      </w:r>
      <w:r>
        <w:t xml:space="preserve">how elements will be implemented on your L&amp;D unit. Consider </w:t>
      </w:r>
      <w:r w:rsidRPr="00E7466A">
        <w:t>any existing facility policies or processes</w:t>
      </w:r>
      <w:r>
        <w:t xml:space="preserve"> related to oxytocin use. Consider using preprinted orders, standing orders, and staff training to support implementation. </w:t>
      </w:r>
      <w:r w:rsidRPr="005369A3">
        <w:t xml:space="preserve">A sample of how some of these key perinatal safety elements can be incorporated into a unit approach to </w:t>
      </w:r>
      <w:r>
        <w:t>safe oxytocin administration</w:t>
      </w:r>
      <w:r w:rsidRPr="005369A3">
        <w:t xml:space="preserve"> is provided in the Appendix of this tool.</w:t>
      </w:r>
    </w:p>
    <w:p w14:paraId="74F59FF6" w14:textId="6278FD28" w:rsidR="00330094" w:rsidRDefault="00330094" w:rsidP="00A56DB0">
      <w:pPr>
        <w:pStyle w:val="Heading1"/>
      </w:pPr>
      <w:r w:rsidRPr="0000751E">
        <w:t>Key Perinatal Safety Elements</w:t>
      </w:r>
    </w:p>
    <w:p w14:paraId="5694D334" w14:textId="26774C68" w:rsidR="00A56DB0" w:rsidRPr="00A56DB0" w:rsidRDefault="00A56DB0" w:rsidP="00A56DB0">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lang w:bidi="en-US"/>
        </w:rPr>
      </w:pPr>
      <w:r w:rsidRPr="005B21FF">
        <w:rPr>
          <w:rFonts w:asciiTheme="minorBidi" w:hAnsiTheme="minorBidi"/>
          <w:b/>
          <w:i/>
          <w:szCs w:val="24"/>
        </w:rPr>
        <w:t>Standardize When Possible (CUSP</w:t>
      </w:r>
      <w:r>
        <w:rPr>
          <w:rFonts w:asciiTheme="minorBidi" w:hAnsiTheme="minorBidi"/>
          <w:b/>
          <w:i/>
          <w:szCs w:val="24"/>
        </w:rPr>
        <w:t xml:space="preserve"> </w:t>
      </w:r>
      <w:r w:rsidRPr="005B21FF">
        <w:rPr>
          <w:rFonts w:asciiTheme="minorBidi" w:hAnsiTheme="minorBidi"/>
          <w:b/>
          <w:i/>
          <w:szCs w:val="24"/>
        </w:rPr>
        <w:t>Science of Safety)</w:t>
      </w:r>
    </w:p>
    <w:tbl>
      <w:tblPr>
        <w:tblStyle w:val="TableGrid"/>
        <w:tblW w:w="9558" w:type="dxa"/>
        <w:tblLook w:val="04A0" w:firstRow="1" w:lastRow="0" w:firstColumn="1" w:lastColumn="0" w:noHBand="0" w:noVBand="1"/>
        <w:tblDescription w:val="Key Perinatal Safety Elements"/>
      </w:tblPr>
      <w:tblGrid>
        <w:gridCol w:w="3528"/>
        <w:gridCol w:w="6030"/>
      </w:tblGrid>
      <w:tr w:rsidR="00330094" w:rsidRPr="005B21FF" w14:paraId="5DD55F69" w14:textId="77777777" w:rsidTr="00A56DB0">
        <w:trPr>
          <w:cantSplit/>
          <w:tblHeader/>
        </w:trPr>
        <w:tc>
          <w:tcPr>
            <w:tcW w:w="3528" w:type="dxa"/>
          </w:tcPr>
          <w:p w14:paraId="66AA67A7" w14:textId="77777777" w:rsidR="00330094" w:rsidRPr="005B21FF" w:rsidRDefault="00330094" w:rsidP="00354BD4">
            <w:pPr>
              <w:rPr>
                <w:rFonts w:asciiTheme="minorBidi" w:hAnsiTheme="minorBidi" w:cstheme="minorBidi"/>
                <w:b/>
                <w:szCs w:val="24"/>
              </w:rPr>
            </w:pPr>
            <w:r w:rsidRPr="005B21FF">
              <w:rPr>
                <w:rFonts w:asciiTheme="minorBidi" w:hAnsiTheme="minorBidi" w:cstheme="minorBidi"/>
                <w:b/>
                <w:szCs w:val="24"/>
              </w:rPr>
              <w:t>Key Perinatal Safety Elements</w:t>
            </w:r>
          </w:p>
        </w:tc>
        <w:tc>
          <w:tcPr>
            <w:tcW w:w="6030" w:type="dxa"/>
          </w:tcPr>
          <w:p w14:paraId="32576549" w14:textId="77777777" w:rsidR="00330094" w:rsidRPr="005B21FF" w:rsidRDefault="00330094" w:rsidP="00354BD4">
            <w:pPr>
              <w:rPr>
                <w:rFonts w:asciiTheme="minorBidi" w:hAnsiTheme="minorBidi" w:cstheme="minorBidi"/>
                <w:b/>
                <w:szCs w:val="24"/>
              </w:rPr>
            </w:pPr>
            <w:r w:rsidRPr="005B21FF">
              <w:rPr>
                <w:rFonts w:asciiTheme="minorBidi" w:hAnsiTheme="minorBidi" w:cstheme="minorBidi"/>
                <w:b/>
                <w:szCs w:val="24"/>
              </w:rPr>
              <w:t>Examples</w:t>
            </w:r>
          </w:p>
        </w:tc>
      </w:tr>
      <w:tr w:rsidR="00330094" w:rsidRPr="005B21FF" w14:paraId="79ADBBA2" w14:textId="77777777" w:rsidTr="00A56DB0">
        <w:trPr>
          <w:cantSplit/>
        </w:trPr>
        <w:tc>
          <w:tcPr>
            <w:tcW w:w="3528" w:type="dxa"/>
          </w:tcPr>
          <w:p w14:paraId="5DBA1A55" w14:textId="77777777" w:rsidR="00330094" w:rsidRPr="005B21FF" w:rsidRDefault="001373D3" w:rsidP="001373D3">
            <w:pPr>
              <w:rPr>
                <w:rFonts w:asciiTheme="minorBidi" w:hAnsiTheme="minorBidi" w:cstheme="minorBidi"/>
                <w:szCs w:val="24"/>
              </w:rPr>
            </w:pPr>
            <w:r>
              <w:rPr>
                <w:rFonts w:asciiTheme="minorBidi" w:hAnsiTheme="minorBidi" w:cstheme="minorBidi"/>
                <w:szCs w:val="24"/>
              </w:rPr>
              <w:t>Standard criteria established</w:t>
            </w:r>
            <w:r w:rsidR="00330094" w:rsidRPr="005B21FF">
              <w:rPr>
                <w:rFonts w:asciiTheme="minorBidi" w:hAnsiTheme="minorBidi" w:cstheme="minorBidi"/>
                <w:szCs w:val="24"/>
              </w:rPr>
              <w:t xml:space="preserve"> for oxytocin use.</w:t>
            </w:r>
          </w:p>
        </w:tc>
        <w:tc>
          <w:tcPr>
            <w:tcW w:w="6030" w:type="dxa"/>
          </w:tcPr>
          <w:p w14:paraId="47910AE4" w14:textId="77777777" w:rsidR="00330094" w:rsidRPr="005B21FF" w:rsidRDefault="00330094" w:rsidP="00354BD4">
            <w:pPr>
              <w:pStyle w:val="ListParagraph"/>
              <w:numPr>
                <w:ilvl w:val="0"/>
                <w:numId w:val="12"/>
              </w:numPr>
              <w:spacing w:after="60"/>
              <w:ind w:left="432" w:hanging="274"/>
              <w:contextualSpacing w:val="0"/>
              <w:rPr>
                <w:rFonts w:asciiTheme="minorBidi" w:hAnsiTheme="minorBidi" w:cstheme="minorBidi"/>
                <w:szCs w:val="24"/>
              </w:rPr>
            </w:pPr>
            <w:r w:rsidRPr="005B21FF">
              <w:rPr>
                <w:rFonts w:asciiTheme="minorBidi" w:hAnsiTheme="minorBidi" w:cstheme="minorBidi"/>
                <w:szCs w:val="24"/>
              </w:rPr>
              <w:t>Elective induction criteria are established:</w:t>
            </w:r>
          </w:p>
          <w:p w14:paraId="225BA8C4" w14:textId="77777777" w:rsidR="00330094" w:rsidRPr="005B21FF" w:rsidRDefault="00330094" w:rsidP="00354BD4">
            <w:pPr>
              <w:pStyle w:val="ListParagraph"/>
              <w:numPr>
                <w:ilvl w:val="1"/>
                <w:numId w:val="12"/>
              </w:numPr>
              <w:spacing w:after="60"/>
              <w:ind w:left="702" w:hanging="270"/>
              <w:contextualSpacing w:val="0"/>
              <w:rPr>
                <w:rFonts w:asciiTheme="minorBidi" w:hAnsiTheme="minorBidi" w:cstheme="minorBidi"/>
                <w:szCs w:val="24"/>
              </w:rPr>
            </w:pPr>
            <w:r w:rsidRPr="005B21FF">
              <w:rPr>
                <w:rFonts w:asciiTheme="minorBidi" w:hAnsiTheme="minorBidi" w:cstheme="minorBidi"/>
                <w:szCs w:val="24"/>
              </w:rPr>
              <w:t>Hard</w:t>
            </w:r>
            <w:r w:rsidR="001330B0">
              <w:rPr>
                <w:rFonts w:asciiTheme="minorBidi" w:hAnsiTheme="minorBidi" w:cstheme="minorBidi"/>
                <w:szCs w:val="24"/>
              </w:rPr>
              <w:t>-</w:t>
            </w:r>
            <w:r w:rsidRPr="005B21FF">
              <w:rPr>
                <w:rFonts w:asciiTheme="minorBidi" w:hAnsiTheme="minorBidi" w:cstheme="minorBidi"/>
                <w:szCs w:val="24"/>
              </w:rPr>
              <w:t>stop policy against scheduling early elective induction; policy is communicated broadly and implementation monitored.</w:t>
            </w:r>
            <w:r w:rsidRPr="005B21FF">
              <w:rPr>
                <w:rFonts w:asciiTheme="minorBidi" w:hAnsiTheme="minorBidi" w:cstheme="minorBidi"/>
                <w:szCs w:val="24"/>
                <w:vertAlign w:val="superscript"/>
              </w:rPr>
              <w:t>1</w:t>
            </w:r>
          </w:p>
          <w:p w14:paraId="31663C2C" w14:textId="77777777" w:rsidR="00330094" w:rsidRPr="005B21FF" w:rsidRDefault="00330094" w:rsidP="00354BD4">
            <w:pPr>
              <w:pStyle w:val="ListParagraph"/>
              <w:numPr>
                <w:ilvl w:val="1"/>
                <w:numId w:val="12"/>
              </w:numPr>
              <w:spacing w:after="60"/>
              <w:ind w:left="702" w:hanging="270"/>
              <w:contextualSpacing w:val="0"/>
              <w:rPr>
                <w:rFonts w:asciiTheme="minorBidi" w:hAnsiTheme="minorBidi" w:cstheme="minorBidi"/>
                <w:szCs w:val="24"/>
              </w:rPr>
            </w:pPr>
            <w:r w:rsidRPr="005B21FF">
              <w:rPr>
                <w:rFonts w:asciiTheme="minorBidi" w:hAnsiTheme="minorBidi" w:cstheme="minorBidi"/>
                <w:szCs w:val="24"/>
              </w:rPr>
              <w:t>The evidence is clear that elective induction prior to 39 weeks is associated with neonatal harms.</w:t>
            </w:r>
            <w:r w:rsidRPr="005B21FF">
              <w:rPr>
                <w:rFonts w:asciiTheme="minorBidi" w:hAnsiTheme="minorBidi" w:cstheme="minorBidi"/>
                <w:szCs w:val="24"/>
                <w:vertAlign w:val="superscript"/>
              </w:rPr>
              <w:t>1,2,3</w:t>
            </w:r>
          </w:p>
          <w:p w14:paraId="3A1F3D13" w14:textId="77777777" w:rsidR="00330094" w:rsidRPr="005B21FF" w:rsidRDefault="00330094" w:rsidP="00354BD4">
            <w:pPr>
              <w:pStyle w:val="ListParagraph"/>
              <w:numPr>
                <w:ilvl w:val="1"/>
                <w:numId w:val="12"/>
              </w:numPr>
              <w:spacing w:after="60"/>
              <w:ind w:left="702" w:hanging="270"/>
              <w:contextualSpacing w:val="0"/>
              <w:rPr>
                <w:rFonts w:asciiTheme="minorBidi" w:hAnsiTheme="minorBidi" w:cstheme="minorBidi"/>
                <w:szCs w:val="24"/>
              </w:rPr>
            </w:pPr>
            <w:r w:rsidRPr="005B21FF">
              <w:rPr>
                <w:rFonts w:asciiTheme="minorBidi" w:hAnsiTheme="minorBidi" w:cstheme="minorBidi"/>
                <w:szCs w:val="24"/>
              </w:rPr>
              <w:t>The evidence is inconclusive about the maternal and neonatal benefits and harms of induction between 39 and 41 weeks.</w:t>
            </w:r>
            <w:r w:rsidRPr="005B21FF">
              <w:rPr>
                <w:rFonts w:asciiTheme="minorBidi" w:hAnsiTheme="minorBidi" w:cstheme="minorBidi"/>
                <w:szCs w:val="24"/>
                <w:vertAlign w:val="superscript"/>
              </w:rPr>
              <w:t>4</w:t>
            </w:r>
          </w:p>
          <w:p w14:paraId="5B76DA9E" w14:textId="77777777" w:rsidR="00330094" w:rsidRPr="00CF68CD" w:rsidRDefault="00330094" w:rsidP="00CF68CD">
            <w:pPr>
              <w:pStyle w:val="ListParagraph"/>
              <w:numPr>
                <w:ilvl w:val="0"/>
                <w:numId w:val="12"/>
              </w:numPr>
              <w:spacing w:after="60"/>
              <w:ind w:left="432" w:hanging="274"/>
              <w:contextualSpacing w:val="0"/>
              <w:rPr>
                <w:rFonts w:asciiTheme="minorBidi" w:hAnsiTheme="minorBidi" w:cstheme="minorBidi"/>
                <w:szCs w:val="24"/>
              </w:rPr>
            </w:pPr>
            <w:r w:rsidRPr="005B21FF">
              <w:rPr>
                <w:rFonts w:asciiTheme="minorBidi" w:hAnsiTheme="minorBidi" w:cstheme="minorBidi"/>
                <w:szCs w:val="24"/>
              </w:rPr>
              <w:t>Medical indications for labor induction may vary. Several professional organizations, guidelines, and evidence reviews offer examples of maternal and fetal conditions that may be indications for medical induction.</w:t>
            </w:r>
            <w:r w:rsidRPr="005B21FF">
              <w:rPr>
                <w:rFonts w:asciiTheme="minorBidi" w:hAnsiTheme="minorBidi" w:cstheme="minorBidi"/>
                <w:szCs w:val="24"/>
                <w:vertAlign w:val="superscript"/>
              </w:rPr>
              <w:t>5,6,7,8</w:t>
            </w:r>
          </w:p>
        </w:tc>
      </w:tr>
    </w:tbl>
    <w:p w14:paraId="190426B2" w14:textId="1FB8F1B0" w:rsidR="00CF68CD" w:rsidRDefault="00CF68CD" w:rsidP="00DB7503">
      <w:pPr>
        <w:jc w:val="right"/>
      </w:pPr>
    </w:p>
    <w:p w14:paraId="151CBF49" w14:textId="0AE31EE7" w:rsidR="00A56DB0" w:rsidRDefault="00A56DB0" w:rsidP="00A56DB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20"/>
      </w:pPr>
      <w:r w:rsidRPr="005B21FF">
        <w:rPr>
          <w:rFonts w:asciiTheme="minorBidi" w:hAnsiTheme="minorBidi"/>
          <w:b/>
          <w:i/>
          <w:szCs w:val="24"/>
        </w:rPr>
        <w:lastRenderedPageBreak/>
        <w:t>Standardize When Possible (CUSP</w:t>
      </w:r>
      <w:r>
        <w:rPr>
          <w:rFonts w:asciiTheme="minorBidi" w:hAnsiTheme="minorBidi"/>
          <w:b/>
          <w:i/>
          <w:szCs w:val="24"/>
        </w:rPr>
        <w:t xml:space="preserve"> </w:t>
      </w:r>
      <w:r w:rsidRPr="005B21FF">
        <w:rPr>
          <w:rFonts w:asciiTheme="minorBidi" w:hAnsiTheme="minorBidi"/>
          <w:b/>
          <w:i/>
          <w:szCs w:val="24"/>
        </w:rPr>
        <w:t>Science of Safety)</w:t>
      </w:r>
      <w:r>
        <w:rPr>
          <w:rFonts w:asciiTheme="minorBidi" w:hAnsiTheme="minorBidi"/>
          <w:b/>
          <w:i/>
          <w:szCs w:val="24"/>
        </w:rPr>
        <w:t xml:space="preserve"> (continued)</w:t>
      </w:r>
    </w:p>
    <w:tbl>
      <w:tblPr>
        <w:tblStyle w:val="TableGrid"/>
        <w:tblW w:w="9558" w:type="dxa"/>
        <w:tblLook w:val="04A0" w:firstRow="1" w:lastRow="0" w:firstColumn="1" w:lastColumn="0" w:noHBand="0" w:noVBand="1"/>
        <w:tblDescription w:val="Key Perinatal Safety Elements"/>
      </w:tblPr>
      <w:tblGrid>
        <w:gridCol w:w="3528"/>
        <w:gridCol w:w="6030"/>
      </w:tblGrid>
      <w:tr w:rsidR="00CF68CD" w:rsidRPr="005B21FF" w14:paraId="7CD662E1" w14:textId="77777777" w:rsidTr="00A56DB0">
        <w:trPr>
          <w:cantSplit/>
          <w:tblHeader/>
        </w:trPr>
        <w:tc>
          <w:tcPr>
            <w:tcW w:w="3528" w:type="dxa"/>
          </w:tcPr>
          <w:p w14:paraId="0B77D417" w14:textId="77777777" w:rsidR="00CF68CD" w:rsidRPr="005B21FF" w:rsidRDefault="00CF68CD" w:rsidP="00354BD4">
            <w:pPr>
              <w:rPr>
                <w:rFonts w:asciiTheme="minorBidi" w:hAnsiTheme="minorBidi" w:cstheme="minorBidi"/>
                <w:b/>
                <w:szCs w:val="24"/>
              </w:rPr>
            </w:pPr>
            <w:r w:rsidRPr="005B21FF">
              <w:rPr>
                <w:rFonts w:asciiTheme="minorBidi" w:hAnsiTheme="minorBidi" w:cstheme="minorBidi"/>
                <w:b/>
                <w:szCs w:val="24"/>
              </w:rPr>
              <w:t>Key Perinatal Safety Elements</w:t>
            </w:r>
          </w:p>
        </w:tc>
        <w:tc>
          <w:tcPr>
            <w:tcW w:w="6030" w:type="dxa"/>
          </w:tcPr>
          <w:p w14:paraId="0F103BE4" w14:textId="77777777" w:rsidR="00CF68CD" w:rsidRPr="005B21FF" w:rsidRDefault="00CF68CD" w:rsidP="00354BD4">
            <w:pPr>
              <w:rPr>
                <w:rFonts w:asciiTheme="minorBidi" w:hAnsiTheme="minorBidi" w:cstheme="minorBidi"/>
                <w:b/>
                <w:szCs w:val="24"/>
              </w:rPr>
            </w:pPr>
            <w:r w:rsidRPr="005B21FF">
              <w:rPr>
                <w:rFonts w:asciiTheme="minorBidi" w:hAnsiTheme="minorBidi" w:cstheme="minorBidi"/>
                <w:b/>
                <w:szCs w:val="24"/>
              </w:rPr>
              <w:t>Examples</w:t>
            </w:r>
          </w:p>
        </w:tc>
      </w:tr>
      <w:tr w:rsidR="00CF68CD" w:rsidRPr="005B21FF" w14:paraId="728713E2" w14:textId="77777777" w:rsidTr="00A56DB0">
        <w:trPr>
          <w:cantSplit/>
          <w:trHeight w:val="1025"/>
        </w:trPr>
        <w:tc>
          <w:tcPr>
            <w:tcW w:w="3528" w:type="dxa"/>
          </w:tcPr>
          <w:p w14:paraId="479C55C3" w14:textId="77777777" w:rsidR="00CF68CD" w:rsidRPr="005B21FF" w:rsidRDefault="001330B0" w:rsidP="008B43E4">
            <w:pPr>
              <w:rPr>
                <w:rFonts w:asciiTheme="minorBidi" w:hAnsiTheme="minorBidi"/>
                <w:szCs w:val="24"/>
              </w:rPr>
            </w:pPr>
            <w:r w:rsidRPr="005B21FF">
              <w:rPr>
                <w:rFonts w:asciiTheme="minorBidi" w:hAnsiTheme="minorBidi" w:cstheme="minorBidi"/>
                <w:szCs w:val="24"/>
              </w:rPr>
              <w:t>Standard criteria established, for oxytocin use.</w:t>
            </w:r>
            <w:r>
              <w:rPr>
                <w:rFonts w:asciiTheme="minorBidi" w:hAnsiTheme="minorBidi" w:cstheme="minorBidi"/>
                <w:szCs w:val="24"/>
              </w:rPr>
              <w:t xml:space="preserve"> (continued)</w:t>
            </w:r>
          </w:p>
        </w:tc>
        <w:tc>
          <w:tcPr>
            <w:tcW w:w="6030" w:type="dxa"/>
          </w:tcPr>
          <w:p w14:paraId="5392F5C7" w14:textId="77777777" w:rsidR="00CF68CD" w:rsidRPr="005B21FF" w:rsidRDefault="00CF68CD" w:rsidP="00CF68CD">
            <w:pPr>
              <w:pStyle w:val="ListParagraph"/>
              <w:numPr>
                <w:ilvl w:val="0"/>
                <w:numId w:val="12"/>
              </w:numPr>
              <w:spacing w:after="60"/>
              <w:ind w:left="432" w:hanging="274"/>
              <w:contextualSpacing w:val="0"/>
              <w:rPr>
                <w:rFonts w:asciiTheme="minorBidi" w:hAnsiTheme="minorBidi" w:cstheme="minorBidi"/>
                <w:szCs w:val="24"/>
              </w:rPr>
            </w:pPr>
            <w:r w:rsidRPr="005B21FF">
              <w:rPr>
                <w:rFonts w:asciiTheme="minorBidi" w:hAnsiTheme="minorBidi" w:cstheme="minorBidi"/>
                <w:szCs w:val="24"/>
              </w:rPr>
              <w:t>Medical indications for labor augmentation may also vary. Labor augmentation with oxytocin may reduce time to delivery but has no impact on rate of Cesarean section or instrumental vaginal delivery.</w:t>
            </w:r>
            <w:r w:rsidRPr="005B21FF">
              <w:rPr>
                <w:rFonts w:asciiTheme="minorBidi" w:hAnsiTheme="minorBidi" w:cstheme="minorBidi"/>
                <w:szCs w:val="24"/>
                <w:vertAlign w:val="superscript"/>
              </w:rPr>
              <w:t>9</w:t>
            </w:r>
            <w:r w:rsidRPr="005B21FF">
              <w:rPr>
                <w:rFonts w:asciiTheme="minorBidi" w:hAnsiTheme="minorBidi" w:cstheme="minorBidi"/>
                <w:szCs w:val="24"/>
              </w:rPr>
              <w:t xml:space="preserve"> Several professional organizations, guidelines, and evidence reviews offer examples of conditions that may be indications for oxytocin use for labor augmentation.</w:t>
            </w:r>
            <w:r w:rsidRPr="005B21FF">
              <w:rPr>
                <w:rFonts w:asciiTheme="minorBidi" w:hAnsiTheme="minorBidi" w:cstheme="minorBidi"/>
                <w:szCs w:val="24"/>
                <w:vertAlign w:val="superscript"/>
              </w:rPr>
              <w:t>6,10</w:t>
            </w:r>
            <w:r w:rsidRPr="005B21FF">
              <w:rPr>
                <w:rFonts w:asciiTheme="minorBidi" w:hAnsiTheme="minorBidi" w:cstheme="minorBidi"/>
                <w:szCs w:val="24"/>
              </w:rPr>
              <w:t xml:space="preserve"> </w:t>
            </w:r>
          </w:p>
          <w:p w14:paraId="47EBA843" w14:textId="197CFEF0" w:rsidR="00CF68CD" w:rsidRPr="005B21FF" w:rsidRDefault="00CF68CD" w:rsidP="00125C73">
            <w:pPr>
              <w:pStyle w:val="ListParagraph"/>
              <w:numPr>
                <w:ilvl w:val="0"/>
                <w:numId w:val="12"/>
              </w:numPr>
              <w:spacing w:after="60"/>
              <w:ind w:left="432" w:hanging="270"/>
              <w:rPr>
                <w:rFonts w:asciiTheme="minorBidi" w:hAnsiTheme="minorBidi" w:cstheme="minorBidi"/>
                <w:szCs w:val="24"/>
              </w:rPr>
            </w:pPr>
            <w:r w:rsidRPr="005B21FF">
              <w:rPr>
                <w:rFonts w:asciiTheme="minorBidi" w:hAnsiTheme="minorBidi" w:cstheme="minorBidi"/>
                <w:szCs w:val="24"/>
              </w:rPr>
              <w:t>Absence of contraindications for oxytocin use verified and documented. Contraindications included on the manufacturer’s drug label include</w:t>
            </w:r>
            <w:r w:rsidR="00125C73" w:rsidRPr="005B21FF">
              <w:rPr>
                <w:rFonts w:asciiTheme="minorBidi" w:hAnsiTheme="minorBidi" w:cstheme="minorBidi"/>
                <w:szCs w:val="24"/>
                <w:vertAlign w:val="superscript"/>
              </w:rPr>
              <w:t>11</w:t>
            </w:r>
            <w:r w:rsidR="003C5BEB">
              <w:rPr>
                <w:rFonts w:asciiTheme="minorBidi" w:hAnsiTheme="minorBidi" w:cstheme="minorBidi"/>
                <w:szCs w:val="24"/>
              </w:rPr>
              <w:t>—</w:t>
            </w:r>
          </w:p>
          <w:p w14:paraId="36A2EB6E" w14:textId="77777777" w:rsidR="00CF68CD" w:rsidRPr="005B21FF" w:rsidRDefault="00CF68CD" w:rsidP="00CF68CD">
            <w:pPr>
              <w:pStyle w:val="ListParagraph"/>
              <w:numPr>
                <w:ilvl w:val="1"/>
                <w:numId w:val="12"/>
              </w:numPr>
              <w:spacing w:after="60"/>
              <w:ind w:left="702" w:hanging="270"/>
              <w:contextualSpacing w:val="0"/>
              <w:rPr>
                <w:rFonts w:asciiTheme="minorBidi" w:hAnsiTheme="minorBidi" w:cstheme="minorBidi"/>
                <w:szCs w:val="24"/>
              </w:rPr>
            </w:pPr>
            <w:r w:rsidRPr="005B21FF">
              <w:rPr>
                <w:rFonts w:asciiTheme="minorBidi" w:hAnsiTheme="minorBidi" w:cstheme="minorBidi"/>
                <w:szCs w:val="24"/>
              </w:rPr>
              <w:t>Cephalopelvic disproportion</w:t>
            </w:r>
          </w:p>
          <w:p w14:paraId="232EB3AE" w14:textId="77777777" w:rsidR="00CF68CD" w:rsidRPr="005B21FF" w:rsidRDefault="00CF68CD" w:rsidP="00CF68CD">
            <w:pPr>
              <w:pStyle w:val="ListParagraph"/>
              <w:numPr>
                <w:ilvl w:val="1"/>
                <w:numId w:val="12"/>
              </w:numPr>
              <w:spacing w:after="60"/>
              <w:ind w:left="702" w:hanging="270"/>
              <w:contextualSpacing w:val="0"/>
              <w:rPr>
                <w:rFonts w:asciiTheme="minorBidi" w:hAnsiTheme="minorBidi" w:cstheme="minorBidi"/>
                <w:szCs w:val="24"/>
              </w:rPr>
            </w:pPr>
            <w:r w:rsidRPr="005B21FF">
              <w:rPr>
                <w:rFonts w:asciiTheme="minorBidi" w:hAnsiTheme="minorBidi" w:cstheme="minorBidi"/>
                <w:szCs w:val="24"/>
              </w:rPr>
              <w:t>Unfavorable fetal positions or presentations</w:t>
            </w:r>
          </w:p>
          <w:p w14:paraId="51AFD015" w14:textId="77777777" w:rsidR="00CF68CD" w:rsidRPr="005B21FF" w:rsidRDefault="00CF68CD" w:rsidP="00CF68CD">
            <w:pPr>
              <w:pStyle w:val="ListParagraph"/>
              <w:numPr>
                <w:ilvl w:val="1"/>
                <w:numId w:val="12"/>
              </w:numPr>
              <w:spacing w:after="60"/>
              <w:ind w:left="702" w:hanging="270"/>
              <w:contextualSpacing w:val="0"/>
              <w:rPr>
                <w:rFonts w:asciiTheme="minorBidi" w:hAnsiTheme="minorBidi" w:cstheme="minorBidi"/>
                <w:szCs w:val="24"/>
              </w:rPr>
            </w:pPr>
            <w:r w:rsidRPr="005B21FF">
              <w:rPr>
                <w:rFonts w:asciiTheme="minorBidi" w:hAnsiTheme="minorBidi" w:cstheme="minorBidi"/>
                <w:szCs w:val="24"/>
              </w:rPr>
              <w:t>In obstetrical emergencies where benefit-to-risk ratio favors surgical intervention</w:t>
            </w:r>
          </w:p>
          <w:p w14:paraId="60CEA678" w14:textId="77777777" w:rsidR="00CF68CD" w:rsidRPr="005B21FF" w:rsidRDefault="00CF68CD" w:rsidP="00CF68CD">
            <w:pPr>
              <w:pStyle w:val="ListParagraph"/>
              <w:numPr>
                <w:ilvl w:val="1"/>
                <w:numId w:val="12"/>
              </w:numPr>
              <w:spacing w:after="60"/>
              <w:ind w:left="702" w:hanging="270"/>
              <w:contextualSpacing w:val="0"/>
              <w:rPr>
                <w:rFonts w:asciiTheme="minorBidi" w:hAnsiTheme="minorBidi" w:cstheme="minorBidi"/>
                <w:szCs w:val="24"/>
              </w:rPr>
            </w:pPr>
            <w:r w:rsidRPr="005B21FF">
              <w:rPr>
                <w:rFonts w:asciiTheme="minorBidi" w:hAnsiTheme="minorBidi" w:cstheme="minorBidi"/>
                <w:szCs w:val="24"/>
              </w:rPr>
              <w:t>In fetal distress, where delivery is not imminent</w:t>
            </w:r>
          </w:p>
          <w:p w14:paraId="72D5388F" w14:textId="77777777" w:rsidR="00CF68CD" w:rsidRPr="005B21FF" w:rsidRDefault="00CF68CD" w:rsidP="00CF68CD">
            <w:pPr>
              <w:pStyle w:val="ListParagraph"/>
              <w:numPr>
                <w:ilvl w:val="1"/>
                <w:numId w:val="12"/>
              </w:numPr>
              <w:spacing w:after="60"/>
              <w:ind w:left="702" w:hanging="270"/>
              <w:contextualSpacing w:val="0"/>
              <w:rPr>
                <w:rFonts w:asciiTheme="minorBidi" w:hAnsiTheme="minorBidi" w:cstheme="minorBidi"/>
                <w:szCs w:val="24"/>
              </w:rPr>
            </w:pPr>
            <w:r w:rsidRPr="005B21FF">
              <w:rPr>
                <w:rFonts w:asciiTheme="minorBidi" w:hAnsiTheme="minorBidi" w:cstheme="minorBidi"/>
                <w:szCs w:val="24"/>
              </w:rPr>
              <w:t>Where adequate uterine activity fails to achieve satisfactory progress</w:t>
            </w:r>
          </w:p>
          <w:p w14:paraId="78E7C686" w14:textId="77777777" w:rsidR="00CF68CD" w:rsidRPr="005B21FF" w:rsidRDefault="00CF68CD" w:rsidP="00CF68CD">
            <w:pPr>
              <w:pStyle w:val="ListParagraph"/>
              <w:numPr>
                <w:ilvl w:val="1"/>
                <w:numId w:val="12"/>
              </w:numPr>
              <w:spacing w:after="60"/>
              <w:ind w:left="702" w:hanging="270"/>
              <w:contextualSpacing w:val="0"/>
              <w:rPr>
                <w:rFonts w:asciiTheme="minorBidi" w:hAnsiTheme="minorBidi" w:cstheme="minorBidi"/>
                <w:szCs w:val="24"/>
              </w:rPr>
            </w:pPr>
            <w:r w:rsidRPr="005B21FF">
              <w:rPr>
                <w:rFonts w:asciiTheme="minorBidi" w:hAnsiTheme="minorBidi" w:cstheme="minorBidi"/>
                <w:szCs w:val="24"/>
              </w:rPr>
              <w:t>Where the uterus is already hyperactive or hypertonic</w:t>
            </w:r>
          </w:p>
          <w:p w14:paraId="6EB7F731" w14:textId="77777777" w:rsidR="00CF68CD" w:rsidRPr="005B21FF" w:rsidRDefault="00CF68CD" w:rsidP="00CF68CD">
            <w:pPr>
              <w:pStyle w:val="ListParagraph"/>
              <w:numPr>
                <w:ilvl w:val="1"/>
                <w:numId w:val="12"/>
              </w:numPr>
              <w:spacing w:after="60"/>
              <w:ind w:left="702" w:hanging="270"/>
              <w:contextualSpacing w:val="0"/>
              <w:rPr>
                <w:rFonts w:asciiTheme="minorBidi" w:hAnsiTheme="minorBidi" w:cstheme="minorBidi"/>
                <w:szCs w:val="24"/>
              </w:rPr>
            </w:pPr>
            <w:r w:rsidRPr="005B21FF">
              <w:rPr>
                <w:rFonts w:asciiTheme="minorBidi" w:hAnsiTheme="minorBidi" w:cstheme="minorBidi"/>
                <w:szCs w:val="24"/>
              </w:rPr>
              <w:t>In cases where vaginal delivery is contraindicated: invasive cervical carcinoma, active herpes genitalis, total placenta previa, vasa previa, and cord presentation or prolapse</w:t>
            </w:r>
          </w:p>
          <w:p w14:paraId="2292FE06" w14:textId="77777777" w:rsidR="00CF68CD" w:rsidRPr="005B21FF" w:rsidRDefault="00CF68CD" w:rsidP="00CF68CD">
            <w:pPr>
              <w:pStyle w:val="ListParagraph"/>
              <w:numPr>
                <w:ilvl w:val="1"/>
                <w:numId w:val="12"/>
              </w:numPr>
              <w:spacing w:after="60"/>
              <w:ind w:left="702" w:hanging="270"/>
              <w:contextualSpacing w:val="0"/>
              <w:rPr>
                <w:rFonts w:asciiTheme="minorBidi" w:hAnsiTheme="minorBidi" w:cstheme="minorBidi"/>
                <w:szCs w:val="24"/>
              </w:rPr>
            </w:pPr>
            <w:r w:rsidRPr="005B21FF">
              <w:rPr>
                <w:rFonts w:asciiTheme="minorBidi" w:hAnsiTheme="minorBidi" w:cstheme="minorBidi"/>
                <w:szCs w:val="24"/>
              </w:rPr>
              <w:t>Hypersensitivity to the drug</w:t>
            </w:r>
          </w:p>
          <w:p w14:paraId="7C280351" w14:textId="21AD88DE" w:rsidR="00CF68CD" w:rsidRPr="005B21FF" w:rsidRDefault="00CF68CD" w:rsidP="00CF68CD">
            <w:pPr>
              <w:spacing w:after="60"/>
              <w:ind w:left="432"/>
              <w:rPr>
                <w:rFonts w:asciiTheme="minorBidi" w:hAnsiTheme="minorBidi" w:cstheme="minorBidi"/>
                <w:szCs w:val="24"/>
              </w:rPr>
            </w:pPr>
            <w:r w:rsidRPr="005B21FF">
              <w:rPr>
                <w:rFonts w:asciiTheme="minorBidi" w:hAnsiTheme="minorBidi" w:cstheme="minorBidi"/>
                <w:szCs w:val="24"/>
              </w:rPr>
              <w:t>In addition, professional organizations, guidelines, or evidence reviews may offer examples of maternal and fetal conditions that are contraindications for use</w:t>
            </w:r>
            <w:r w:rsidR="001330B0">
              <w:rPr>
                <w:rFonts w:asciiTheme="minorBidi" w:hAnsiTheme="minorBidi" w:cstheme="minorBidi"/>
                <w:szCs w:val="24"/>
              </w:rPr>
              <w:t>,</w:t>
            </w:r>
            <w:r w:rsidRPr="005B21FF">
              <w:rPr>
                <w:rFonts w:asciiTheme="minorBidi" w:hAnsiTheme="minorBidi" w:cstheme="minorBidi"/>
                <w:szCs w:val="24"/>
                <w:vertAlign w:val="superscript"/>
              </w:rPr>
              <w:t>6,7</w:t>
            </w:r>
            <w:r w:rsidR="00B93326">
              <w:rPr>
                <w:rFonts w:asciiTheme="minorBidi" w:hAnsiTheme="minorBidi" w:cstheme="minorBidi"/>
                <w:szCs w:val="24"/>
              </w:rPr>
              <w:t xml:space="preserve"> such as</w:t>
            </w:r>
            <w:r w:rsidRPr="005B21FF">
              <w:rPr>
                <w:rFonts w:asciiTheme="minorBidi" w:hAnsiTheme="minorBidi" w:cstheme="minorBidi"/>
                <w:szCs w:val="24"/>
              </w:rPr>
              <w:t xml:space="preserve"> fetal macrosomia, unfavorable bishop score, prior classical (vertical) </w:t>
            </w:r>
            <w:r w:rsidR="001330B0">
              <w:rPr>
                <w:rFonts w:asciiTheme="minorBidi" w:hAnsiTheme="minorBidi" w:cstheme="minorBidi"/>
                <w:szCs w:val="24"/>
              </w:rPr>
              <w:t>c</w:t>
            </w:r>
            <w:r w:rsidRPr="005B21FF">
              <w:rPr>
                <w:rFonts w:asciiTheme="minorBidi" w:hAnsiTheme="minorBidi" w:cstheme="minorBidi"/>
                <w:szCs w:val="24"/>
              </w:rPr>
              <w:t xml:space="preserve">esarean incision, </w:t>
            </w:r>
            <w:r w:rsidR="001330B0">
              <w:rPr>
                <w:rFonts w:asciiTheme="minorBidi" w:hAnsiTheme="minorBidi" w:cstheme="minorBidi"/>
                <w:szCs w:val="24"/>
              </w:rPr>
              <w:t xml:space="preserve">or </w:t>
            </w:r>
            <w:r w:rsidRPr="005B21FF">
              <w:rPr>
                <w:rFonts w:asciiTheme="minorBidi" w:hAnsiTheme="minorBidi" w:cstheme="minorBidi"/>
                <w:szCs w:val="24"/>
              </w:rPr>
              <w:t>previous myomectomy entering the endometrial cavity.</w:t>
            </w:r>
          </w:p>
          <w:p w14:paraId="26144425" w14:textId="77777777" w:rsidR="00CF68CD" w:rsidRPr="00CF68CD" w:rsidRDefault="00CF68CD" w:rsidP="00CF68CD">
            <w:pPr>
              <w:pStyle w:val="ListParagraph"/>
              <w:numPr>
                <w:ilvl w:val="0"/>
                <w:numId w:val="12"/>
              </w:numPr>
              <w:spacing w:after="60"/>
              <w:ind w:left="432" w:hanging="270"/>
            </w:pPr>
            <w:r w:rsidRPr="005B21FF">
              <w:rPr>
                <w:rFonts w:asciiTheme="minorBidi" w:hAnsiTheme="minorBidi" w:cstheme="minorBidi"/>
                <w:szCs w:val="24"/>
              </w:rPr>
              <w:t xml:space="preserve">Physician capable of performing a </w:t>
            </w:r>
            <w:r w:rsidR="001330B0">
              <w:rPr>
                <w:rFonts w:asciiTheme="minorBidi" w:hAnsiTheme="minorBidi" w:cstheme="minorBidi"/>
                <w:szCs w:val="24"/>
              </w:rPr>
              <w:t>c</w:t>
            </w:r>
            <w:r w:rsidRPr="005B21FF">
              <w:rPr>
                <w:rFonts w:asciiTheme="minorBidi" w:hAnsiTheme="minorBidi" w:cstheme="minorBidi"/>
                <w:szCs w:val="24"/>
              </w:rPr>
              <w:t>esarean delivery is readily available whenever oxytocin is administered.</w:t>
            </w:r>
          </w:p>
        </w:tc>
      </w:tr>
    </w:tbl>
    <w:p w14:paraId="6704586B" w14:textId="77777777" w:rsidR="00A56DB0" w:rsidRDefault="00A56DB0">
      <w:r>
        <w:br w:type="page"/>
      </w:r>
    </w:p>
    <w:p w14:paraId="081C2BB2" w14:textId="2C591881" w:rsidR="00CF68CD" w:rsidRDefault="00CF68CD" w:rsidP="00E46191">
      <w:pPr>
        <w:jc w:val="right"/>
      </w:pPr>
    </w:p>
    <w:p w14:paraId="710DCBBA" w14:textId="394D879F" w:rsidR="00A56DB0" w:rsidRDefault="00A56DB0" w:rsidP="00A56DB0">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pPr>
      <w:r>
        <w:rPr>
          <w:rFonts w:asciiTheme="minorBidi" w:hAnsiTheme="minorBidi"/>
          <w:b/>
          <w:i/>
          <w:szCs w:val="24"/>
        </w:rPr>
        <w:t xml:space="preserve">Standardize When Possible (CUSP </w:t>
      </w:r>
      <w:r w:rsidRPr="005B21FF">
        <w:rPr>
          <w:rFonts w:asciiTheme="minorBidi" w:hAnsiTheme="minorBidi"/>
          <w:b/>
          <w:i/>
          <w:szCs w:val="24"/>
        </w:rPr>
        <w:t>Science of Safety)</w:t>
      </w:r>
      <w:r>
        <w:rPr>
          <w:rFonts w:asciiTheme="minorBidi" w:hAnsiTheme="minorBidi"/>
          <w:b/>
          <w:i/>
          <w:szCs w:val="24"/>
        </w:rPr>
        <w:t xml:space="preserve"> (continued)</w:t>
      </w:r>
    </w:p>
    <w:tbl>
      <w:tblPr>
        <w:tblStyle w:val="TableGrid"/>
        <w:tblW w:w="9558" w:type="dxa"/>
        <w:tblLook w:val="04A0" w:firstRow="1" w:lastRow="0" w:firstColumn="1" w:lastColumn="0" w:noHBand="0" w:noVBand="1"/>
        <w:tblDescription w:val="Key Perinatal Safety Elements"/>
      </w:tblPr>
      <w:tblGrid>
        <w:gridCol w:w="3528"/>
        <w:gridCol w:w="6030"/>
      </w:tblGrid>
      <w:tr w:rsidR="00A56DB0" w:rsidRPr="005B21FF" w14:paraId="16FB87FC" w14:textId="77777777" w:rsidTr="00A56DB0">
        <w:trPr>
          <w:cantSplit/>
          <w:tblHeader/>
        </w:trPr>
        <w:tc>
          <w:tcPr>
            <w:tcW w:w="3528" w:type="dxa"/>
          </w:tcPr>
          <w:p w14:paraId="545F3734" w14:textId="77777777" w:rsidR="00A56DB0" w:rsidRPr="005B21FF" w:rsidRDefault="00A56DB0" w:rsidP="00232303">
            <w:pPr>
              <w:rPr>
                <w:rFonts w:asciiTheme="minorBidi" w:hAnsiTheme="minorBidi" w:cstheme="minorBidi"/>
                <w:b/>
                <w:szCs w:val="24"/>
              </w:rPr>
            </w:pPr>
            <w:r w:rsidRPr="005B21FF">
              <w:rPr>
                <w:rFonts w:asciiTheme="minorBidi" w:hAnsiTheme="minorBidi" w:cstheme="minorBidi"/>
                <w:b/>
                <w:szCs w:val="24"/>
              </w:rPr>
              <w:t>Key Perinatal Safety Elements</w:t>
            </w:r>
          </w:p>
        </w:tc>
        <w:tc>
          <w:tcPr>
            <w:tcW w:w="6030" w:type="dxa"/>
          </w:tcPr>
          <w:p w14:paraId="63D5AA84" w14:textId="77777777" w:rsidR="00A56DB0" w:rsidRPr="005B21FF" w:rsidRDefault="00A56DB0" w:rsidP="00232303">
            <w:pPr>
              <w:rPr>
                <w:rFonts w:asciiTheme="minorBidi" w:hAnsiTheme="minorBidi" w:cstheme="minorBidi"/>
                <w:b/>
                <w:szCs w:val="24"/>
              </w:rPr>
            </w:pPr>
            <w:r w:rsidRPr="005B21FF">
              <w:rPr>
                <w:rFonts w:asciiTheme="minorBidi" w:hAnsiTheme="minorBidi" w:cstheme="minorBidi"/>
                <w:b/>
                <w:szCs w:val="24"/>
              </w:rPr>
              <w:t>Examples</w:t>
            </w:r>
          </w:p>
        </w:tc>
      </w:tr>
      <w:tr w:rsidR="00A56DB0" w:rsidRPr="005B21FF" w14:paraId="39B1B034" w14:textId="77777777" w:rsidTr="00A56DB0">
        <w:trPr>
          <w:cantSplit/>
          <w:trHeight w:val="1025"/>
        </w:trPr>
        <w:tc>
          <w:tcPr>
            <w:tcW w:w="3528" w:type="dxa"/>
          </w:tcPr>
          <w:p w14:paraId="03F4D348" w14:textId="77777777" w:rsidR="00A56DB0" w:rsidRPr="005B21FF" w:rsidRDefault="00A56DB0" w:rsidP="00232303">
            <w:pPr>
              <w:rPr>
                <w:rFonts w:asciiTheme="minorBidi" w:hAnsiTheme="minorBidi" w:cstheme="minorBidi"/>
                <w:szCs w:val="24"/>
              </w:rPr>
            </w:pPr>
            <w:r w:rsidRPr="005B21FF">
              <w:rPr>
                <w:rFonts w:asciiTheme="minorBidi" w:hAnsiTheme="minorBidi" w:cstheme="minorBidi"/>
                <w:szCs w:val="24"/>
              </w:rPr>
              <w:t xml:space="preserve">Use a uniform mixed preparation unitwide for all patients to reduce variability and risk for error. </w:t>
            </w:r>
          </w:p>
        </w:tc>
        <w:tc>
          <w:tcPr>
            <w:tcW w:w="6030" w:type="dxa"/>
          </w:tcPr>
          <w:p w14:paraId="625A350A" w14:textId="77777777" w:rsidR="00A56DB0" w:rsidRPr="005B21FF" w:rsidRDefault="00A56DB0" w:rsidP="00232303">
            <w:pPr>
              <w:pStyle w:val="ListParagraph"/>
              <w:numPr>
                <w:ilvl w:val="0"/>
                <w:numId w:val="12"/>
              </w:numPr>
              <w:spacing w:after="60"/>
              <w:ind w:left="432" w:hanging="274"/>
              <w:contextualSpacing w:val="0"/>
              <w:rPr>
                <w:rFonts w:asciiTheme="minorBidi" w:hAnsiTheme="minorBidi" w:cstheme="minorBidi"/>
                <w:szCs w:val="24"/>
              </w:rPr>
            </w:pPr>
            <w:r w:rsidRPr="005B21FF">
              <w:rPr>
                <w:rFonts w:asciiTheme="minorBidi" w:hAnsiTheme="minorBidi" w:cstheme="minorBidi"/>
                <w:szCs w:val="24"/>
              </w:rPr>
              <w:t>A uniform mixed preparation of oxytocin for infusion is established and consistent</w:t>
            </w:r>
            <w:r>
              <w:rPr>
                <w:rFonts w:asciiTheme="minorBidi" w:hAnsiTheme="minorBidi" w:cstheme="minorBidi"/>
                <w:szCs w:val="24"/>
              </w:rPr>
              <w:t>ly used for all patients (e.g.,</w:t>
            </w:r>
            <w:r w:rsidRPr="005B21FF">
              <w:rPr>
                <w:rFonts w:asciiTheme="minorBidi" w:hAnsiTheme="minorBidi" w:cstheme="minorBidi"/>
                <w:szCs w:val="24"/>
              </w:rPr>
              <w:t>10 units/L).</w:t>
            </w:r>
          </w:p>
        </w:tc>
      </w:tr>
      <w:tr w:rsidR="00330094" w:rsidRPr="005B21FF" w14:paraId="610D4DE5" w14:textId="77777777" w:rsidTr="00A56DB0">
        <w:trPr>
          <w:cantSplit/>
        </w:trPr>
        <w:tc>
          <w:tcPr>
            <w:tcW w:w="3528" w:type="dxa"/>
          </w:tcPr>
          <w:p w14:paraId="3814C486" w14:textId="77777777" w:rsidR="00330094" w:rsidRPr="005B21FF" w:rsidRDefault="00330094" w:rsidP="00354BD4">
            <w:pPr>
              <w:rPr>
                <w:rFonts w:asciiTheme="minorBidi" w:hAnsiTheme="minorBidi" w:cstheme="minorBidi"/>
                <w:szCs w:val="24"/>
              </w:rPr>
            </w:pPr>
            <w:r w:rsidRPr="005B21FF">
              <w:rPr>
                <w:rFonts w:asciiTheme="minorBidi" w:hAnsiTheme="minorBidi" w:cstheme="minorBidi"/>
                <w:szCs w:val="24"/>
              </w:rPr>
              <w:t xml:space="preserve">Have two standard-dosing protocols available for use: a low-dose protocol and a high-dose protocol. </w:t>
            </w:r>
          </w:p>
        </w:tc>
        <w:tc>
          <w:tcPr>
            <w:tcW w:w="6030" w:type="dxa"/>
          </w:tcPr>
          <w:p w14:paraId="0FC40CDE" w14:textId="77777777" w:rsidR="00330094" w:rsidRPr="005B21FF" w:rsidRDefault="00330094" w:rsidP="00354BD4">
            <w:pPr>
              <w:pStyle w:val="ListParagraph"/>
              <w:numPr>
                <w:ilvl w:val="0"/>
                <w:numId w:val="12"/>
              </w:numPr>
              <w:spacing w:after="60"/>
              <w:ind w:left="432" w:hanging="274"/>
              <w:contextualSpacing w:val="0"/>
              <w:rPr>
                <w:rFonts w:asciiTheme="minorBidi" w:hAnsiTheme="minorBidi" w:cstheme="minorBidi"/>
                <w:szCs w:val="24"/>
              </w:rPr>
            </w:pPr>
            <w:r w:rsidRPr="005B21FF">
              <w:rPr>
                <w:rFonts w:asciiTheme="minorBidi" w:hAnsiTheme="minorBidi" w:cstheme="minorBidi"/>
                <w:szCs w:val="24"/>
              </w:rPr>
              <w:t>A standard dosing protocol (i.e., starting dose, incremental dose increase, frequency of increase, and maintenance dose) should be used consistently for all patients to reduce variability and risk of error.</w:t>
            </w:r>
            <w:r w:rsidRPr="005B21FF">
              <w:rPr>
                <w:rFonts w:asciiTheme="minorBidi" w:hAnsiTheme="minorBidi" w:cstheme="minorBidi"/>
                <w:szCs w:val="24"/>
                <w:vertAlign w:val="superscript"/>
              </w:rPr>
              <w:t xml:space="preserve">12 </w:t>
            </w:r>
          </w:p>
          <w:p w14:paraId="6F2E5F5C" w14:textId="6B4CFF1F" w:rsidR="00330094" w:rsidRPr="00466BA8" w:rsidRDefault="00330094" w:rsidP="008B43E4">
            <w:pPr>
              <w:pStyle w:val="ListParagraph"/>
              <w:numPr>
                <w:ilvl w:val="0"/>
                <w:numId w:val="12"/>
              </w:numPr>
              <w:ind w:left="432" w:hanging="270"/>
              <w:rPr>
                <w:rFonts w:eastAsia="Calibri"/>
                <w:bCs/>
                <w:szCs w:val="24"/>
              </w:rPr>
            </w:pPr>
            <w:r w:rsidRPr="00466BA8">
              <w:rPr>
                <w:rStyle w:val="Heading1Char"/>
                <w:rFonts w:eastAsia="Calibri"/>
                <w:b w:val="0"/>
                <w:szCs w:val="24"/>
              </w:rPr>
              <w:t>The risks and benefits of low- v</w:t>
            </w:r>
            <w:r w:rsidR="00125C73">
              <w:rPr>
                <w:rStyle w:val="Heading1Char"/>
                <w:rFonts w:eastAsia="Calibri"/>
                <w:b w:val="0"/>
                <w:szCs w:val="24"/>
              </w:rPr>
              <w:t>ersu</w:t>
            </w:r>
            <w:r w:rsidRPr="00466BA8">
              <w:rPr>
                <w:rStyle w:val="Heading1Char"/>
                <w:rFonts w:eastAsia="Calibri"/>
                <w:b w:val="0"/>
                <w:szCs w:val="24"/>
              </w:rPr>
              <w:t>s. high-dose oxytocin protocols remain an active area of research and debate.</w:t>
            </w:r>
            <w:r w:rsidRPr="00466BA8">
              <w:rPr>
                <w:rStyle w:val="Heading1Char"/>
                <w:rFonts w:eastAsia="Calibri"/>
                <w:b w:val="0"/>
                <w:szCs w:val="24"/>
                <w:vertAlign w:val="superscript"/>
              </w:rPr>
              <w:t>10,13,14</w:t>
            </w:r>
            <w:r w:rsidRPr="00466BA8">
              <w:rPr>
                <w:rStyle w:val="Heading1Char"/>
                <w:rFonts w:eastAsia="Calibri"/>
                <w:b w:val="0"/>
                <w:szCs w:val="24"/>
              </w:rPr>
              <w:t xml:space="preserve"> Both protocols may be appropriate, </w:t>
            </w:r>
            <w:r w:rsidR="00140467">
              <w:rPr>
                <w:rStyle w:val="Heading1Char"/>
                <w:rFonts w:eastAsia="Calibri"/>
                <w:b w:val="0"/>
                <w:szCs w:val="24"/>
              </w:rPr>
              <w:t>so</w:t>
            </w:r>
            <w:r w:rsidRPr="00466BA8">
              <w:rPr>
                <w:rStyle w:val="Heading1Char"/>
                <w:rFonts w:eastAsia="Calibri"/>
                <w:b w:val="0"/>
                <w:szCs w:val="24"/>
              </w:rPr>
              <w:t xml:space="preserve"> two standard dosing protocols may need to be defined, one for low-dose and one for high-dose oxytocin.</w:t>
            </w:r>
            <w:r w:rsidRPr="00466BA8">
              <w:rPr>
                <w:rStyle w:val="Heading1Char"/>
                <w:rFonts w:eastAsia="Calibri"/>
                <w:b w:val="0"/>
                <w:szCs w:val="24"/>
                <w:vertAlign w:val="superscript"/>
              </w:rPr>
              <w:t>6</w:t>
            </w:r>
            <w:r w:rsidRPr="00466BA8">
              <w:rPr>
                <w:rStyle w:val="Heading1Char"/>
                <w:rFonts w:eastAsia="Calibri"/>
                <w:b w:val="0"/>
                <w:szCs w:val="24"/>
              </w:rPr>
              <w:t xml:space="preserve"> Two sample dosing protocols are available in the Appendix of this tool. Other example dosing protocols are also available.</w:t>
            </w:r>
            <w:r w:rsidRPr="00466BA8">
              <w:rPr>
                <w:rStyle w:val="Heading1Char"/>
                <w:rFonts w:eastAsia="Calibri"/>
                <w:b w:val="0"/>
                <w:szCs w:val="24"/>
                <w:vertAlign w:val="superscript"/>
              </w:rPr>
              <w:t>15,16</w:t>
            </w:r>
            <w:r w:rsidRPr="00466BA8">
              <w:rPr>
                <w:rStyle w:val="Heading1Char"/>
                <w:rFonts w:eastAsia="Calibri"/>
                <w:szCs w:val="24"/>
              </w:rPr>
              <w:t xml:space="preserve"> </w:t>
            </w:r>
          </w:p>
        </w:tc>
      </w:tr>
      <w:tr w:rsidR="00330094" w:rsidRPr="005B21FF" w14:paraId="0AB28AAD" w14:textId="77777777" w:rsidTr="00A56DB0">
        <w:trPr>
          <w:cantSplit/>
        </w:trPr>
        <w:tc>
          <w:tcPr>
            <w:tcW w:w="3528" w:type="dxa"/>
          </w:tcPr>
          <w:p w14:paraId="56724599" w14:textId="77777777" w:rsidR="00330094" w:rsidRPr="005B21FF" w:rsidRDefault="00330094" w:rsidP="00354BD4">
            <w:pPr>
              <w:rPr>
                <w:rFonts w:asciiTheme="minorBidi" w:hAnsiTheme="minorBidi" w:cstheme="minorBidi"/>
                <w:szCs w:val="24"/>
              </w:rPr>
            </w:pPr>
            <w:r w:rsidRPr="005B21FF">
              <w:rPr>
                <w:rFonts w:asciiTheme="minorBidi" w:hAnsiTheme="minorBidi" w:cstheme="minorBidi"/>
                <w:szCs w:val="24"/>
              </w:rPr>
              <w:t>Use a calibrated infusion pump.</w:t>
            </w:r>
          </w:p>
        </w:tc>
        <w:tc>
          <w:tcPr>
            <w:tcW w:w="6030" w:type="dxa"/>
          </w:tcPr>
          <w:p w14:paraId="78E4DEA3" w14:textId="7F7D8533" w:rsidR="00330094" w:rsidRPr="005B21FF" w:rsidRDefault="00330094" w:rsidP="00354BD4">
            <w:pPr>
              <w:pStyle w:val="ListParagraph"/>
              <w:numPr>
                <w:ilvl w:val="0"/>
                <w:numId w:val="12"/>
              </w:numPr>
              <w:spacing w:after="60"/>
              <w:ind w:left="432" w:hanging="274"/>
              <w:contextualSpacing w:val="0"/>
              <w:rPr>
                <w:rFonts w:asciiTheme="minorBidi" w:hAnsiTheme="minorBidi" w:cstheme="minorBidi"/>
                <w:szCs w:val="24"/>
              </w:rPr>
            </w:pPr>
            <w:r w:rsidRPr="005B21FF">
              <w:rPr>
                <w:rFonts w:asciiTheme="minorBidi" w:hAnsiTheme="minorBidi" w:cstheme="minorBidi"/>
                <w:szCs w:val="24"/>
              </w:rPr>
              <w:t xml:space="preserve">Oxytocin line attached via calibrated infusion pump into the proximal port of the mainline </w:t>
            </w:r>
            <w:r w:rsidR="00144028">
              <w:rPr>
                <w:rFonts w:asciiTheme="minorBidi" w:hAnsiTheme="minorBidi" w:cstheme="minorBidi"/>
                <w:szCs w:val="24"/>
              </w:rPr>
              <w:t>intravenous (</w:t>
            </w:r>
            <w:r w:rsidRPr="005B21FF">
              <w:rPr>
                <w:rFonts w:asciiTheme="minorBidi" w:hAnsiTheme="minorBidi" w:cstheme="minorBidi"/>
                <w:szCs w:val="24"/>
              </w:rPr>
              <w:t>IV</w:t>
            </w:r>
            <w:r w:rsidR="00144028">
              <w:rPr>
                <w:rFonts w:asciiTheme="minorBidi" w:hAnsiTheme="minorBidi" w:cstheme="minorBidi"/>
                <w:szCs w:val="24"/>
              </w:rPr>
              <w:t>) line</w:t>
            </w:r>
            <w:r w:rsidRPr="005B21FF">
              <w:rPr>
                <w:rFonts w:asciiTheme="minorBidi" w:hAnsiTheme="minorBidi" w:cstheme="minorBidi"/>
                <w:szCs w:val="24"/>
              </w:rPr>
              <w:t>.</w:t>
            </w:r>
          </w:p>
          <w:p w14:paraId="7F3E0E2B" w14:textId="77777777" w:rsidR="00330094" w:rsidRPr="005B21FF" w:rsidRDefault="00330094" w:rsidP="00354BD4">
            <w:pPr>
              <w:pStyle w:val="ListParagraph"/>
              <w:numPr>
                <w:ilvl w:val="0"/>
                <w:numId w:val="12"/>
              </w:numPr>
              <w:spacing w:after="60"/>
              <w:ind w:left="432" w:hanging="274"/>
              <w:contextualSpacing w:val="0"/>
              <w:rPr>
                <w:rFonts w:asciiTheme="minorBidi" w:hAnsiTheme="minorBidi" w:cstheme="minorBidi"/>
                <w:szCs w:val="24"/>
              </w:rPr>
            </w:pPr>
            <w:r w:rsidRPr="005B21FF">
              <w:rPr>
                <w:rFonts w:asciiTheme="minorBidi" w:hAnsiTheme="minorBidi" w:cstheme="minorBidi"/>
                <w:szCs w:val="24"/>
              </w:rPr>
              <w:t xml:space="preserve">IV bag, tubing, and infusion pump labeled in a standard and consistent manner. </w:t>
            </w:r>
          </w:p>
        </w:tc>
      </w:tr>
      <w:tr w:rsidR="00330094" w:rsidRPr="005B21FF" w14:paraId="484A0C51" w14:textId="77777777" w:rsidTr="00A56DB0">
        <w:trPr>
          <w:cantSplit/>
        </w:trPr>
        <w:tc>
          <w:tcPr>
            <w:tcW w:w="3528" w:type="dxa"/>
          </w:tcPr>
          <w:p w14:paraId="7E7EB67B" w14:textId="77777777" w:rsidR="00330094" w:rsidRPr="005B21FF" w:rsidRDefault="00330094" w:rsidP="00354BD4">
            <w:pPr>
              <w:rPr>
                <w:rFonts w:asciiTheme="minorBidi" w:hAnsiTheme="minorBidi" w:cstheme="minorBidi"/>
                <w:szCs w:val="24"/>
              </w:rPr>
            </w:pPr>
            <w:r w:rsidRPr="005B21FF">
              <w:rPr>
                <w:rFonts w:asciiTheme="minorBidi" w:hAnsiTheme="minorBidi" w:cstheme="minorBidi"/>
                <w:szCs w:val="24"/>
              </w:rPr>
              <w:t>Use uniform parameters for maternal and fetal monitoring and provider notification prior to initiation of oxytocin and during infusion.</w:t>
            </w:r>
          </w:p>
        </w:tc>
        <w:tc>
          <w:tcPr>
            <w:tcW w:w="6030" w:type="dxa"/>
          </w:tcPr>
          <w:p w14:paraId="5E2B9042" w14:textId="77777777" w:rsidR="00330094" w:rsidRPr="005B21FF" w:rsidRDefault="00330094" w:rsidP="004B016A">
            <w:r w:rsidRPr="005B21FF">
              <w:t xml:space="preserve">The use of the same uniform parameters for fetal and maternal monitoring and provider notification before and during oxytocin use minimizes variability across providers and nursing staff in order to reduce the risk of error. </w:t>
            </w:r>
          </w:p>
        </w:tc>
      </w:tr>
      <w:tr w:rsidR="00330094" w:rsidRPr="005B21FF" w14:paraId="07B784A1" w14:textId="77777777" w:rsidTr="00A56DB0">
        <w:trPr>
          <w:cantSplit/>
        </w:trPr>
        <w:tc>
          <w:tcPr>
            <w:tcW w:w="3528" w:type="dxa"/>
          </w:tcPr>
          <w:p w14:paraId="5BC75F2F" w14:textId="77777777" w:rsidR="00330094" w:rsidRPr="005B21FF" w:rsidRDefault="00330094" w:rsidP="00354BD4">
            <w:pPr>
              <w:rPr>
                <w:rFonts w:asciiTheme="minorBidi" w:hAnsiTheme="minorBidi" w:cstheme="minorBidi"/>
                <w:szCs w:val="24"/>
              </w:rPr>
            </w:pPr>
            <w:r w:rsidRPr="005B21FF">
              <w:rPr>
                <w:rFonts w:asciiTheme="minorBidi" w:hAnsiTheme="minorBidi" w:cstheme="minorBidi"/>
                <w:szCs w:val="24"/>
              </w:rPr>
              <w:t>Use standard National Institute of Child Health and Human Development (NICHD) nomenclature to document and communicate fetal monitoring findings.</w:t>
            </w:r>
          </w:p>
        </w:tc>
        <w:tc>
          <w:tcPr>
            <w:tcW w:w="6030" w:type="dxa"/>
          </w:tcPr>
          <w:p w14:paraId="0A9B6D29" w14:textId="77777777" w:rsidR="00330094" w:rsidRPr="005B21FF" w:rsidRDefault="00330094" w:rsidP="00E93A01">
            <w:r w:rsidRPr="005B21FF">
              <w:t>The use of standard NICHD nomenclature</w:t>
            </w:r>
            <w:r w:rsidRPr="005B21FF">
              <w:rPr>
                <w:vertAlign w:val="superscript"/>
              </w:rPr>
              <w:t>17,18,19</w:t>
            </w:r>
            <w:r w:rsidRPr="005B21FF">
              <w:t xml:space="preserve"> reduces confusion and risk of error. Units can use cognitive aids at the bedside, internal training, </w:t>
            </w:r>
            <w:r w:rsidR="00466BA8">
              <w:t xml:space="preserve">and </w:t>
            </w:r>
            <w:r w:rsidRPr="005B21FF">
              <w:t xml:space="preserve">external certification courses to ensure staff knowledge and skills with respect to interpreting fetal heart rate (FHR) patterns using NICHD nomenclature. </w:t>
            </w:r>
          </w:p>
        </w:tc>
      </w:tr>
    </w:tbl>
    <w:p w14:paraId="2667D9F3" w14:textId="77777777" w:rsidR="00DC1BB6" w:rsidRDefault="00DC1BB6" w:rsidP="00330094">
      <w:pPr>
        <w:spacing w:after="0"/>
        <w:rPr>
          <w:sz w:val="12"/>
          <w:szCs w:val="12"/>
        </w:rPr>
      </w:pPr>
    </w:p>
    <w:p w14:paraId="7921015C" w14:textId="77777777" w:rsidR="00DC1BB6" w:rsidRDefault="00DC1BB6" w:rsidP="00DC1BB6">
      <w:r>
        <w:br w:type="page"/>
      </w:r>
    </w:p>
    <w:p w14:paraId="023E2E92" w14:textId="75CF0378" w:rsidR="00330094" w:rsidRDefault="00330094" w:rsidP="00330094">
      <w:pPr>
        <w:spacing w:after="0"/>
        <w:rPr>
          <w:sz w:val="12"/>
          <w:szCs w:val="12"/>
        </w:rPr>
      </w:pPr>
    </w:p>
    <w:p w14:paraId="21C51ABE" w14:textId="219FA026" w:rsidR="00A56DB0" w:rsidRPr="00573E3F" w:rsidRDefault="00A56DB0" w:rsidP="00A56DB0">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sz w:val="12"/>
          <w:szCs w:val="12"/>
        </w:rPr>
      </w:pPr>
      <w:r>
        <w:rPr>
          <w:rFonts w:asciiTheme="minorBidi" w:hAnsiTheme="minorBidi"/>
          <w:b/>
          <w:i/>
          <w:szCs w:val="24"/>
        </w:rPr>
        <w:t xml:space="preserve">Create Independent Checks (CUSP </w:t>
      </w:r>
      <w:r w:rsidRPr="005B21FF">
        <w:rPr>
          <w:rFonts w:asciiTheme="minorBidi" w:hAnsiTheme="minorBidi"/>
          <w:b/>
          <w:i/>
          <w:szCs w:val="24"/>
        </w:rPr>
        <w:t>Science of Safety)</w:t>
      </w:r>
    </w:p>
    <w:tbl>
      <w:tblPr>
        <w:tblStyle w:val="TableGrid"/>
        <w:tblW w:w="9558" w:type="dxa"/>
        <w:tblLook w:val="04A0" w:firstRow="1" w:lastRow="0" w:firstColumn="1" w:lastColumn="0" w:noHBand="0" w:noVBand="1"/>
        <w:tblDescription w:val="Key Perinatal Safety Elements"/>
      </w:tblPr>
      <w:tblGrid>
        <w:gridCol w:w="3528"/>
        <w:gridCol w:w="6030"/>
      </w:tblGrid>
      <w:tr w:rsidR="00330094" w:rsidRPr="005B21FF" w14:paraId="356CBF04" w14:textId="77777777" w:rsidTr="00A56DB0">
        <w:trPr>
          <w:cantSplit/>
          <w:tblHeader/>
        </w:trPr>
        <w:tc>
          <w:tcPr>
            <w:tcW w:w="3528" w:type="dxa"/>
          </w:tcPr>
          <w:p w14:paraId="1150B31D" w14:textId="77777777" w:rsidR="00330094" w:rsidRPr="005B21FF" w:rsidRDefault="00330094" w:rsidP="00354BD4">
            <w:pPr>
              <w:keepNext/>
              <w:rPr>
                <w:rFonts w:asciiTheme="minorBidi" w:hAnsiTheme="minorBidi" w:cstheme="minorBidi"/>
                <w:b/>
                <w:szCs w:val="24"/>
              </w:rPr>
            </w:pPr>
            <w:r w:rsidRPr="005B21FF">
              <w:rPr>
                <w:rFonts w:asciiTheme="minorBidi" w:hAnsiTheme="minorBidi" w:cstheme="minorBidi"/>
                <w:b/>
                <w:szCs w:val="24"/>
              </w:rPr>
              <w:t>Key Perinatal Safety Elements</w:t>
            </w:r>
          </w:p>
        </w:tc>
        <w:tc>
          <w:tcPr>
            <w:tcW w:w="6030" w:type="dxa"/>
          </w:tcPr>
          <w:p w14:paraId="5FF42CEF" w14:textId="77777777" w:rsidR="00330094" w:rsidRPr="005B21FF" w:rsidRDefault="00330094" w:rsidP="00354BD4">
            <w:pPr>
              <w:keepNext/>
              <w:rPr>
                <w:rFonts w:asciiTheme="minorBidi" w:hAnsiTheme="minorBidi" w:cstheme="minorBidi"/>
                <w:b/>
                <w:szCs w:val="24"/>
              </w:rPr>
            </w:pPr>
            <w:r w:rsidRPr="005B21FF">
              <w:rPr>
                <w:rFonts w:asciiTheme="minorBidi" w:hAnsiTheme="minorBidi" w:cstheme="minorBidi"/>
                <w:b/>
                <w:szCs w:val="24"/>
              </w:rPr>
              <w:t>Examples</w:t>
            </w:r>
          </w:p>
        </w:tc>
      </w:tr>
      <w:tr w:rsidR="00DC1BB6" w:rsidRPr="005B21FF" w14:paraId="1D31B74F" w14:textId="77777777" w:rsidTr="00A56DB0">
        <w:trPr>
          <w:cantSplit/>
          <w:trHeight w:val="2858"/>
        </w:trPr>
        <w:tc>
          <w:tcPr>
            <w:tcW w:w="3528" w:type="dxa"/>
          </w:tcPr>
          <w:p w14:paraId="27E8CF67" w14:textId="77777777" w:rsidR="00DC1BB6" w:rsidRPr="005B21FF" w:rsidRDefault="00DC1BB6" w:rsidP="00DC1BB6">
            <w:pPr>
              <w:rPr>
                <w:rFonts w:asciiTheme="minorBidi" w:hAnsiTheme="minorBidi" w:cstheme="minorBidi"/>
                <w:szCs w:val="24"/>
              </w:rPr>
            </w:pPr>
            <w:r w:rsidRPr="005B21FF">
              <w:rPr>
                <w:rFonts w:asciiTheme="minorBidi" w:hAnsiTheme="minorBidi" w:cstheme="minorBidi"/>
                <w:szCs w:val="24"/>
              </w:rPr>
              <w:t>Assess appropriateness of medication use in patient by staff other than the ordering provider.</w:t>
            </w:r>
          </w:p>
        </w:tc>
        <w:tc>
          <w:tcPr>
            <w:tcW w:w="6030" w:type="dxa"/>
          </w:tcPr>
          <w:p w14:paraId="296958D1" w14:textId="77777777" w:rsidR="00DC1BB6" w:rsidRPr="005B21FF" w:rsidRDefault="00DC1BB6" w:rsidP="00354BD4">
            <w:pPr>
              <w:spacing w:after="60"/>
              <w:rPr>
                <w:rFonts w:asciiTheme="minorBidi" w:hAnsiTheme="minorBidi" w:cstheme="minorBidi"/>
                <w:szCs w:val="24"/>
              </w:rPr>
            </w:pPr>
            <w:r w:rsidRPr="005B21FF">
              <w:rPr>
                <w:rFonts w:asciiTheme="minorBidi" w:hAnsiTheme="minorBidi" w:cstheme="minorBidi"/>
                <w:szCs w:val="24"/>
              </w:rPr>
              <w:t xml:space="preserve">An independent verification of indications and maternal and fetal status per unit-established standard criteria is recommended to minimize use in cases where risk may exceed benefit. </w:t>
            </w:r>
          </w:p>
          <w:p w14:paraId="49811ED2" w14:textId="77777777" w:rsidR="00DC1BB6" w:rsidRPr="005B21FF" w:rsidRDefault="00DC1BB6" w:rsidP="00354BD4">
            <w:pPr>
              <w:pStyle w:val="ListParagraph"/>
              <w:numPr>
                <w:ilvl w:val="0"/>
                <w:numId w:val="12"/>
              </w:numPr>
              <w:spacing w:after="60"/>
              <w:ind w:left="432" w:hanging="274"/>
              <w:contextualSpacing w:val="0"/>
              <w:rPr>
                <w:rFonts w:asciiTheme="minorBidi" w:hAnsiTheme="minorBidi" w:cstheme="minorBidi"/>
                <w:szCs w:val="24"/>
              </w:rPr>
            </w:pPr>
            <w:r w:rsidRPr="005B21FF">
              <w:rPr>
                <w:rFonts w:asciiTheme="minorBidi" w:hAnsiTheme="minorBidi" w:cstheme="minorBidi"/>
                <w:szCs w:val="24"/>
              </w:rPr>
              <w:t>Indications for use (e.g., medical induction, labor augmentation)</w:t>
            </w:r>
          </w:p>
          <w:p w14:paraId="79883068" w14:textId="77777777" w:rsidR="00DC1BB6" w:rsidRPr="00E46191" w:rsidRDefault="00DC1BB6" w:rsidP="00E46191">
            <w:pPr>
              <w:pStyle w:val="ListParagraph"/>
              <w:numPr>
                <w:ilvl w:val="0"/>
                <w:numId w:val="12"/>
              </w:numPr>
              <w:spacing w:after="60"/>
              <w:ind w:left="432" w:hanging="274"/>
              <w:contextualSpacing w:val="0"/>
              <w:rPr>
                <w:rFonts w:asciiTheme="minorBidi" w:hAnsiTheme="minorBidi" w:cstheme="minorBidi"/>
                <w:szCs w:val="24"/>
              </w:rPr>
            </w:pPr>
            <w:r w:rsidRPr="005B21FF">
              <w:rPr>
                <w:rFonts w:asciiTheme="minorBidi" w:hAnsiTheme="minorBidi" w:cstheme="minorBidi"/>
                <w:szCs w:val="24"/>
              </w:rPr>
              <w:t>Contraindications for use</w:t>
            </w:r>
          </w:p>
          <w:p w14:paraId="78B608FA" w14:textId="77777777" w:rsidR="00DC1BB6" w:rsidRPr="005B21FF" w:rsidRDefault="00DC1BB6" w:rsidP="00E46191">
            <w:pPr>
              <w:pStyle w:val="ListParagraph"/>
              <w:numPr>
                <w:ilvl w:val="0"/>
                <w:numId w:val="12"/>
              </w:numPr>
              <w:spacing w:after="60"/>
              <w:ind w:left="432" w:hanging="274"/>
              <w:contextualSpacing w:val="0"/>
              <w:rPr>
                <w:rFonts w:asciiTheme="minorBidi" w:hAnsiTheme="minorBidi" w:cstheme="minorBidi"/>
                <w:szCs w:val="24"/>
              </w:rPr>
            </w:pPr>
            <w:r w:rsidRPr="005B21FF">
              <w:rPr>
                <w:rFonts w:asciiTheme="minorBidi" w:hAnsiTheme="minorBidi" w:cstheme="minorBidi"/>
                <w:szCs w:val="24"/>
              </w:rPr>
              <w:t>Maternal status prior to initiation</w:t>
            </w:r>
            <w:r w:rsidR="00B93326">
              <w:rPr>
                <w:rFonts w:asciiTheme="minorBidi" w:hAnsiTheme="minorBidi" w:cstheme="minorBidi"/>
                <w:szCs w:val="24"/>
              </w:rPr>
              <w:t>, such as cervical status</w:t>
            </w:r>
          </w:p>
          <w:p w14:paraId="7A83611E" w14:textId="47F17E2D" w:rsidR="00DC1BB6" w:rsidRPr="00E46191" w:rsidRDefault="00DC1BB6" w:rsidP="00E46191">
            <w:pPr>
              <w:pStyle w:val="ListParagraph"/>
              <w:numPr>
                <w:ilvl w:val="0"/>
                <w:numId w:val="12"/>
              </w:numPr>
              <w:spacing w:after="60"/>
              <w:ind w:left="432" w:hanging="274"/>
              <w:rPr>
                <w:rFonts w:asciiTheme="minorBidi" w:hAnsiTheme="minorBidi" w:cstheme="minorBidi"/>
                <w:szCs w:val="24"/>
              </w:rPr>
            </w:pPr>
            <w:r w:rsidRPr="005B21FF">
              <w:rPr>
                <w:rFonts w:asciiTheme="minorBidi" w:hAnsiTheme="minorBidi" w:cstheme="minorBidi"/>
                <w:szCs w:val="24"/>
              </w:rPr>
              <w:t>Fetal status prior to initiation</w:t>
            </w:r>
            <w:r w:rsidR="00B93326">
              <w:rPr>
                <w:rFonts w:asciiTheme="minorBidi" w:hAnsiTheme="minorBidi" w:cstheme="minorBidi"/>
                <w:szCs w:val="24"/>
              </w:rPr>
              <w:t>, such as fetal presentation and station</w:t>
            </w:r>
            <w:r w:rsidR="00FE372C">
              <w:rPr>
                <w:rFonts w:asciiTheme="minorBidi" w:hAnsiTheme="minorBidi" w:cstheme="minorBidi"/>
                <w:szCs w:val="24"/>
              </w:rPr>
              <w:t>,</w:t>
            </w:r>
            <w:r w:rsidR="00B93326">
              <w:rPr>
                <w:rFonts w:asciiTheme="minorBidi" w:hAnsiTheme="minorBidi" w:cstheme="minorBidi"/>
                <w:szCs w:val="24"/>
              </w:rPr>
              <w:t xml:space="preserve"> and baseline FHR</w:t>
            </w:r>
          </w:p>
        </w:tc>
      </w:tr>
      <w:tr w:rsidR="00330094" w:rsidRPr="005B21FF" w14:paraId="063A269E" w14:textId="77777777" w:rsidTr="00A56DB0">
        <w:trPr>
          <w:cantSplit/>
          <w:trHeight w:val="125"/>
        </w:trPr>
        <w:tc>
          <w:tcPr>
            <w:tcW w:w="3528" w:type="dxa"/>
          </w:tcPr>
          <w:p w14:paraId="17520B79" w14:textId="77777777" w:rsidR="00330094" w:rsidRPr="005B21FF" w:rsidRDefault="00330094" w:rsidP="00466BA8">
            <w:pPr>
              <w:rPr>
                <w:rFonts w:asciiTheme="minorBidi" w:hAnsiTheme="minorBidi" w:cstheme="minorBidi"/>
                <w:szCs w:val="24"/>
              </w:rPr>
            </w:pPr>
            <w:r w:rsidRPr="005B21FF">
              <w:rPr>
                <w:rFonts w:asciiTheme="minorBidi" w:hAnsiTheme="minorBidi" w:cstheme="minorBidi"/>
                <w:szCs w:val="24"/>
              </w:rPr>
              <w:t xml:space="preserve">Use </w:t>
            </w:r>
            <w:r w:rsidR="00466BA8">
              <w:rPr>
                <w:rFonts w:asciiTheme="minorBidi" w:hAnsiTheme="minorBidi" w:cstheme="minorBidi"/>
                <w:szCs w:val="24"/>
              </w:rPr>
              <w:t>unit-established</w:t>
            </w:r>
            <w:r w:rsidRPr="005B21FF">
              <w:rPr>
                <w:rFonts w:asciiTheme="minorBidi" w:hAnsiTheme="minorBidi" w:cstheme="minorBidi"/>
                <w:szCs w:val="24"/>
              </w:rPr>
              <w:t xml:space="preserve"> parameters for maternal and fetal monitoring at regular intervals.</w:t>
            </w:r>
          </w:p>
        </w:tc>
        <w:tc>
          <w:tcPr>
            <w:tcW w:w="6030" w:type="dxa"/>
          </w:tcPr>
          <w:p w14:paraId="418ED628" w14:textId="77777777" w:rsidR="00330094" w:rsidRPr="005B21FF" w:rsidRDefault="00330094" w:rsidP="00354BD4">
            <w:pPr>
              <w:rPr>
                <w:rFonts w:asciiTheme="minorBidi" w:hAnsiTheme="minorBidi" w:cstheme="minorBidi"/>
                <w:szCs w:val="24"/>
              </w:rPr>
            </w:pPr>
            <w:r w:rsidRPr="005B21FF">
              <w:rPr>
                <w:rFonts w:asciiTheme="minorBidi" w:hAnsiTheme="minorBidi" w:cstheme="minorBidi"/>
                <w:szCs w:val="24"/>
              </w:rPr>
              <w:t xml:space="preserve">Use unit-established uniform parameters and specified regular time intervals for maternal and fetal monitoring to identify changes in status requiring alteration in management. Such parameters might include the following: </w:t>
            </w:r>
          </w:p>
          <w:p w14:paraId="1FBA9506" w14:textId="77777777" w:rsidR="00330094" w:rsidRPr="005B21FF" w:rsidRDefault="00330094" w:rsidP="00330094">
            <w:pPr>
              <w:pStyle w:val="ListParagraph"/>
              <w:numPr>
                <w:ilvl w:val="0"/>
                <w:numId w:val="21"/>
              </w:numPr>
              <w:spacing w:after="200"/>
              <w:ind w:left="432" w:hanging="270"/>
              <w:rPr>
                <w:rFonts w:asciiTheme="minorBidi" w:hAnsiTheme="minorBidi" w:cstheme="minorBidi"/>
                <w:szCs w:val="24"/>
              </w:rPr>
            </w:pPr>
            <w:r w:rsidRPr="005B21FF">
              <w:rPr>
                <w:rFonts w:asciiTheme="minorBidi" w:hAnsiTheme="minorBidi" w:cstheme="minorBidi"/>
                <w:i/>
                <w:szCs w:val="24"/>
              </w:rPr>
              <w:t xml:space="preserve">Maternal </w:t>
            </w:r>
            <w:r w:rsidR="00860D14">
              <w:rPr>
                <w:rFonts w:asciiTheme="minorBidi" w:hAnsiTheme="minorBidi" w:cstheme="minorBidi"/>
                <w:i/>
                <w:szCs w:val="24"/>
              </w:rPr>
              <w:t>a</w:t>
            </w:r>
            <w:r w:rsidRPr="005B21FF">
              <w:rPr>
                <w:rFonts w:asciiTheme="minorBidi" w:hAnsiTheme="minorBidi" w:cstheme="minorBidi"/>
                <w:i/>
                <w:szCs w:val="24"/>
              </w:rPr>
              <w:t xml:space="preserve">ssessment </w:t>
            </w:r>
            <w:r w:rsidR="00860D14">
              <w:rPr>
                <w:rFonts w:asciiTheme="minorBidi" w:hAnsiTheme="minorBidi" w:cstheme="minorBidi"/>
                <w:i/>
                <w:szCs w:val="24"/>
              </w:rPr>
              <w:t>p</w:t>
            </w:r>
            <w:r w:rsidRPr="005B21FF">
              <w:rPr>
                <w:rFonts w:asciiTheme="minorBidi" w:hAnsiTheme="minorBidi" w:cstheme="minorBidi"/>
                <w:i/>
                <w:szCs w:val="24"/>
              </w:rPr>
              <w:t xml:space="preserve">rior to </w:t>
            </w:r>
            <w:r w:rsidR="00860D14">
              <w:rPr>
                <w:rFonts w:asciiTheme="minorBidi" w:hAnsiTheme="minorBidi" w:cstheme="minorBidi"/>
                <w:i/>
                <w:szCs w:val="24"/>
              </w:rPr>
              <w:t>i</w:t>
            </w:r>
            <w:r w:rsidRPr="005B21FF">
              <w:rPr>
                <w:rFonts w:asciiTheme="minorBidi" w:hAnsiTheme="minorBidi" w:cstheme="minorBidi"/>
                <w:i/>
                <w:szCs w:val="24"/>
              </w:rPr>
              <w:t>nitiation</w:t>
            </w:r>
            <w:r w:rsidRPr="005B21FF">
              <w:rPr>
                <w:rFonts w:asciiTheme="minorBidi" w:hAnsiTheme="minorBidi" w:cstheme="minorBidi"/>
                <w:szCs w:val="24"/>
              </w:rPr>
              <w:t>: cervical status (effacement, dilation, cervical ripening devices removed for specified period of time, etc.), vital signs, tocography including resting tone, abdominal signs and symptoms, vaginal bleeding</w:t>
            </w:r>
          </w:p>
          <w:p w14:paraId="53F3CE83" w14:textId="77777777" w:rsidR="00330094" w:rsidRPr="005B21FF" w:rsidRDefault="00330094" w:rsidP="00330094">
            <w:pPr>
              <w:pStyle w:val="ListParagraph"/>
              <w:numPr>
                <w:ilvl w:val="0"/>
                <w:numId w:val="21"/>
              </w:numPr>
              <w:spacing w:after="200"/>
              <w:ind w:left="432" w:hanging="270"/>
              <w:rPr>
                <w:rFonts w:asciiTheme="minorBidi" w:hAnsiTheme="minorBidi" w:cstheme="minorBidi"/>
                <w:szCs w:val="24"/>
              </w:rPr>
            </w:pPr>
            <w:r w:rsidRPr="005B21FF">
              <w:rPr>
                <w:rFonts w:asciiTheme="minorBidi" w:hAnsiTheme="minorBidi" w:cstheme="minorBidi"/>
                <w:i/>
                <w:szCs w:val="24"/>
              </w:rPr>
              <w:t xml:space="preserve">Fetal </w:t>
            </w:r>
            <w:r w:rsidR="00860D14">
              <w:rPr>
                <w:rFonts w:asciiTheme="minorBidi" w:hAnsiTheme="minorBidi" w:cstheme="minorBidi"/>
                <w:i/>
                <w:szCs w:val="24"/>
              </w:rPr>
              <w:t>a</w:t>
            </w:r>
            <w:r w:rsidRPr="005B21FF">
              <w:rPr>
                <w:rFonts w:asciiTheme="minorBidi" w:hAnsiTheme="minorBidi" w:cstheme="minorBidi"/>
                <w:i/>
                <w:szCs w:val="24"/>
              </w:rPr>
              <w:t xml:space="preserve">ssessment </w:t>
            </w:r>
            <w:r w:rsidR="00860D14">
              <w:rPr>
                <w:rFonts w:asciiTheme="minorBidi" w:hAnsiTheme="minorBidi" w:cstheme="minorBidi"/>
                <w:i/>
                <w:szCs w:val="24"/>
              </w:rPr>
              <w:t>p</w:t>
            </w:r>
            <w:r w:rsidRPr="005B21FF">
              <w:rPr>
                <w:rFonts w:asciiTheme="minorBidi" w:hAnsiTheme="minorBidi" w:cstheme="minorBidi"/>
                <w:i/>
                <w:szCs w:val="24"/>
              </w:rPr>
              <w:t xml:space="preserve">rior to </w:t>
            </w:r>
            <w:r w:rsidR="00860D14">
              <w:rPr>
                <w:rFonts w:asciiTheme="minorBidi" w:hAnsiTheme="minorBidi" w:cstheme="minorBidi"/>
                <w:i/>
                <w:szCs w:val="24"/>
              </w:rPr>
              <w:t>i</w:t>
            </w:r>
            <w:r w:rsidRPr="005B21FF">
              <w:rPr>
                <w:rFonts w:asciiTheme="minorBidi" w:hAnsiTheme="minorBidi" w:cstheme="minorBidi"/>
                <w:i/>
                <w:szCs w:val="24"/>
              </w:rPr>
              <w:t>nitiation</w:t>
            </w:r>
            <w:r w:rsidRPr="005B21FF">
              <w:rPr>
                <w:rFonts w:asciiTheme="minorBidi" w:hAnsiTheme="minorBidi" w:cstheme="minorBidi"/>
                <w:szCs w:val="24"/>
              </w:rPr>
              <w:t xml:space="preserve">: </w:t>
            </w:r>
            <w:r w:rsidR="00860D14">
              <w:rPr>
                <w:rFonts w:asciiTheme="minorBidi" w:hAnsiTheme="minorBidi" w:cstheme="minorBidi"/>
                <w:szCs w:val="24"/>
              </w:rPr>
              <w:t>b</w:t>
            </w:r>
            <w:r w:rsidRPr="005B21FF">
              <w:rPr>
                <w:rFonts w:asciiTheme="minorBidi" w:hAnsiTheme="minorBidi" w:cstheme="minorBidi"/>
                <w:szCs w:val="24"/>
              </w:rPr>
              <w:t xml:space="preserve">aseline </w:t>
            </w:r>
            <w:r w:rsidR="004723A1">
              <w:rPr>
                <w:rFonts w:asciiTheme="minorBidi" w:hAnsiTheme="minorBidi" w:cstheme="minorBidi"/>
                <w:szCs w:val="24"/>
              </w:rPr>
              <w:t xml:space="preserve">electronic fetal monitoring </w:t>
            </w:r>
            <w:r w:rsidRPr="005B21FF">
              <w:rPr>
                <w:rFonts w:asciiTheme="minorBidi" w:hAnsiTheme="minorBidi" w:cstheme="minorBidi"/>
                <w:szCs w:val="24"/>
              </w:rPr>
              <w:t>tracing, assessment of fetal presentation and station</w:t>
            </w:r>
          </w:p>
          <w:p w14:paraId="4B464E6E" w14:textId="36B59BA3" w:rsidR="00330094" w:rsidRPr="005B21FF" w:rsidRDefault="00330094" w:rsidP="00330094">
            <w:pPr>
              <w:pStyle w:val="ListParagraph"/>
              <w:numPr>
                <w:ilvl w:val="0"/>
                <w:numId w:val="21"/>
              </w:numPr>
              <w:spacing w:after="200"/>
              <w:ind w:left="432" w:hanging="270"/>
              <w:rPr>
                <w:rFonts w:asciiTheme="minorBidi" w:hAnsiTheme="minorBidi" w:cstheme="minorBidi"/>
                <w:szCs w:val="24"/>
              </w:rPr>
            </w:pPr>
            <w:r w:rsidRPr="005B21FF">
              <w:rPr>
                <w:rFonts w:asciiTheme="minorBidi" w:hAnsiTheme="minorBidi" w:cstheme="minorBidi"/>
                <w:i/>
                <w:szCs w:val="24"/>
              </w:rPr>
              <w:t xml:space="preserve">Maternal </w:t>
            </w:r>
            <w:r w:rsidR="00860D14">
              <w:rPr>
                <w:rFonts w:asciiTheme="minorBidi" w:hAnsiTheme="minorBidi" w:cstheme="minorBidi"/>
                <w:i/>
                <w:szCs w:val="24"/>
              </w:rPr>
              <w:t>a</w:t>
            </w:r>
            <w:r w:rsidRPr="005B21FF">
              <w:rPr>
                <w:rFonts w:asciiTheme="minorBidi" w:hAnsiTheme="minorBidi" w:cstheme="minorBidi"/>
                <w:i/>
                <w:szCs w:val="24"/>
              </w:rPr>
              <w:t xml:space="preserve">ssessment </w:t>
            </w:r>
            <w:r w:rsidR="00860D14">
              <w:rPr>
                <w:rFonts w:asciiTheme="minorBidi" w:hAnsiTheme="minorBidi" w:cstheme="minorBidi"/>
                <w:i/>
                <w:szCs w:val="24"/>
              </w:rPr>
              <w:t>d</w:t>
            </w:r>
            <w:r w:rsidRPr="005B21FF">
              <w:rPr>
                <w:rFonts w:asciiTheme="minorBidi" w:hAnsiTheme="minorBidi" w:cstheme="minorBidi"/>
                <w:i/>
                <w:szCs w:val="24"/>
              </w:rPr>
              <w:t xml:space="preserve">uring </w:t>
            </w:r>
            <w:r w:rsidR="00860D14">
              <w:rPr>
                <w:rFonts w:asciiTheme="minorBidi" w:hAnsiTheme="minorBidi" w:cstheme="minorBidi"/>
                <w:i/>
                <w:szCs w:val="24"/>
              </w:rPr>
              <w:t>i</w:t>
            </w:r>
            <w:r w:rsidRPr="005B21FF">
              <w:rPr>
                <w:rFonts w:asciiTheme="minorBidi" w:hAnsiTheme="minorBidi" w:cstheme="minorBidi"/>
                <w:i/>
                <w:szCs w:val="24"/>
              </w:rPr>
              <w:t>nfusion</w:t>
            </w:r>
            <w:r w:rsidRPr="005B21FF">
              <w:rPr>
                <w:rFonts w:asciiTheme="minorBidi" w:hAnsiTheme="minorBidi" w:cstheme="minorBidi"/>
                <w:szCs w:val="24"/>
              </w:rPr>
              <w:t>: vital signs; fluid intake/output; tocography, including resting tone</w:t>
            </w:r>
            <w:r w:rsidR="008B43E4">
              <w:rPr>
                <w:rFonts w:asciiTheme="minorBidi" w:hAnsiTheme="minorBidi" w:cstheme="minorBidi"/>
                <w:szCs w:val="24"/>
              </w:rPr>
              <w:t>;</w:t>
            </w:r>
            <w:r w:rsidRPr="005B21FF">
              <w:rPr>
                <w:rFonts w:asciiTheme="minorBidi" w:hAnsiTheme="minorBidi" w:cstheme="minorBidi"/>
                <w:szCs w:val="24"/>
              </w:rPr>
              <w:t xml:space="preserve"> abdominal signs and symptoms</w:t>
            </w:r>
            <w:r w:rsidR="008B43E4">
              <w:rPr>
                <w:rFonts w:asciiTheme="minorBidi" w:hAnsiTheme="minorBidi" w:cstheme="minorBidi"/>
                <w:szCs w:val="24"/>
              </w:rPr>
              <w:t>;</w:t>
            </w:r>
            <w:r w:rsidRPr="005B21FF">
              <w:rPr>
                <w:rFonts w:asciiTheme="minorBidi" w:hAnsiTheme="minorBidi" w:cstheme="minorBidi"/>
                <w:szCs w:val="24"/>
              </w:rPr>
              <w:t xml:space="preserve"> vaginal bleeding</w:t>
            </w:r>
            <w:r w:rsidR="008B43E4">
              <w:rPr>
                <w:rFonts w:asciiTheme="minorBidi" w:hAnsiTheme="minorBidi" w:cstheme="minorBidi"/>
                <w:szCs w:val="24"/>
              </w:rPr>
              <w:t>;</w:t>
            </w:r>
            <w:r w:rsidRPr="005B21FF">
              <w:rPr>
                <w:rFonts w:asciiTheme="minorBidi" w:hAnsiTheme="minorBidi" w:cstheme="minorBidi"/>
                <w:szCs w:val="24"/>
              </w:rPr>
              <w:t xml:space="preserve"> signs/symptoms of water intoxication (headache, nausea, vomiting, confusion, hypotension, tachycardia, arrhythmias)</w:t>
            </w:r>
          </w:p>
          <w:p w14:paraId="633BBFCE" w14:textId="77777777" w:rsidR="00330094" w:rsidRPr="005B21FF" w:rsidRDefault="00330094" w:rsidP="008B43E4">
            <w:pPr>
              <w:pStyle w:val="ListParagraph"/>
              <w:numPr>
                <w:ilvl w:val="0"/>
                <w:numId w:val="21"/>
              </w:numPr>
              <w:spacing w:after="200"/>
              <w:ind w:left="432" w:hanging="270"/>
              <w:rPr>
                <w:rFonts w:asciiTheme="minorBidi" w:hAnsiTheme="minorBidi" w:cstheme="minorBidi"/>
                <w:szCs w:val="24"/>
              </w:rPr>
            </w:pPr>
            <w:r w:rsidRPr="005B21FF">
              <w:rPr>
                <w:rFonts w:asciiTheme="minorBidi" w:hAnsiTheme="minorBidi" w:cstheme="minorBidi"/>
                <w:i/>
                <w:szCs w:val="24"/>
              </w:rPr>
              <w:t xml:space="preserve">Fetal </w:t>
            </w:r>
            <w:r w:rsidR="00860D14">
              <w:rPr>
                <w:rFonts w:asciiTheme="minorBidi" w:hAnsiTheme="minorBidi" w:cstheme="minorBidi"/>
                <w:i/>
                <w:szCs w:val="24"/>
              </w:rPr>
              <w:t>a</w:t>
            </w:r>
            <w:r w:rsidRPr="005B21FF">
              <w:rPr>
                <w:rFonts w:asciiTheme="minorBidi" w:hAnsiTheme="minorBidi" w:cstheme="minorBidi"/>
                <w:i/>
                <w:szCs w:val="24"/>
              </w:rPr>
              <w:t xml:space="preserve">ssessment </w:t>
            </w:r>
            <w:r w:rsidR="00860D14">
              <w:rPr>
                <w:rFonts w:asciiTheme="minorBidi" w:hAnsiTheme="minorBidi" w:cstheme="minorBidi"/>
                <w:i/>
                <w:szCs w:val="24"/>
              </w:rPr>
              <w:t>d</w:t>
            </w:r>
            <w:r w:rsidRPr="005B21FF">
              <w:rPr>
                <w:rFonts w:asciiTheme="minorBidi" w:hAnsiTheme="minorBidi" w:cstheme="minorBidi"/>
                <w:i/>
                <w:szCs w:val="24"/>
              </w:rPr>
              <w:t xml:space="preserve">uring </w:t>
            </w:r>
            <w:r w:rsidR="00860D14">
              <w:rPr>
                <w:rFonts w:asciiTheme="minorBidi" w:hAnsiTheme="minorBidi" w:cstheme="minorBidi"/>
                <w:i/>
                <w:szCs w:val="24"/>
              </w:rPr>
              <w:t>i</w:t>
            </w:r>
            <w:r w:rsidRPr="005B21FF">
              <w:rPr>
                <w:rFonts w:asciiTheme="minorBidi" w:hAnsiTheme="minorBidi" w:cstheme="minorBidi"/>
                <w:i/>
                <w:szCs w:val="24"/>
              </w:rPr>
              <w:t>nfusion</w:t>
            </w:r>
            <w:r w:rsidRPr="005B21FF">
              <w:rPr>
                <w:rFonts w:asciiTheme="minorBidi" w:hAnsiTheme="minorBidi" w:cstheme="minorBidi"/>
                <w:szCs w:val="24"/>
              </w:rPr>
              <w:t>: FHR pattern</w:t>
            </w:r>
          </w:p>
        </w:tc>
      </w:tr>
    </w:tbl>
    <w:p w14:paraId="7FE83AA2" w14:textId="6E3CB750" w:rsidR="00DC1BB6" w:rsidRDefault="00DC1BB6">
      <w:r>
        <w:br w:type="page"/>
      </w:r>
    </w:p>
    <w:p w14:paraId="2A517173" w14:textId="117A0626" w:rsidR="00A56DB0" w:rsidRDefault="00A56DB0" w:rsidP="00A56DB0">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pPr>
      <w:r>
        <w:rPr>
          <w:rFonts w:asciiTheme="minorBidi" w:hAnsiTheme="minorBidi"/>
          <w:b/>
          <w:i/>
          <w:szCs w:val="24"/>
        </w:rPr>
        <w:lastRenderedPageBreak/>
        <w:t xml:space="preserve">Create Independent Checks (CUSP </w:t>
      </w:r>
      <w:r w:rsidRPr="005B21FF">
        <w:rPr>
          <w:rFonts w:asciiTheme="minorBidi" w:hAnsiTheme="minorBidi"/>
          <w:b/>
          <w:i/>
          <w:szCs w:val="24"/>
        </w:rPr>
        <w:t>Science of Safety)</w:t>
      </w:r>
      <w:r>
        <w:rPr>
          <w:rFonts w:asciiTheme="minorBidi" w:hAnsiTheme="minorBidi"/>
          <w:b/>
          <w:i/>
          <w:szCs w:val="24"/>
        </w:rPr>
        <w:t xml:space="preserve"> (continued)</w:t>
      </w:r>
    </w:p>
    <w:tbl>
      <w:tblPr>
        <w:tblStyle w:val="TableGrid"/>
        <w:tblW w:w="9558" w:type="dxa"/>
        <w:tblLook w:val="04A0" w:firstRow="1" w:lastRow="0" w:firstColumn="1" w:lastColumn="0" w:noHBand="0" w:noVBand="1"/>
        <w:tblDescription w:val="Key Perinatal Safety Elements"/>
      </w:tblPr>
      <w:tblGrid>
        <w:gridCol w:w="3528"/>
        <w:gridCol w:w="6030"/>
      </w:tblGrid>
      <w:tr w:rsidR="00DC1BB6" w:rsidRPr="005B21FF" w14:paraId="6FFF32E4" w14:textId="77777777" w:rsidTr="00A56DB0">
        <w:trPr>
          <w:cantSplit/>
          <w:tblHeader/>
        </w:trPr>
        <w:tc>
          <w:tcPr>
            <w:tcW w:w="3528" w:type="dxa"/>
          </w:tcPr>
          <w:p w14:paraId="62C535AE" w14:textId="77777777" w:rsidR="00DC1BB6" w:rsidRPr="005B21FF" w:rsidRDefault="00DC1BB6" w:rsidP="0059108B">
            <w:pPr>
              <w:keepNext/>
              <w:rPr>
                <w:rFonts w:asciiTheme="minorBidi" w:hAnsiTheme="minorBidi" w:cstheme="minorBidi"/>
                <w:b/>
                <w:szCs w:val="24"/>
              </w:rPr>
            </w:pPr>
            <w:r w:rsidRPr="005B21FF">
              <w:rPr>
                <w:rFonts w:asciiTheme="minorBidi" w:hAnsiTheme="minorBidi" w:cstheme="minorBidi"/>
                <w:b/>
                <w:szCs w:val="24"/>
              </w:rPr>
              <w:t>Key Perinatal Safety Elements</w:t>
            </w:r>
          </w:p>
        </w:tc>
        <w:tc>
          <w:tcPr>
            <w:tcW w:w="6030" w:type="dxa"/>
          </w:tcPr>
          <w:p w14:paraId="42A93265" w14:textId="77777777" w:rsidR="00DC1BB6" w:rsidRPr="005B21FF" w:rsidRDefault="00DC1BB6" w:rsidP="0059108B">
            <w:pPr>
              <w:keepNext/>
              <w:rPr>
                <w:rFonts w:asciiTheme="minorBidi" w:hAnsiTheme="minorBidi" w:cstheme="minorBidi"/>
                <w:b/>
                <w:szCs w:val="24"/>
              </w:rPr>
            </w:pPr>
            <w:r w:rsidRPr="005B21FF">
              <w:rPr>
                <w:rFonts w:asciiTheme="minorBidi" w:hAnsiTheme="minorBidi" w:cstheme="minorBidi"/>
                <w:b/>
                <w:szCs w:val="24"/>
              </w:rPr>
              <w:t>Examples</w:t>
            </w:r>
          </w:p>
        </w:tc>
      </w:tr>
      <w:tr w:rsidR="008B6F72" w:rsidRPr="005B21FF" w14:paraId="1A275C87" w14:textId="77777777" w:rsidTr="00A56DB0">
        <w:trPr>
          <w:cantSplit/>
          <w:trHeight w:val="7325"/>
        </w:trPr>
        <w:tc>
          <w:tcPr>
            <w:tcW w:w="3528" w:type="dxa"/>
          </w:tcPr>
          <w:p w14:paraId="2C504BBE" w14:textId="702091B5" w:rsidR="008B6F72" w:rsidRPr="005B21FF" w:rsidRDefault="008B6F72" w:rsidP="00354BD4">
            <w:pPr>
              <w:rPr>
                <w:rFonts w:asciiTheme="minorBidi" w:hAnsiTheme="minorBidi" w:cstheme="minorBidi"/>
                <w:szCs w:val="24"/>
              </w:rPr>
            </w:pPr>
            <w:r>
              <w:rPr>
                <w:rFonts w:asciiTheme="minorBidi" w:hAnsiTheme="minorBidi" w:cstheme="minorBidi"/>
                <w:szCs w:val="24"/>
              </w:rPr>
              <w:t>Use established m</w:t>
            </w:r>
            <w:r w:rsidRPr="005B21FF">
              <w:rPr>
                <w:rFonts w:asciiTheme="minorBidi" w:hAnsiTheme="minorBidi" w:cstheme="minorBidi"/>
                <w:szCs w:val="24"/>
              </w:rPr>
              <w:t xml:space="preserve">aternal and fetal parameters for </w:t>
            </w:r>
            <w:r>
              <w:rPr>
                <w:rFonts w:asciiTheme="minorBidi" w:hAnsiTheme="minorBidi" w:cstheme="minorBidi"/>
                <w:szCs w:val="24"/>
              </w:rPr>
              <w:t xml:space="preserve">timely </w:t>
            </w:r>
            <w:r w:rsidRPr="005B21FF">
              <w:rPr>
                <w:rFonts w:asciiTheme="minorBidi" w:hAnsiTheme="minorBidi" w:cstheme="minorBidi"/>
                <w:szCs w:val="24"/>
              </w:rPr>
              <w:t>provider notification</w:t>
            </w:r>
            <w:r>
              <w:rPr>
                <w:rFonts w:asciiTheme="minorBidi" w:hAnsiTheme="minorBidi" w:cstheme="minorBidi"/>
                <w:szCs w:val="24"/>
              </w:rPr>
              <w:t xml:space="preserve"> and provider response expectations</w:t>
            </w:r>
            <w:r w:rsidRPr="005B21FF">
              <w:rPr>
                <w:rFonts w:asciiTheme="minorBidi" w:hAnsiTheme="minorBidi" w:cstheme="minorBidi"/>
                <w:szCs w:val="24"/>
              </w:rPr>
              <w:t>.</w:t>
            </w:r>
          </w:p>
          <w:p w14:paraId="1F7675B1" w14:textId="2C82B043" w:rsidR="008B6F72" w:rsidRPr="005B21FF" w:rsidRDefault="008B6F72" w:rsidP="00354BD4">
            <w:pPr>
              <w:rPr>
                <w:rFonts w:asciiTheme="minorBidi" w:hAnsiTheme="minorBidi" w:cstheme="minorBidi"/>
                <w:szCs w:val="24"/>
              </w:rPr>
            </w:pPr>
          </w:p>
        </w:tc>
        <w:tc>
          <w:tcPr>
            <w:tcW w:w="6030" w:type="dxa"/>
          </w:tcPr>
          <w:p w14:paraId="1E8DCD96" w14:textId="77777777" w:rsidR="008B6F72" w:rsidRPr="005B21FF" w:rsidRDefault="008B6F72" w:rsidP="008B6F72">
            <w:pPr>
              <w:spacing w:line="260" w:lineRule="exact"/>
              <w:rPr>
                <w:rFonts w:asciiTheme="minorBidi" w:hAnsiTheme="minorBidi" w:cstheme="minorBidi"/>
                <w:szCs w:val="24"/>
              </w:rPr>
            </w:pPr>
            <w:r w:rsidRPr="005B21FF">
              <w:rPr>
                <w:rFonts w:asciiTheme="minorBidi" w:hAnsiTheme="minorBidi" w:cstheme="minorBidi"/>
                <w:szCs w:val="24"/>
              </w:rPr>
              <w:t>Use of uniform, unit-established param</w:t>
            </w:r>
            <w:r>
              <w:rPr>
                <w:rFonts w:asciiTheme="minorBidi" w:hAnsiTheme="minorBidi" w:cstheme="minorBidi"/>
                <w:szCs w:val="24"/>
              </w:rPr>
              <w:t xml:space="preserve">eters for provider notification and expectations for provider response </w:t>
            </w:r>
            <w:r w:rsidRPr="005B21FF">
              <w:rPr>
                <w:rFonts w:asciiTheme="minorBidi" w:hAnsiTheme="minorBidi" w:cstheme="minorBidi"/>
                <w:szCs w:val="24"/>
              </w:rPr>
              <w:t>ensures that signs of potential adverse effects or clinical deterioration are communicated for situational awareness and response if needed.</w:t>
            </w:r>
            <w:r>
              <w:rPr>
                <w:rFonts w:asciiTheme="minorBidi" w:hAnsiTheme="minorBidi" w:cstheme="minorBidi"/>
                <w:szCs w:val="24"/>
              </w:rPr>
              <w:t xml:space="preserve"> This may include provisions for activation of a rapid response.</w:t>
            </w:r>
            <w:r w:rsidRPr="005B21FF">
              <w:rPr>
                <w:rFonts w:asciiTheme="minorBidi" w:hAnsiTheme="minorBidi" w:cstheme="minorBidi"/>
                <w:szCs w:val="24"/>
              </w:rPr>
              <w:t xml:space="preserve"> </w:t>
            </w:r>
          </w:p>
          <w:p w14:paraId="4114B581" w14:textId="77777777" w:rsidR="008B6F72" w:rsidRPr="005B21FF" w:rsidRDefault="008B6F72" w:rsidP="008B6F72">
            <w:pPr>
              <w:pStyle w:val="ListParagraph"/>
              <w:numPr>
                <w:ilvl w:val="0"/>
                <w:numId w:val="21"/>
              </w:numPr>
              <w:spacing w:after="200" w:line="260" w:lineRule="exact"/>
              <w:ind w:left="432" w:hanging="270"/>
              <w:rPr>
                <w:rFonts w:asciiTheme="minorBidi" w:hAnsiTheme="minorBidi" w:cstheme="minorBidi"/>
                <w:szCs w:val="24"/>
              </w:rPr>
            </w:pPr>
            <w:r w:rsidRPr="005B21FF">
              <w:rPr>
                <w:rFonts w:asciiTheme="minorBidi" w:hAnsiTheme="minorBidi" w:cstheme="minorBidi"/>
                <w:szCs w:val="24"/>
              </w:rPr>
              <w:t xml:space="preserve">Provider notification criteria can include Category II or III FHR, tachysystole, decreased urine output, signs of uterine rupture, signs </w:t>
            </w:r>
            <w:r>
              <w:rPr>
                <w:rFonts w:asciiTheme="minorBidi" w:hAnsiTheme="minorBidi" w:cstheme="minorBidi"/>
                <w:szCs w:val="24"/>
              </w:rPr>
              <w:t xml:space="preserve">of </w:t>
            </w:r>
            <w:r w:rsidRPr="005B21FF">
              <w:rPr>
                <w:rFonts w:asciiTheme="minorBidi" w:hAnsiTheme="minorBidi" w:cstheme="minorBidi"/>
                <w:szCs w:val="24"/>
              </w:rPr>
              <w:t>water intoxication.</w:t>
            </w:r>
          </w:p>
          <w:p w14:paraId="5283F0AD" w14:textId="77777777" w:rsidR="008B6F72" w:rsidRPr="005B21FF" w:rsidRDefault="008B6F72" w:rsidP="008B6F72">
            <w:pPr>
              <w:pStyle w:val="ListParagraph"/>
              <w:numPr>
                <w:ilvl w:val="0"/>
                <w:numId w:val="21"/>
              </w:numPr>
              <w:spacing w:after="200" w:line="260" w:lineRule="exact"/>
              <w:ind w:left="432" w:hanging="270"/>
              <w:rPr>
                <w:rFonts w:asciiTheme="minorBidi" w:hAnsiTheme="minorBidi" w:cstheme="minorBidi"/>
                <w:szCs w:val="24"/>
              </w:rPr>
            </w:pPr>
            <w:r w:rsidRPr="005B21FF">
              <w:rPr>
                <w:rFonts w:asciiTheme="minorBidi" w:hAnsiTheme="minorBidi" w:cstheme="minorBidi"/>
                <w:szCs w:val="24"/>
              </w:rPr>
              <w:t>Parameters for notification should use standard NICHD nomenclature</w:t>
            </w:r>
            <w:r>
              <w:rPr>
                <w:rFonts w:asciiTheme="minorBidi" w:hAnsiTheme="minorBidi" w:cstheme="minorBidi"/>
                <w:szCs w:val="24"/>
              </w:rPr>
              <w:t xml:space="preserve"> and interpretation</w:t>
            </w:r>
            <w:r w:rsidRPr="005B21FF">
              <w:rPr>
                <w:rFonts w:asciiTheme="minorBidi" w:hAnsiTheme="minorBidi" w:cstheme="minorBidi"/>
                <w:szCs w:val="24"/>
              </w:rPr>
              <w:t>.</w:t>
            </w:r>
          </w:p>
          <w:p w14:paraId="2AB4FC62" w14:textId="77777777" w:rsidR="008B6F72" w:rsidRPr="005B21FF" w:rsidRDefault="008B6F72" w:rsidP="008B6F72">
            <w:pPr>
              <w:pStyle w:val="ListParagraph"/>
              <w:numPr>
                <w:ilvl w:val="1"/>
                <w:numId w:val="12"/>
              </w:numPr>
              <w:spacing w:after="60" w:line="260" w:lineRule="exact"/>
              <w:ind w:left="706" w:hanging="274"/>
              <w:rPr>
                <w:szCs w:val="24"/>
              </w:rPr>
            </w:pPr>
            <w:r w:rsidRPr="005B21FF">
              <w:rPr>
                <w:rFonts w:asciiTheme="minorBidi" w:hAnsiTheme="minorBidi" w:cstheme="minorBidi"/>
                <w:szCs w:val="24"/>
              </w:rPr>
              <w:t xml:space="preserve">NICHD-defined tachysystole is more than </w:t>
            </w:r>
            <w:r>
              <w:rPr>
                <w:rFonts w:asciiTheme="minorBidi" w:hAnsiTheme="minorBidi" w:cstheme="minorBidi"/>
                <w:szCs w:val="24"/>
              </w:rPr>
              <w:t>five</w:t>
            </w:r>
            <w:r w:rsidRPr="005B21FF">
              <w:rPr>
                <w:rFonts w:asciiTheme="minorBidi" w:hAnsiTheme="minorBidi" w:cstheme="minorBidi"/>
                <w:szCs w:val="24"/>
              </w:rPr>
              <w:t xml:space="preserve"> contractions in 10 minutes, averaged over a 30-minute window.</w:t>
            </w:r>
            <w:r w:rsidRPr="005B21FF">
              <w:rPr>
                <w:rFonts w:asciiTheme="minorBidi" w:hAnsiTheme="minorBidi" w:cstheme="minorBidi"/>
                <w:szCs w:val="24"/>
                <w:vertAlign w:val="superscript"/>
              </w:rPr>
              <w:t>17,18,19</w:t>
            </w:r>
          </w:p>
          <w:p w14:paraId="7C4305C7" w14:textId="77777777" w:rsidR="008B6F72" w:rsidRPr="005B21FF" w:rsidRDefault="008B6F72" w:rsidP="008B6F72">
            <w:pPr>
              <w:pStyle w:val="ListParagraph"/>
              <w:numPr>
                <w:ilvl w:val="1"/>
                <w:numId w:val="12"/>
              </w:numPr>
              <w:spacing w:after="60" w:line="260" w:lineRule="exact"/>
              <w:ind w:left="706" w:hanging="274"/>
              <w:rPr>
                <w:szCs w:val="24"/>
              </w:rPr>
            </w:pPr>
            <w:r w:rsidRPr="005B21FF">
              <w:rPr>
                <w:rFonts w:asciiTheme="minorBidi" w:hAnsiTheme="minorBidi" w:cstheme="minorBidi"/>
                <w:szCs w:val="24"/>
              </w:rPr>
              <w:t xml:space="preserve">Some professional organizations, guidelines, or clinical references may suggest provider </w:t>
            </w:r>
          </w:p>
          <w:p w14:paraId="32419CC1" w14:textId="77777777" w:rsidR="008B6F72" w:rsidRPr="005B21FF" w:rsidRDefault="008B6F72" w:rsidP="008B6F72">
            <w:pPr>
              <w:pStyle w:val="ListParagraph"/>
              <w:spacing w:line="260" w:lineRule="exact"/>
              <w:ind w:left="706"/>
              <w:rPr>
                <w:szCs w:val="24"/>
              </w:rPr>
            </w:pPr>
            <w:r w:rsidRPr="005B21FF">
              <w:rPr>
                <w:rFonts w:asciiTheme="minorBidi" w:hAnsiTheme="minorBidi" w:cstheme="minorBidi"/>
                <w:szCs w:val="24"/>
              </w:rPr>
              <w:t xml:space="preserve">notification for tocographic findings that don’t necessarily meet the NICHD definition of tachysystole. Examples include </w:t>
            </w:r>
            <w:r w:rsidRPr="005B21FF">
              <w:rPr>
                <w:szCs w:val="24"/>
              </w:rPr>
              <w:t xml:space="preserve">contractions lasting 2 minutes or more, </w:t>
            </w:r>
            <w:r w:rsidRPr="005B21FF">
              <w:rPr>
                <w:rFonts w:eastAsia="Times New Roman"/>
                <w:szCs w:val="24"/>
                <w:lang w:bidi="ar-SA"/>
              </w:rPr>
              <w:t>contractions of normal duration occurring within 1 minute of one another</w:t>
            </w:r>
            <w:r w:rsidRPr="005B21FF">
              <w:rPr>
                <w:szCs w:val="24"/>
              </w:rPr>
              <w:t xml:space="preserve">, </w:t>
            </w:r>
            <w:r w:rsidRPr="005B21FF">
              <w:rPr>
                <w:rFonts w:eastAsia="Times New Roman"/>
                <w:szCs w:val="24"/>
                <w:lang w:bidi="ar-SA"/>
              </w:rPr>
              <w:t>insufficient return of uterine resting tone between contractions or via palpation</w:t>
            </w:r>
            <w:r w:rsidRPr="005B21FF">
              <w:rPr>
                <w:szCs w:val="24"/>
              </w:rPr>
              <w:t xml:space="preserve">, </w:t>
            </w:r>
            <w:r w:rsidRPr="005B21FF">
              <w:rPr>
                <w:rFonts w:eastAsia="Times New Roman"/>
                <w:szCs w:val="24"/>
                <w:lang w:bidi="ar-SA"/>
              </w:rPr>
              <w:t xml:space="preserve">intraamniotic pressure above 25 mmHg between contractions via </w:t>
            </w:r>
            <w:r>
              <w:rPr>
                <w:rFonts w:eastAsia="Times New Roman"/>
                <w:szCs w:val="24"/>
                <w:lang w:bidi="ar-SA"/>
              </w:rPr>
              <w:t>i</w:t>
            </w:r>
            <w:r w:rsidRPr="005B21FF">
              <w:rPr>
                <w:rFonts w:eastAsia="Times New Roman"/>
                <w:szCs w:val="24"/>
                <w:lang w:bidi="ar-SA"/>
              </w:rPr>
              <w:t xml:space="preserve">ntrauterine </w:t>
            </w:r>
            <w:r>
              <w:rPr>
                <w:rFonts w:eastAsia="Times New Roman"/>
                <w:szCs w:val="24"/>
                <w:lang w:bidi="ar-SA"/>
              </w:rPr>
              <w:t>p</w:t>
            </w:r>
            <w:r w:rsidRPr="005B21FF">
              <w:rPr>
                <w:rFonts w:eastAsia="Times New Roman"/>
                <w:szCs w:val="24"/>
                <w:lang w:bidi="ar-SA"/>
              </w:rPr>
              <w:t xml:space="preserve">ressure </w:t>
            </w:r>
            <w:r>
              <w:rPr>
                <w:rFonts w:eastAsia="Times New Roman"/>
                <w:szCs w:val="24"/>
                <w:lang w:bidi="ar-SA"/>
              </w:rPr>
              <w:t>c</w:t>
            </w:r>
            <w:r w:rsidRPr="005B21FF">
              <w:rPr>
                <w:rFonts w:eastAsia="Times New Roman"/>
                <w:szCs w:val="24"/>
                <w:lang w:bidi="ar-SA"/>
              </w:rPr>
              <w:t>atheter.</w:t>
            </w:r>
          </w:p>
        </w:tc>
      </w:tr>
      <w:tr w:rsidR="00330094" w:rsidRPr="005B21FF" w14:paraId="7F6F4E8A" w14:textId="77777777" w:rsidTr="00A56DB0">
        <w:trPr>
          <w:cantSplit/>
          <w:trHeight w:val="4373"/>
        </w:trPr>
        <w:tc>
          <w:tcPr>
            <w:tcW w:w="3528" w:type="dxa"/>
          </w:tcPr>
          <w:p w14:paraId="7315544C" w14:textId="77777777" w:rsidR="00330094" w:rsidRPr="005B21FF" w:rsidRDefault="00330094" w:rsidP="00354BD4">
            <w:pPr>
              <w:rPr>
                <w:rFonts w:asciiTheme="minorBidi" w:hAnsiTheme="minorBidi" w:cstheme="minorBidi"/>
                <w:szCs w:val="24"/>
              </w:rPr>
            </w:pPr>
            <w:r w:rsidRPr="005B21FF">
              <w:rPr>
                <w:rFonts w:asciiTheme="minorBidi" w:hAnsiTheme="minorBidi" w:cstheme="minorBidi"/>
                <w:szCs w:val="24"/>
              </w:rPr>
              <w:t>Have standing orders for nurses to respond to tachysystole and for reducing, stopping, and restarting oxytocin infusion.</w:t>
            </w:r>
          </w:p>
        </w:tc>
        <w:tc>
          <w:tcPr>
            <w:tcW w:w="6030" w:type="dxa"/>
          </w:tcPr>
          <w:p w14:paraId="144FDCBA" w14:textId="77777777" w:rsidR="00330094" w:rsidRPr="005B21FF" w:rsidRDefault="00330094" w:rsidP="008B6F72">
            <w:pPr>
              <w:spacing w:line="260" w:lineRule="exact"/>
              <w:rPr>
                <w:rFonts w:asciiTheme="minorBidi" w:hAnsiTheme="minorBidi" w:cstheme="minorBidi"/>
                <w:szCs w:val="24"/>
              </w:rPr>
            </w:pPr>
            <w:r w:rsidRPr="005B21FF">
              <w:rPr>
                <w:rFonts w:asciiTheme="minorBidi" w:hAnsiTheme="minorBidi" w:cstheme="minorBidi"/>
                <w:szCs w:val="24"/>
              </w:rPr>
              <w:t>Use of uniform, unit-established standing orders allows nurses to provide initial management in response to tachysystole.</w:t>
            </w:r>
            <w:r w:rsidRPr="005B21FF">
              <w:rPr>
                <w:rFonts w:asciiTheme="minorBidi" w:hAnsiTheme="minorBidi" w:cstheme="minorBidi"/>
                <w:szCs w:val="24"/>
                <w:vertAlign w:val="superscript"/>
              </w:rPr>
              <w:t>5</w:t>
            </w:r>
            <w:r w:rsidRPr="005B21FF">
              <w:rPr>
                <w:rFonts w:asciiTheme="minorBidi" w:hAnsiTheme="minorBidi" w:cstheme="minorBidi"/>
                <w:szCs w:val="24"/>
              </w:rPr>
              <w:t xml:space="preserve"> Standing orders can be written to vary depending on FHR and other maternal signs and symptoms</w:t>
            </w:r>
            <w:r w:rsidR="00F71BAA">
              <w:rPr>
                <w:rFonts w:asciiTheme="minorBidi" w:hAnsiTheme="minorBidi" w:cstheme="minorBidi"/>
                <w:szCs w:val="24"/>
              </w:rPr>
              <w:t>—</w:t>
            </w:r>
            <w:r w:rsidRPr="005B21FF">
              <w:rPr>
                <w:rFonts w:asciiTheme="minorBidi" w:hAnsiTheme="minorBidi" w:cstheme="minorBidi"/>
                <w:szCs w:val="24"/>
              </w:rPr>
              <w:t xml:space="preserve">for example, response to tachysystole with a Category </w:t>
            </w:r>
            <w:r w:rsidR="00466BA8">
              <w:rPr>
                <w:rFonts w:asciiTheme="minorBidi" w:hAnsiTheme="minorBidi" w:cstheme="minorBidi"/>
                <w:szCs w:val="24"/>
              </w:rPr>
              <w:t xml:space="preserve">1 or </w:t>
            </w:r>
            <w:r w:rsidRPr="005B21FF">
              <w:rPr>
                <w:rFonts w:asciiTheme="minorBidi" w:hAnsiTheme="minorBidi" w:cstheme="minorBidi"/>
                <w:szCs w:val="24"/>
              </w:rPr>
              <w:t>I</w:t>
            </w:r>
            <w:r w:rsidR="00466BA8">
              <w:rPr>
                <w:rFonts w:asciiTheme="minorBidi" w:hAnsiTheme="minorBidi" w:cstheme="minorBidi"/>
                <w:szCs w:val="24"/>
              </w:rPr>
              <w:t>I</w:t>
            </w:r>
            <w:r w:rsidRPr="005B21FF">
              <w:rPr>
                <w:rFonts w:asciiTheme="minorBidi" w:hAnsiTheme="minorBidi" w:cstheme="minorBidi"/>
                <w:szCs w:val="24"/>
              </w:rPr>
              <w:t xml:space="preserve"> FHR tracing versus response with a Category III FHR tracing. </w:t>
            </w:r>
          </w:p>
          <w:p w14:paraId="56D37B73" w14:textId="77777777" w:rsidR="00330094" w:rsidRPr="005B21FF" w:rsidRDefault="00330094" w:rsidP="008B6F72">
            <w:pPr>
              <w:pStyle w:val="ListParagraph"/>
              <w:numPr>
                <w:ilvl w:val="0"/>
                <w:numId w:val="21"/>
              </w:numPr>
              <w:spacing w:after="120" w:line="260" w:lineRule="exact"/>
              <w:ind w:left="432" w:hanging="274"/>
              <w:rPr>
                <w:rFonts w:asciiTheme="minorBidi" w:hAnsiTheme="minorBidi" w:cstheme="minorBidi"/>
                <w:szCs w:val="24"/>
              </w:rPr>
            </w:pPr>
            <w:r w:rsidRPr="005B21FF">
              <w:rPr>
                <w:rFonts w:asciiTheme="minorBidi" w:hAnsiTheme="minorBidi" w:cstheme="minorBidi"/>
                <w:szCs w:val="24"/>
              </w:rPr>
              <w:t>Standing orders can specify criteria for reducing or stopping oxytocin infusion, nonpharmacologic measures (e.g., repositioning patient, increasing fluids, oxygen adminis</w:t>
            </w:r>
            <w:r w:rsidR="008B6F72">
              <w:rPr>
                <w:rFonts w:asciiTheme="minorBidi" w:hAnsiTheme="minorBidi" w:cstheme="minorBidi"/>
                <w:szCs w:val="24"/>
              </w:rPr>
              <w:t>tration), and tocolytic agents.</w:t>
            </w:r>
          </w:p>
          <w:p w14:paraId="0A33C73E" w14:textId="77777777" w:rsidR="00330094" w:rsidRPr="005B21FF" w:rsidRDefault="00330094" w:rsidP="008B6F72">
            <w:pPr>
              <w:pStyle w:val="ListParagraph"/>
              <w:numPr>
                <w:ilvl w:val="0"/>
                <w:numId w:val="21"/>
              </w:numPr>
              <w:spacing w:after="200" w:line="260" w:lineRule="exact"/>
              <w:ind w:left="432" w:hanging="274"/>
              <w:rPr>
                <w:rFonts w:asciiTheme="minorBidi" w:hAnsiTheme="minorBidi" w:cstheme="minorBidi"/>
                <w:szCs w:val="24"/>
              </w:rPr>
            </w:pPr>
            <w:r w:rsidRPr="005B21FF">
              <w:rPr>
                <w:rFonts w:asciiTheme="minorBidi" w:hAnsiTheme="minorBidi" w:cstheme="minorBidi"/>
                <w:szCs w:val="24"/>
              </w:rPr>
              <w:t>Standing orders can also specify criteria for restarting infusion, though some sites may choose to require a provider order to restart as an independent check to ensure safety of restarting</w:t>
            </w:r>
            <w:r w:rsidR="008B6F72">
              <w:rPr>
                <w:rFonts w:asciiTheme="minorBidi" w:hAnsiTheme="minorBidi" w:cstheme="minorBidi"/>
                <w:szCs w:val="24"/>
              </w:rPr>
              <w:t xml:space="preserve"> </w:t>
            </w:r>
            <w:r w:rsidRPr="005B21FF">
              <w:rPr>
                <w:rFonts w:asciiTheme="minorBidi" w:hAnsiTheme="minorBidi" w:cstheme="minorBidi"/>
                <w:szCs w:val="24"/>
              </w:rPr>
              <w:t xml:space="preserve">the infusion. </w:t>
            </w:r>
          </w:p>
        </w:tc>
      </w:tr>
    </w:tbl>
    <w:p w14:paraId="6C250D19" w14:textId="24F87379" w:rsidR="00330094" w:rsidRDefault="00330094" w:rsidP="00330094">
      <w:pPr>
        <w:spacing w:after="0"/>
        <w:rPr>
          <w:sz w:val="12"/>
          <w:szCs w:val="12"/>
        </w:rPr>
      </w:pPr>
    </w:p>
    <w:p w14:paraId="6A72B8D4" w14:textId="4E298EFB" w:rsidR="00A56DB0" w:rsidRPr="00573E3F" w:rsidRDefault="00A56DB0" w:rsidP="00A56DB0">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sz w:val="12"/>
          <w:szCs w:val="12"/>
        </w:rPr>
      </w:pPr>
      <w:r w:rsidRPr="005B21FF">
        <w:rPr>
          <w:rFonts w:asciiTheme="minorBidi" w:hAnsiTheme="minorBidi"/>
          <w:b/>
          <w:i/>
          <w:szCs w:val="24"/>
        </w:rPr>
        <w:t xml:space="preserve">Learn </w:t>
      </w:r>
      <w:r>
        <w:rPr>
          <w:rFonts w:asciiTheme="minorBidi" w:hAnsiTheme="minorBidi"/>
          <w:b/>
          <w:i/>
          <w:szCs w:val="24"/>
        </w:rPr>
        <w:t>F</w:t>
      </w:r>
      <w:r w:rsidRPr="005B21FF">
        <w:rPr>
          <w:rFonts w:asciiTheme="minorBidi" w:hAnsiTheme="minorBidi"/>
          <w:b/>
          <w:i/>
          <w:szCs w:val="24"/>
        </w:rPr>
        <w:t>rom Defects (CUSP Module)</w:t>
      </w:r>
    </w:p>
    <w:tbl>
      <w:tblPr>
        <w:tblStyle w:val="TableGrid"/>
        <w:tblW w:w="9558" w:type="dxa"/>
        <w:tblLook w:val="04A0" w:firstRow="1" w:lastRow="0" w:firstColumn="1" w:lastColumn="0" w:noHBand="0" w:noVBand="1"/>
        <w:tblDescription w:val="Key Perinatal Safety Elements"/>
      </w:tblPr>
      <w:tblGrid>
        <w:gridCol w:w="3528"/>
        <w:gridCol w:w="6030"/>
      </w:tblGrid>
      <w:tr w:rsidR="00330094" w:rsidRPr="005B21FF" w14:paraId="0D4D04F5" w14:textId="77777777" w:rsidTr="00A56DB0">
        <w:trPr>
          <w:cantSplit/>
          <w:tblHeader/>
        </w:trPr>
        <w:tc>
          <w:tcPr>
            <w:tcW w:w="3528" w:type="dxa"/>
          </w:tcPr>
          <w:p w14:paraId="7B0F08DF" w14:textId="77777777" w:rsidR="00330094" w:rsidRPr="005B21FF" w:rsidRDefault="00330094" w:rsidP="00354BD4">
            <w:pPr>
              <w:keepNext/>
              <w:rPr>
                <w:rFonts w:asciiTheme="minorBidi" w:hAnsiTheme="minorBidi" w:cstheme="minorBidi"/>
                <w:b/>
                <w:szCs w:val="24"/>
              </w:rPr>
            </w:pPr>
            <w:r w:rsidRPr="005B21FF">
              <w:rPr>
                <w:rFonts w:asciiTheme="minorBidi" w:hAnsiTheme="minorBidi" w:cstheme="minorBidi"/>
                <w:b/>
                <w:szCs w:val="24"/>
              </w:rPr>
              <w:t>Key Perinatal Safety Elements</w:t>
            </w:r>
          </w:p>
        </w:tc>
        <w:tc>
          <w:tcPr>
            <w:tcW w:w="6030" w:type="dxa"/>
          </w:tcPr>
          <w:p w14:paraId="0AD44AFA" w14:textId="77777777" w:rsidR="00330094" w:rsidRPr="005B21FF" w:rsidRDefault="00330094" w:rsidP="00354BD4">
            <w:pPr>
              <w:keepNext/>
              <w:rPr>
                <w:rFonts w:asciiTheme="minorBidi" w:hAnsiTheme="minorBidi" w:cstheme="minorBidi"/>
                <w:b/>
                <w:szCs w:val="24"/>
              </w:rPr>
            </w:pPr>
            <w:r w:rsidRPr="005B21FF">
              <w:rPr>
                <w:rFonts w:asciiTheme="minorBidi" w:hAnsiTheme="minorBidi" w:cstheme="minorBidi"/>
                <w:b/>
                <w:szCs w:val="24"/>
              </w:rPr>
              <w:t>Examples</w:t>
            </w:r>
          </w:p>
        </w:tc>
      </w:tr>
      <w:tr w:rsidR="008B6F72" w:rsidRPr="005B21FF" w14:paraId="723110E2" w14:textId="77777777" w:rsidTr="00A56DB0">
        <w:trPr>
          <w:cantSplit/>
          <w:trHeight w:val="5682"/>
        </w:trPr>
        <w:tc>
          <w:tcPr>
            <w:tcW w:w="3528" w:type="dxa"/>
          </w:tcPr>
          <w:p w14:paraId="5EC3DDF4" w14:textId="77777777" w:rsidR="008B6F72" w:rsidRPr="005B21FF" w:rsidRDefault="008B6F72" w:rsidP="00354BD4">
            <w:pPr>
              <w:rPr>
                <w:rFonts w:asciiTheme="minorBidi" w:hAnsiTheme="minorBidi" w:cstheme="minorBidi"/>
                <w:szCs w:val="24"/>
              </w:rPr>
            </w:pPr>
            <w:r w:rsidRPr="005B21FF">
              <w:rPr>
                <w:rFonts w:asciiTheme="minorBidi" w:hAnsiTheme="minorBidi" w:cstheme="minorBidi"/>
                <w:szCs w:val="24"/>
              </w:rPr>
              <w:t>Debrief and analyze near misses and adverse events related to oxytocin use.</w:t>
            </w:r>
          </w:p>
          <w:p w14:paraId="1B26C743" w14:textId="77777777" w:rsidR="008B6F72" w:rsidRPr="005B21FF" w:rsidRDefault="008B6F72" w:rsidP="008B6F72">
            <w:pPr>
              <w:rPr>
                <w:szCs w:val="24"/>
              </w:rPr>
            </w:pPr>
          </w:p>
        </w:tc>
        <w:tc>
          <w:tcPr>
            <w:tcW w:w="6030" w:type="dxa"/>
          </w:tcPr>
          <w:p w14:paraId="39B72537" w14:textId="77777777" w:rsidR="008B6F72" w:rsidRPr="005B21FF" w:rsidRDefault="008B6F72" w:rsidP="007413FE">
            <w:pPr>
              <w:pStyle w:val="ListParagraph"/>
              <w:numPr>
                <w:ilvl w:val="0"/>
                <w:numId w:val="21"/>
              </w:numPr>
              <w:ind w:left="342" w:hanging="270"/>
            </w:pPr>
            <w:r w:rsidRPr="005B21FF">
              <w:t xml:space="preserve">Unit can decide its approach to debriefing events based </w:t>
            </w:r>
            <w:r w:rsidRPr="007413FE">
              <w:rPr>
                <w:rFonts w:asciiTheme="minorBidi" w:hAnsiTheme="minorBidi" w:cstheme="minorBidi"/>
                <w:szCs w:val="24"/>
              </w:rPr>
              <w:t>on</w:t>
            </w:r>
            <w:r w:rsidRPr="005B21FF">
              <w:t xml:space="preserve"> seriousness of event, expertise available, and data monitoring and tracking capabilities. </w:t>
            </w:r>
          </w:p>
          <w:p w14:paraId="421B7A95" w14:textId="77777777" w:rsidR="008B6F72" w:rsidRPr="0000751E" w:rsidRDefault="008B6F72" w:rsidP="007413FE">
            <w:pPr>
              <w:pStyle w:val="ListParagraph"/>
              <w:numPr>
                <w:ilvl w:val="1"/>
                <w:numId w:val="12"/>
              </w:numPr>
              <w:spacing w:after="60"/>
              <w:ind w:left="706" w:hanging="274"/>
              <w:rPr>
                <w:rFonts w:asciiTheme="minorBidi" w:hAnsiTheme="minorBidi" w:cstheme="minorBidi"/>
                <w:szCs w:val="24"/>
              </w:rPr>
            </w:pPr>
            <w:r w:rsidRPr="005B21FF">
              <w:rPr>
                <w:rFonts w:asciiTheme="minorBidi" w:hAnsiTheme="minorBidi" w:cstheme="minorBidi"/>
                <w:szCs w:val="24"/>
              </w:rPr>
              <w:t xml:space="preserve">Informal debriefings by clinical team immediately following event </w:t>
            </w:r>
            <w:r w:rsidRPr="0000751E">
              <w:rPr>
                <w:rFonts w:asciiTheme="minorBidi" w:hAnsiTheme="minorBidi" w:cstheme="minorBidi"/>
                <w:szCs w:val="24"/>
              </w:rPr>
              <w:t>using an approach that does not shame or blame individuals. This allows for understanding of what went well, what could have gone better</w:t>
            </w:r>
            <w:r>
              <w:rPr>
                <w:rFonts w:asciiTheme="minorBidi" w:hAnsiTheme="minorBidi" w:cstheme="minorBidi"/>
                <w:szCs w:val="24"/>
              </w:rPr>
              <w:t>,</w:t>
            </w:r>
            <w:r w:rsidRPr="0000751E">
              <w:rPr>
                <w:rFonts w:asciiTheme="minorBidi" w:hAnsiTheme="minorBidi" w:cstheme="minorBidi"/>
                <w:szCs w:val="24"/>
              </w:rPr>
              <w:t xml:space="preserve"> and what could be done differently next time.</w:t>
            </w:r>
          </w:p>
          <w:p w14:paraId="333A8A89" w14:textId="77777777" w:rsidR="008B6F72" w:rsidRPr="005B21FF" w:rsidRDefault="008B6F72" w:rsidP="007413FE">
            <w:pPr>
              <w:pStyle w:val="ListParagraph"/>
              <w:numPr>
                <w:ilvl w:val="1"/>
                <w:numId w:val="12"/>
              </w:numPr>
              <w:spacing w:after="60"/>
              <w:ind w:left="706" w:hanging="274"/>
              <w:rPr>
                <w:rFonts w:asciiTheme="minorBidi" w:hAnsiTheme="minorBidi" w:cstheme="minorBidi"/>
                <w:szCs w:val="24"/>
              </w:rPr>
            </w:pPr>
            <w:r w:rsidRPr="005B21FF">
              <w:rPr>
                <w:rFonts w:asciiTheme="minorBidi" w:hAnsiTheme="minorBidi" w:cstheme="minorBidi"/>
                <w:szCs w:val="24"/>
              </w:rPr>
              <w:t>Regular forum</w:t>
            </w:r>
            <w:r w:rsidRPr="0000751E">
              <w:rPr>
                <w:rFonts w:asciiTheme="minorBidi" w:hAnsiTheme="minorBidi" w:cstheme="minorBidi"/>
                <w:szCs w:val="24"/>
              </w:rPr>
              <w:t xml:space="preserve"> with a multidisciplinary team</w:t>
            </w:r>
            <w:r w:rsidRPr="005B21FF">
              <w:rPr>
                <w:rFonts w:asciiTheme="minorBidi" w:hAnsiTheme="minorBidi" w:cstheme="minorBidi"/>
                <w:szCs w:val="24"/>
              </w:rPr>
              <w:t xml:space="preserve"> </w:t>
            </w:r>
            <w:r w:rsidRPr="007413FE">
              <w:rPr>
                <w:rFonts w:asciiTheme="minorBidi" w:hAnsiTheme="minorBidi" w:cstheme="minorBidi"/>
                <w:szCs w:val="24"/>
              </w:rPr>
              <w:t>can help the unit learn from defects and sensemaking using the following tools:</w:t>
            </w:r>
          </w:p>
          <w:p w14:paraId="67E16C87" w14:textId="77777777" w:rsidR="008B6F72" w:rsidRPr="0000751E" w:rsidRDefault="008B6F72" w:rsidP="007413FE">
            <w:pPr>
              <w:pStyle w:val="ListParagraph"/>
              <w:numPr>
                <w:ilvl w:val="2"/>
                <w:numId w:val="12"/>
              </w:numPr>
              <w:spacing w:after="60"/>
              <w:ind w:left="1602"/>
              <w:rPr>
                <w:rFonts w:asciiTheme="minorBidi" w:hAnsiTheme="minorBidi" w:cstheme="minorBidi"/>
                <w:szCs w:val="24"/>
              </w:rPr>
            </w:pPr>
            <w:r w:rsidRPr="0000751E">
              <w:rPr>
                <w:rFonts w:asciiTheme="minorBidi" w:hAnsiTheme="minorBidi" w:cstheme="minorBidi"/>
                <w:szCs w:val="24"/>
              </w:rPr>
              <w:t xml:space="preserve">Discovery form </w:t>
            </w:r>
          </w:p>
          <w:p w14:paraId="4E0D712D" w14:textId="77777777" w:rsidR="008B6F72" w:rsidRPr="005B21FF" w:rsidRDefault="008B6F72" w:rsidP="007413FE">
            <w:pPr>
              <w:pStyle w:val="ListParagraph"/>
              <w:numPr>
                <w:ilvl w:val="2"/>
                <w:numId w:val="12"/>
              </w:numPr>
              <w:spacing w:after="60"/>
              <w:ind w:left="1602"/>
              <w:rPr>
                <w:rFonts w:asciiTheme="minorBidi" w:hAnsiTheme="minorBidi" w:cstheme="minorBidi"/>
                <w:szCs w:val="24"/>
              </w:rPr>
            </w:pPr>
            <w:r w:rsidRPr="0000751E">
              <w:rPr>
                <w:rFonts w:asciiTheme="minorBidi" w:hAnsiTheme="minorBidi" w:cstheme="minorBidi"/>
                <w:szCs w:val="24"/>
              </w:rPr>
              <w:t>Root cause analysis</w:t>
            </w:r>
          </w:p>
          <w:p w14:paraId="74BBA808" w14:textId="77777777" w:rsidR="008B6F72" w:rsidRPr="005B21FF" w:rsidRDefault="008B6F72" w:rsidP="007413FE">
            <w:pPr>
              <w:pStyle w:val="ListParagraph"/>
              <w:numPr>
                <w:ilvl w:val="2"/>
                <w:numId w:val="12"/>
              </w:numPr>
              <w:spacing w:after="60"/>
              <w:ind w:left="1602"/>
              <w:rPr>
                <w:rFonts w:asciiTheme="minorBidi" w:hAnsiTheme="minorBidi" w:cstheme="minorBidi"/>
                <w:szCs w:val="24"/>
              </w:rPr>
            </w:pPr>
            <w:r w:rsidRPr="0000751E">
              <w:rPr>
                <w:rFonts w:asciiTheme="minorBidi" w:hAnsiTheme="minorBidi" w:cstheme="minorBidi"/>
                <w:szCs w:val="24"/>
              </w:rPr>
              <w:t>Eindhoven model</w:t>
            </w:r>
          </w:p>
          <w:p w14:paraId="5E2A2F32" w14:textId="77777777" w:rsidR="008B6F72" w:rsidRPr="0000751E" w:rsidRDefault="008B6F72" w:rsidP="007413FE">
            <w:pPr>
              <w:pStyle w:val="ListParagraph"/>
              <w:numPr>
                <w:ilvl w:val="2"/>
                <w:numId w:val="12"/>
              </w:numPr>
              <w:spacing w:after="60"/>
              <w:ind w:left="1602"/>
              <w:rPr>
                <w:rFonts w:asciiTheme="minorBidi" w:hAnsiTheme="minorBidi" w:cstheme="minorBidi"/>
                <w:szCs w:val="24"/>
              </w:rPr>
            </w:pPr>
            <w:r w:rsidRPr="0000751E">
              <w:rPr>
                <w:rFonts w:asciiTheme="minorBidi" w:hAnsiTheme="minorBidi" w:cstheme="minorBidi"/>
                <w:szCs w:val="24"/>
              </w:rPr>
              <w:t>Failure mode and effects analysis</w:t>
            </w:r>
          </w:p>
          <w:p w14:paraId="13616769" w14:textId="77777777" w:rsidR="008B6F72" w:rsidRPr="0000751E" w:rsidRDefault="008B6F72" w:rsidP="007413FE">
            <w:pPr>
              <w:pStyle w:val="ListParagraph"/>
              <w:numPr>
                <w:ilvl w:val="2"/>
                <w:numId w:val="12"/>
              </w:numPr>
              <w:spacing w:after="60"/>
              <w:ind w:left="1602"/>
              <w:rPr>
                <w:rFonts w:asciiTheme="minorBidi" w:hAnsiTheme="minorBidi" w:cstheme="minorBidi"/>
                <w:szCs w:val="24"/>
              </w:rPr>
            </w:pPr>
            <w:r w:rsidRPr="0000751E">
              <w:rPr>
                <w:rFonts w:asciiTheme="minorBidi" w:hAnsiTheme="minorBidi" w:cstheme="minorBidi"/>
                <w:szCs w:val="24"/>
              </w:rPr>
              <w:t>Probabilistic risk assessment</w:t>
            </w:r>
          </w:p>
          <w:p w14:paraId="1AC8DD3F" w14:textId="77777777" w:rsidR="008B6F72" w:rsidRPr="0000751E" w:rsidRDefault="008B6F72" w:rsidP="007413FE">
            <w:pPr>
              <w:pStyle w:val="ListParagraph"/>
              <w:numPr>
                <w:ilvl w:val="2"/>
                <w:numId w:val="12"/>
              </w:numPr>
              <w:spacing w:after="60"/>
              <w:ind w:left="1602"/>
              <w:rPr>
                <w:rFonts w:asciiTheme="minorBidi" w:hAnsiTheme="minorBidi" w:cstheme="minorBidi"/>
                <w:szCs w:val="24"/>
              </w:rPr>
            </w:pPr>
            <w:r w:rsidRPr="0000751E">
              <w:rPr>
                <w:rFonts w:asciiTheme="minorBidi" w:hAnsiTheme="minorBidi" w:cstheme="minorBidi"/>
                <w:szCs w:val="24"/>
              </w:rPr>
              <w:t>Causal tree worksheet</w:t>
            </w:r>
          </w:p>
          <w:p w14:paraId="26DC72E9" w14:textId="77777777" w:rsidR="008B6F72" w:rsidRPr="005B21FF" w:rsidRDefault="008B6F72" w:rsidP="007413FE">
            <w:pPr>
              <w:pStyle w:val="ListParagraph"/>
              <w:numPr>
                <w:ilvl w:val="2"/>
                <w:numId w:val="12"/>
              </w:numPr>
              <w:spacing w:after="60"/>
              <w:ind w:left="1602"/>
              <w:rPr>
                <w:rFonts w:asciiTheme="minorBidi" w:hAnsiTheme="minorBidi" w:cstheme="minorBidi"/>
                <w:szCs w:val="24"/>
              </w:rPr>
            </w:pPr>
            <w:r w:rsidRPr="0000751E">
              <w:rPr>
                <w:rFonts w:asciiTheme="minorBidi" w:hAnsiTheme="minorBidi" w:cstheme="minorBidi"/>
                <w:szCs w:val="24"/>
              </w:rPr>
              <w:t>Interdisciplinary case reviews</w:t>
            </w:r>
          </w:p>
        </w:tc>
      </w:tr>
      <w:tr w:rsidR="00330094" w:rsidRPr="005B21FF" w14:paraId="06EB23CE" w14:textId="77777777" w:rsidTr="00A56DB0">
        <w:trPr>
          <w:cantSplit/>
        </w:trPr>
        <w:tc>
          <w:tcPr>
            <w:tcW w:w="3528" w:type="dxa"/>
          </w:tcPr>
          <w:p w14:paraId="5F61AFCD" w14:textId="77777777" w:rsidR="00330094" w:rsidRPr="005B21FF" w:rsidRDefault="00330094" w:rsidP="00354BD4">
            <w:pPr>
              <w:rPr>
                <w:rFonts w:asciiTheme="minorBidi" w:hAnsiTheme="minorBidi" w:cstheme="minorBidi"/>
                <w:szCs w:val="24"/>
              </w:rPr>
            </w:pPr>
            <w:r w:rsidRPr="005B21FF">
              <w:rPr>
                <w:rFonts w:asciiTheme="minorBidi" w:hAnsiTheme="minorBidi" w:cstheme="minorBidi"/>
                <w:szCs w:val="24"/>
              </w:rPr>
              <w:t>Have a process in place to review elective or medical inductions outside of defined policy indications.</w:t>
            </w:r>
          </w:p>
        </w:tc>
        <w:tc>
          <w:tcPr>
            <w:tcW w:w="6030" w:type="dxa"/>
          </w:tcPr>
          <w:p w14:paraId="41A2357F" w14:textId="77777777" w:rsidR="00330094" w:rsidRPr="005B21FF" w:rsidRDefault="00330094" w:rsidP="004B016A">
            <w:r w:rsidRPr="005B21FF">
              <w:t>Unit can decide its approach to reviewing cases of elective or medical inductions that occur outside of the unit’s established policy for inductions. This might include an existing medical peer-review process or review by a perinatal safety or quality committee.</w:t>
            </w:r>
          </w:p>
        </w:tc>
      </w:tr>
      <w:tr w:rsidR="00330094" w:rsidRPr="005B21FF" w14:paraId="4F0BCE6C" w14:textId="77777777" w:rsidTr="00A56DB0">
        <w:trPr>
          <w:cantSplit/>
        </w:trPr>
        <w:tc>
          <w:tcPr>
            <w:tcW w:w="3528" w:type="dxa"/>
          </w:tcPr>
          <w:p w14:paraId="05C94113" w14:textId="77777777" w:rsidR="00330094" w:rsidRPr="005B21FF" w:rsidRDefault="00330094" w:rsidP="00354BD4">
            <w:pPr>
              <w:rPr>
                <w:rFonts w:asciiTheme="minorBidi" w:hAnsiTheme="minorBidi" w:cstheme="minorBidi"/>
                <w:szCs w:val="24"/>
              </w:rPr>
            </w:pPr>
            <w:r w:rsidRPr="005B21FF">
              <w:rPr>
                <w:szCs w:val="24"/>
              </w:rPr>
              <w:t>Have a process in place to review severe maternal or neonatal morbidity and mortality events.</w:t>
            </w:r>
            <w:r w:rsidR="00D93A89">
              <w:rPr>
                <w:szCs w:val="24"/>
              </w:rPr>
              <w:t xml:space="preserve"> </w:t>
            </w:r>
          </w:p>
        </w:tc>
        <w:tc>
          <w:tcPr>
            <w:tcW w:w="6030" w:type="dxa"/>
          </w:tcPr>
          <w:p w14:paraId="14D221F7" w14:textId="77777777" w:rsidR="00330094" w:rsidRPr="005B21FF" w:rsidRDefault="00330094" w:rsidP="004B016A">
            <w:r w:rsidRPr="005B21FF">
              <w:t>Unit can decide its approach to reviewing cases of severe maternal or neonatal morbidity or mortality.</w:t>
            </w:r>
            <w:r w:rsidR="00D93A89">
              <w:t xml:space="preserve"> </w:t>
            </w:r>
            <w:r w:rsidRPr="005B21FF">
              <w:t>This might include an existing medical peer-review process or review by a perinatal safety or quality committee.</w:t>
            </w:r>
          </w:p>
          <w:p w14:paraId="5C6DACB6" w14:textId="77777777" w:rsidR="00330094" w:rsidRPr="005B21FF" w:rsidRDefault="00330094" w:rsidP="004B016A">
            <w:r w:rsidRPr="005B21FF">
              <w:t>A sample process and forms for a committee review are available at the Council on Patient Safety in Women’s Health Care</w:t>
            </w:r>
            <w:r w:rsidR="00E3788A">
              <w:t>,</w:t>
            </w:r>
            <w:r w:rsidRPr="005B21FF">
              <w:t xml:space="preserve"> </w:t>
            </w:r>
          </w:p>
          <w:p w14:paraId="626E7486" w14:textId="08A48B1D" w:rsidR="003C5BEB" w:rsidRDefault="00CA34AF" w:rsidP="00E3788A">
            <w:hyperlink r:id="rId9" w:history="1">
              <w:r w:rsidR="007B05B5">
                <w:rPr>
                  <w:rStyle w:val="Hyperlink"/>
                  <w:szCs w:val="24"/>
                </w:rPr>
                <w:t>http://www.safehealthcareforeverywoman.org</w:t>
              </w:r>
            </w:hyperlink>
            <w:r w:rsidR="003C5BEB">
              <w:rPr>
                <w:rStyle w:val="Hyperlink"/>
                <w:szCs w:val="24"/>
              </w:rPr>
              <w:t>.</w:t>
            </w:r>
            <w:r w:rsidR="00D93A89">
              <w:t xml:space="preserve"> </w:t>
            </w:r>
          </w:p>
          <w:p w14:paraId="7687B3DB" w14:textId="4DF169F6" w:rsidR="00330094" w:rsidRPr="005B21FF" w:rsidRDefault="00330094" w:rsidP="00DF7233">
            <w:pPr>
              <w:rPr>
                <w:rFonts w:asciiTheme="minorBidi" w:hAnsiTheme="minorBidi" w:cstheme="minorBidi"/>
              </w:rPr>
            </w:pPr>
            <w:r w:rsidRPr="005B21FF">
              <w:t>Select “Get SMM Forms.”</w:t>
            </w:r>
          </w:p>
        </w:tc>
      </w:tr>
      <w:tr w:rsidR="00330094" w:rsidRPr="005B21FF" w14:paraId="169CFD52" w14:textId="77777777" w:rsidTr="00A56DB0">
        <w:trPr>
          <w:cantSplit/>
        </w:trPr>
        <w:tc>
          <w:tcPr>
            <w:tcW w:w="3528" w:type="dxa"/>
          </w:tcPr>
          <w:p w14:paraId="12FAD470" w14:textId="77777777" w:rsidR="00330094" w:rsidRPr="005B21FF" w:rsidRDefault="00330094" w:rsidP="00354BD4">
            <w:pPr>
              <w:pStyle w:val="ListParagraph"/>
              <w:ind w:left="0" w:hanging="18"/>
              <w:rPr>
                <w:szCs w:val="24"/>
              </w:rPr>
            </w:pPr>
            <w:r w:rsidRPr="005B21FF">
              <w:rPr>
                <w:szCs w:val="24"/>
              </w:rPr>
              <w:t>Share outcomes or process improvements from the informal (debriefing) and formal analysis with staff to achieve transparency and organizational learning.</w:t>
            </w:r>
          </w:p>
        </w:tc>
        <w:tc>
          <w:tcPr>
            <w:tcW w:w="6030" w:type="dxa"/>
          </w:tcPr>
          <w:p w14:paraId="3BB47FF0" w14:textId="3ACF554C" w:rsidR="00330094" w:rsidRPr="005B21FF" w:rsidRDefault="00330094" w:rsidP="00125C73">
            <w:r w:rsidRPr="005B21FF">
              <w:t xml:space="preserve">Sites </w:t>
            </w:r>
            <w:r w:rsidRPr="005B21FF">
              <w:rPr>
                <w:rFonts w:asciiTheme="minorBidi" w:hAnsiTheme="minorBidi" w:cstheme="minorBidi"/>
              </w:rPr>
              <w:t>can</w:t>
            </w:r>
            <w:r w:rsidRPr="005B21FF">
              <w:t xml:space="preserve"> decide how often</w:t>
            </w:r>
            <w:r w:rsidR="00125C73">
              <w:t xml:space="preserve"> </w:t>
            </w:r>
            <w:r w:rsidR="00125C73" w:rsidRPr="005B21FF">
              <w:t>this information will be shared</w:t>
            </w:r>
            <w:r w:rsidRPr="005B21FF">
              <w:t>, how much</w:t>
            </w:r>
            <w:r w:rsidR="00125C73">
              <w:t xml:space="preserve"> </w:t>
            </w:r>
            <w:r w:rsidR="00125C73" w:rsidRPr="005B21FF">
              <w:t>information will be shared</w:t>
            </w:r>
            <w:r w:rsidRPr="005B21FF">
              <w:t xml:space="preserve">, and </w:t>
            </w:r>
            <w:r w:rsidR="00A94A6A">
              <w:t>with</w:t>
            </w:r>
            <w:r w:rsidRPr="005B21FF">
              <w:t xml:space="preserve"> whom</w:t>
            </w:r>
            <w:r w:rsidR="00125C73">
              <w:t xml:space="preserve">, </w:t>
            </w:r>
            <w:r w:rsidRPr="005B21FF">
              <w:t>and whether this is specified in a unit policy or is handled more informally.</w:t>
            </w:r>
          </w:p>
        </w:tc>
      </w:tr>
    </w:tbl>
    <w:p w14:paraId="1FAEF22E" w14:textId="462F5975" w:rsidR="00330094" w:rsidRDefault="00330094" w:rsidP="00330094">
      <w:pPr>
        <w:spacing w:after="0"/>
        <w:rPr>
          <w:sz w:val="12"/>
          <w:szCs w:val="12"/>
        </w:rPr>
      </w:pPr>
    </w:p>
    <w:p w14:paraId="2187B95E" w14:textId="6EDF1925" w:rsidR="00A56DB0" w:rsidRPr="00573E3F" w:rsidRDefault="00A56DB0" w:rsidP="00A56DB0">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sz w:val="12"/>
          <w:szCs w:val="12"/>
        </w:rPr>
      </w:pPr>
      <w:r w:rsidRPr="005B21FF">
        <w:rPr>
          <w:rFonts w:asciiTheme="minorBidi" w:hAnsiTheme="minorBidi"/>
          <w:b/>
          <w:i/>
          <w:szCs w:val="24"/>
        </w:rPr>
        <w:lastRenderedPageBreak/>
        <w:t>Simulation (Safety Program for Perinatal Care Signature Element)</w:t>
      </w:r>
    </w:p>
    <w:tbl>
      <w:tblPr>
        <w:tblStyle w:val="TableGrid"/>
        <w:tblW w:w="9558" w:type="dxa"/>
        <w:tblLook w:val="04A0" w:firstRow="1" w:lastRow="0" w:firstColumn="1" w:lastColumn="0" w:noHBand="0" w:noVBand="1"/>
        <w:tblDescription w:val="Key Perinatal Safety Elements"/>
      </w:tblPr>
      <w:tblGrid>
        <w:gridCol w:w="3528"/>
        <w:gridCol w:w="6030"/>
      </w:tblGrid>
      <w:tr w:rsidR="00330094" w:rsidRPr="005B21FF" w14:paraId="611F7FF3" w14:textId="77777777" w:rsidTr="00A56DB0">
        <w:trPr>
          <w:cantSplit/>
          <w:tblHeader/>
        </w:trPr>
        <w:tc>
          <w:tcPr>
            <w:tcW w:w="3528" w:type="dxa"/>
          </w:tcPr>
          <w:p w14:paraId="1EEEAB2C" w14:textId="77777777" w:rsidR="00330094" w:rsidRPr="005B21FF" w:rsidRDefault="00330094" w:rsidP="00354BD4">
            <w:pPr>
              <w:keepNext/>
              <w:rPr>
                <w:rFonts w:asciiTheme="minorBidi" w:hAnsiTheme="minorBidi" w:cstheme="minorBidi"/>
                <w:b/>
                <w:szCs w:val="24"/>
              </w:rPr>
            </w:pPr>
            <w:r w:rsidRPr="005B21FF">
              <w:rPr>
                <w:rFonts w:asciiTheme="minorBidi" w:hAnsiTheme="minorBidi" w:cstheme="minorBidi"/>
                <w:b/>
                <w:szCs w:val="24"/>
              </w:rPr>
              <w:t>Key Perinatal Safety Elements</w:t>
            </w:r>
          </w:p>
        </w:tc>
        <w:tc>
          <w:tcPr>
            <w:tcW w:w="6030" w:type="dxa"/>
          </w:tcPr>
          <w:p w14:paraId="45296BF5" w14:textId="77777777" w:rsidR="00330094" w:rsidRPr="005B21FF" w:rsidRDefault="00330094" w:rsidP="00354BD4">
            <w:pPr>
              <w:keepNext/>
              <w:rPr>
                <w:rFonts w:asciiTheme="minorBidi" w:hAnsiTheme="minorBidi" w:cstheme="minorBidi"/>
                <w:b/>
                <w:szCs w:val="24"/>
              </w:rPr>
            </w:pPr>
            <w:r w:rsidRPr="005B21FF">
              <w:rPr>
                <w:rFonts w:asciiTheme="minorBidi" w:hAnsiTheme="minorBidi" w:cstheme="minorBidi"/>
                <w:b/>
                <w:szCs w:val="24"/>
              </w:rPr>
              <w:t>Examples</w:t>
            </w:r>
          </w:p>
        </w:tc>
      </w:tr>
      <w:tr w:rsidR="008B6F72" w:rsidRPr="005B21FF" w14:paraId="4611F2C0" w14:textId="77777777" w:rsidTr="00A56DB0">
        <w:trPr>
          <w:cantSplit/>
          <w:trHeight w:val="3419"/>
        </w:trPr>
        <w:tc>
          <w:tcPr>
            <w:tcW w:w="3528" w:type="dxa"/>
          </w:tcPr>
          <w:p w14:paraId="107C8757" w14:textId="584B09FB" w:rsidR="008B6F72" w:rsidRDefault="008B6F72" w:rsidP="00354BD4">
            <w:pPr>
              <w:rPr>
                <w:rFonts w:asciiTheme="minorBidi" w:hAnsiTheme="minorBidi" w:cstheme="minorBidi"/>
                <w:szCs w:val="24"/>
              </w:rPr>
            </w:pPr>
            <w:r>
              <w:rPr>
                <w:rFonts w:asciiTheme="minorBidi" w:hAnsiTheme="minorBidi" w:cstheme="minorBidi"/>
                <w:szCs w:val="24"/>
              </w:rPr>
              <w:t xml:space="preserve">Sample </w:t>
            </w:r>
            <w:r w:rsidR="003C5BEB">
              <w:rPr>
                <w:rFonts w:asciiTheme="minorBidi" w:hAnsiTheme="minorBidi" w:cstheme="minorBidi"/>
                <w:szCs w:val="24"/>
              </w:rPr>
              <w:t>s</w:t>
            </w:r>
            <w:r>
              <w:rPr>
                <w:rFonts w:asciiTheme="minorBidi" w:hAnsiTheme="minorBidi" w:cstheme="minorBidi"/>
                <w:szCs w:val="24"/>
              </w:rPr>
              <w:t>cenario:</w:t>
            </w:r>
          </w:p>
          <w:p w14:paraId="1460C3F7" w14:textId="6B2B91DF" w:rsidR="008B6F72" w:rsidRPr="00285E28" w:rsidRDefault="003C5BEB" w:rsidP="003C5BEB">
            <w:pPr>
              <w:pStyle w:val="ListParagraph"/>
              <w:numPr>
                <w:ilvl w:val="0"/>
                <w:numId w:val="21"/>
              </w:numPr>
              <w:rPr>
                <w:rFonts w:asciiTheme="minorBidi" w:eastAsia="Calibri" w:hAnsiTheme="minorBidi"/>
                <w:szCs w:val="24"/>
              </w:rPr>
            </w:pPr>
            <w:r>
              <w:rPr>
                <w:rFonts w:asciiTheme="minorBidi" w:eastAsia="Calibri" w:hAnsiTheme="minorBidi"/>
                <w:szCs w:val="24"/>
              </w:rPr>
              <w:t>u</w:t>
            </w:r>
            <w:r w:rsidR="008B6F72" w:rsidRPr="00285E28">
              <w:rPr>
                <w:rFonts w:asciiTheme="minorBidi" w:eastAsia="Calibri" w:hAnsiTheme="minorBidi"/>
                <w:szCs w:val="24"/>
              </w:rPr>
              <w:t xml:space="preserve">terine </w:t>
            </w:r>
            <w:r>
              <w:rPr>
                <w:rFonts w:asciiTheme="minorBidi" w:eastAsia="Calibri" w:hAnsiTheme="minorBidi"/>
                <w:szCs w:val="24"/>
              </w:rPr>
              <w:t>t</w:t>
            </w:r>
            <w:r w:rsidR="008B6F72" w:rsidRPr="00285E28">
              <w:rPr>
                <w:rFonts w:asciiTheme="minorBidi" w:eastAsia="Calibri" w:hAnsiTheme="minorBidi"/>
                <w:szCs w:val="24"/>
              </w:rPr>
              <w:t xml:space="preserve">achysystole </w:t>
            </w:r>
          </w:p>
        </w:tc>
        <w:tc>
          <w:tcPr>
            <w:tcW w:w="6030" w:type="dxa"/>
          </w:tcPr>
          <w:p w14:paraId="5F4A8669" w14:textId="77777777" w:rsidR="008B6F72" w:rsidRPr="005B21FF" w:rsidRDefault="008B6F72" w:rsidP="00001EB9">
            <w:pPr>
              <w:pStyle w:val="ListParagraph"/>
              <w:numPr>
                <w:ilvl w:val="0"/>
                <w:numId w:val="21"/>
              </w:numPr>
              <w:ind w:left="432" w:hanging="270"/>
            </w:pPr>
            <w:r w:rsidRPr="005B21FF">
              <w:t xml:space="preserve">A </w:t>
            </w:r>
            <w:r w:rsidRPr="00001EB9">
              <w:rPr>
                <w:rFonts w:asciiTheme="minorBidi" w:hAnsiTheme="minorBidi" w:cstheme="minorBidi"/>
                <w:szCs w:val="24"/>
              </w:rPr>
              <w:t>sample</w:t>
            </w:r>
            <w:r w:rsidRPr="005B21FF">
              <w:t xml:space="preserve"> scenario available through the Safety Program for Perinatal Care can be used to train teams on the key perinatal safety elements related to oxytocin use. This scenario reinforces teamwork and communication related to the following:</w:t>
            </w:r>
          </w:p>
          <w:p w14:paraId="49136660" w14:textId="77777777" w:rsidR="008B6F72" w:rsidRPr="005B21FF" w:rsidRDefault="008B6F72" w:rsidP="00001EB9">
            <w:pPr>
              <w:pStyle w:val="ListParagraph"/>
              <w:numPr>
                <w:ilvl w:val="1"/>
                <w:numId w:val="12"/>
              </w:numPr>
              <w:spacing w:after="60"/>
              <w:ind w:left="706" w:hanging="274"/>
              <w:rPr>
                <w:rFonts w:asciiTheme="minorBidi" w:hAnsiTheme="minorBidi" w:cstheme="minorBidi"/>
                <w:szCs w:val="24"/>
              </w:rPr>
            </w:pPr>
            <w:r w:rsidRPr="005B21FF">
              <w:rPr>
                <w:rFonts w:asciiTheme="minorBidi" w:hAnsiTheme="minorBidi" w:cstheme="minorBidi"/>
                <w:szCs w:val="24"/>
              </w:rPr>
              <w:t>situational awareness</w:t>
            </w:r>
          </w:p>
          <w:p w14:paraId="084B50DD" w14:textId="77777777" w:rsidR="008B6F72" w:rsidRPr="00E46191" w:rsidRDefault="008B6F72" w:rsidP="00001EB9">
            <w:pPr>
              <w:pStyle w:val="ListParagraph"/>
              <w:numPr>
                <w:ilvl w:val="1"/>
                <w:numId w:val="12"/>
              </w:numPr>
              <w:spacing w:after="60"/>
              <w:ind w:left="706" w:hanging="274"/>
              <w:rPr>
                <w:rFonts w:asciiTheme="minorBidi" w:hAnsiTheme="minorBidi" w:cstheme="minorBidi"/>
                <w:szCs w:val="24"/>
              </w:rPr>
            </w:pPr>
            <w:r w:rsidRPr="005B21FF">
              <w:rPr>
                <w:rFonts w:asciiTheme="minorBidi" w:hAnsiTheme="minorBidi" w:cstheme="minorBidi"/>
                <w:szCs w:val="24"/>
              </w:rPr>
              <w:t>parameters for monitoring and provider notification</w:t>
            </w:r>
          </w:p>
          <w:p w14:paraId="4C69D58C" w14:textId="77777777" w:rsidR="008B6F72" w:rsidRPr="005B21FF" w:rsidRDefault="008B6F72" w:rsidP="00001EB9">
            <w:pPr>
              <w:pStyle w:val="ListParagraph"/>
              <w:numPr>
                <w:ilvl w:val="1"/>
                <w:numId w:val="12"/>
              </w:numPr>
              <w:spacing w:after="60"/>
              <w:ind w:left="706" w:hanging="274"/>
              <w:rPr>
                <w:rFonts w:asciiTheme="minorBidi" w:hAnsiTheme="minorBidi" w:cstheme="minorBidi"/>
                <w:szCs w:val="24"/>
              </w:rPr>
            </w:pPr>
            <w:r w:rsidRPr="005B21FF">
              <w:rPr>
                <w:rFonts w:asciiTheme="minorBidi" w:hAnsiTheme="minorBidi" w:cstheme="minorBidi"/>
                <w:szCs w:val="24"/>
              </w:rPr>
              <w:t xml:space="preserve">timely use of standing orders for managing tachysystole </w:t>
            </w:r>
          </w:p>
          <w:p w14:paraId="13323C98" w14:textId="77777777" w:rsidR="008B6F72" w:rsidRPr="005B21FF" w:rsidRDefault="008B6F72" w:rsidP="00001EB9">
            <w:pPr>
              <w:pStyle w:val="ListParagraph"/>
              <w:numPr>
                <w:ilvl w:val="1"/>
                <w:numId w:val="12"/>
              </w:numPr>
              <w:spacing w:after="60"/>
              <w:ind w:left="706" w:hanging="274"/>
              <w:rPr>
                <w:rFonts w:asciiTheme="minorBidi" w:hAnsiTheme="minorBidi" w:cstheme="minorBidi"/>
                <w:szCs w:val="24"/>
              </w:rPr>
            </w:pPr>
            <w:r w:rsidRPr="005B21FF">
              <w:rPr>
                <w:rFonts w:asciiTheme="minorBidi" w:hAnsiTheme="minorBidi" w:cstheme="minorBidi"/>
                <w:szCs w:val="24"/>
              </w:rPr>
              <w:t>communication with rapid responders</w:t>
            </w:r>
          </w:p>
          <w:p w14:paraId="094B59CE" w14:textId="77777777" w:rsidR="008B6F72" w:rsidRPr="005B21FF" w:rsidRDefault="008B6F72" w:rsidP="00001EB9">
            <w:pPr>
              <w:pStyle w:val="ListParagraph"/>
              <w:numPr>
                <w:ilvl w:val="1"/>
                <w:numId w:val="12"/>
              </w:numPr>
              <w:spacing w:after="60"/>
              <w:ind w:left="706" w:hanging="274"/>
              <w:rPr>
                <w:rFonts w:asciiTheme="minorBidi" w:hAnsiTheme="minorBidi" w:cstheme="minorBidi"/>
                <w:szCs w:val="24"/>
              </w:rPr>
            </w:pPr>
            <w:r w:rsidRPr="005B21FF">
              <w:rPr>
                <w:rFonts w:asciiTheme="minorBidi" w:hAnsiTheme="minorBidi" w:cstheme="minorBidi"/>
                <w:szCs w:val="24"/>
              </w:rPr>
              <w:t xml:space="preserve">communicating with patient/family </w:t>
            </w:r>
          </w:p>
          <w:p w14:paraId="2AC0EB5C" w14:textId="77777777" w:rsidR="008B6F72" w:rsidRPr="00E46191" w:rsidRDefault="008B6F72" w:rsidP="00001EB9">
            <w:pPr>
              <w:pStyle w:val="ListParagraph"/>
              <w:numPr>
                <w:ilvl w:val="1"/>
                <w:numId w:val="12"/>
              </w:numPr>
              <w:spacing w:after="60"/>
              <w:ind w:left="706" w:hanging="274"/>
              <w:rPr>
                <w:rFonts w:asciiTheme="minorBidi" w:hAnsiTheme="minorBidi" w:cstheme="minorBidi"/>
                <w:szCs w:val="24"/>
              </w:rPr>
            </w:pPr>
            <w:r w:rsidRPr="0000751E">
              <w:rPr>
                <w:rFonts w:asciiTheme="minorBidi" w:hAnsiTheme="minorBidi" w:cstheme="minorBidi"/>
                <w:szCs w:val="24"/>
              </w:rPr>
              <w:t>using briefings, huddles, and debriefings</w:t>
            </w:r>
          </w:p>
        </w:tc>
      </w:tr>
    </w:tbl>
    <w:p w14:paraId="399A90C8" w14:textId="2B413FD2" w:rsidR="00330094" w:rsidRDefault="00330094" w:rsidP="00330094">
      <w:pPr>
        <w:keepNext/>
        <w:spacing w:after="0"/>
        <w:rPr>
          <w:sz w:val="12"/>
          <w:szCs w:val="12"/>
        </w:rPr>
      </w:pPr>
    </w:p>
    <w:p w14:paraId="013A1DE8" w14:textId="2D99ECC1" w:rsidR="00A56DB0" w:rsidRPr="00573E3F" w:rsidRDefault="00A56DB0" w:rsidP="00A56DB0">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sz w:val="12"/>
          <w:szCs w:val="12"/>
        </w:rPr>
      </w:pPr>
      <w:r w:rsidRPr="005B21FF">
        <w:rPr>
          <w:rFonts w:asciiTheme="minorBidi" w:hAnsiTheme="minorBidi"/>
          <w:b/>
          <w:i/>
          <w:szCs w:val="24"/>
        </w:rPr>
        <w:t>Teamwork Training (TeamSTEPPS</w:t>
      </w:r>
      <w:r w:rsidRPr="005B21FF">
        <w:rPr>
          <w:rFonts w:asciiTheme="minorBidi" w:hAnsiTheme="minorBidi"/>
          <w:b/>
          <w:i/>
          <w:szCs w:val="24"/>
          <w:vertAlign w:val="superscript"/>
        </w:rPr>
        <w:t>®</w:t>
      </w:r>
      <w:r w:rsidRPr="005B21FF">
        <w:rPr>
          <w:rFonts w:asciiTheme="minorBidi" w:hAnsiTheme="minorBidi"/>
          <w:b/>
          <w:i/>
          <w:szCs w:val="24"/>
        </w:rPr>
        <w:t>)</w:t>
      </w:r>
    </w:p>
    <w:tbl>
      <w:tblPr>
        <w:tblStyle w:val="TableGrid"/>
        <w:tblW w:w="9558" w:type="dxa"/>
        <w:tblLook w:val="04A0" w:firstRow="1" w:lastRow="0" w:firstColumn="1" w:lastColumn="0" w:noHBand="0" w:noVBand="1"/>
        <w:tblDescription w:val="Key Perinatal Safety Elements"/>
      </w:tblPr>
      <w:tblGrid>
        <w:gridCol w:w="3528"/>
        <w:gridCol w:w="6030"/>
      </w:tblGrid>
      <w:tr w:rsidR="00330094" w:rsidRPr="005B21FF" w14:paraId="1EB9BAB5" w14:textId="77777777" w:rsidTr="00A56DB0">
        <w:trPr>
          <w:cantSplit/>
          <w:tblHeader/>
        </w:trPr>
        <w:tc>
          <w:tcPr>
            <w:tcW w:w="3528" w:type="dxa"/>
          </w:tcPr>
          <w:p w14:paraId="69C2F716" w14:textId="77777777" w:rsidR="00330094" w:rsidRPr="005B21FF" w:rsidRDefault="00330094" w:rsidP="00354BD4">
            <w:pPr>
              <w:keepNext/>
              <w:rPr>
                <w:rFonts w:asciiTheme="minorBidi" w:hAnsiTheme="minorBidi" w:cstheme="minorBidi"/>
                <w:b/>
                <w:szCs w:val="24"/>
              </w:rPr>
            </w:pPr>
            <w:r w:rsidRPr="005B21FF">
              <w:rPr>
                <w:rFonts w:asciiTheme="minorBidi" w:hAnsiTheme="minorBidi" w:cstheme="minorBidi"/>
                <w:b/>
                <w:szCs w:val="24"/>
              </w:rPr>
              <w:t>Key Perinatal Safety Elements</w:t>
            </w:r>
          </w:p>
        </w:tc>
        <w:tc>
          <w:tcPr>
            <w:tcW w:w="6030" w:type="dxa"/>
          </w:tcPr>
          <w:p w14:paraId="778E0744" w14:textId="77777777" w:rsidR="00330094" w:rsidRPr="005B21FF" w:rsidRDefault="00330094" w:rsidP="00354BD4">
            <w:pPr>
              <w:keepNext/>
              <w:rPr>
                <w:rFonts w:asciiTheme="minorBidi" w:hAnsiTheme="minorBidi" w:cstheme="minorBidi"/>
                <w:b/>
                <w:szCs w:val="24"/>
              </w:rPr>
            </w:pPr>
            <w:r w:rsidRPr="005B21FF">
              <w:rPr>
                <w:rFonts w:asciiTheme="minorBidi" w:hAnsiTheme="minorBidi" w:cstheme="minorBidi"/>
                <w:b/>
                <w:szCs w:val="24"/>
              </w:rPr>
              <w:t>Examples</w:t>
            </w:r>
          </w:p>
        </w:tc>
      </w:tr>
      <w:tr w:rsidR="00330094" w:rsidRPr="005B21FF" w14:paraId="425F360E" w14:textId="77777777" w:rsidTr="00A56DB0">
        <w:trPr>
          <w:cantSplit/>
        </w:trPr>
        <w:tc>
          <w:tcPr>
            <w:tcW w:w="3528" w:type="dxa"/>
          </w:tcPr>
          <w:p w14:paraId="563C8719" w14:textId="77777777" w:rsidR="00330094" w:rsidRPr="005B21FF" w:rsidRDefault="00330094" w:rsidP="00E3788A">
            <w:pPr>
              <w:rPr>
                <w:rFonts w:asciiTheme="minorBidi" w:hAnsiTheme="minorBidi" w:cstheme="minorBidi"/>
                <w:szCs w:val="24"/>
              </w:rPr>
            </w:pPr>
            <w:r w:rsidRPr="005B21FF">
              <w:rPr>
                <w:rFonts w:asciiTheme="minorBidi" w:hAnsiTheme="minorBidi" w:cstheme="minorBidi"/>
                <w:szCs w:val="24"/>
              </w:rPr>
              <w:t xml:space="preserve">Communication between unit staff and admitting providers </w:t>
            </w:r>
            <w:r w:rsidR="00E3788A">
              <w:rPr>
                <w:rFonts w:asciiTheme="minorBidi" w:hAnsiTheme="minorBidi" w:cstheme="minorBidi"/>
                <w:szCs w:val="24"/>
              </w:rPr>
              <w:t>about</w:t>
            </w:r>
            <w:r w:rsidRPr="005B21FF">
              <w:rPr>
                <w:rFonts w:asciiTheme="minorBidi" w:hAnsiTheme="minorBidi" w:cstheme="minorBidi"/>
                <w:szCs w:val="24"/>
              </w:rPr>
              <w:t xml:space="preserve"> admission for inductions outside of the unit’s defined criteria for induction.</w:t>
            </w:r>
          </w:p>
        </w:tc>
        <w:tc>
          <w:tcPr>
            <w:tcW w:w="6030" w:type="dxa"/>
          </w:tcPr>
          <w:p w14:paraId="6B179FA6" w14:textId="77777777" w:rsidR="00330094" w:rsidRPr="005B21FF" w:rsidRDefault="00330094" w:rsidP="004B016A">
            <w:r w:rsidRPr="005B21FF">
              <w:t>Use TeamSTEPPS techniques for communication and collaboration when disagreements about admission for induction arise:</w:t>
            </w:r>
          </w:p>
          <w:p w14:paraId="04548DC8" w14:textId="417AEB30" w:rsidR="00330094" w:rsidRPr="005B21FF" w:rsidRDefault="00E3788A" w:rsidP="0000751E">
            <w:pPr>
              <w:pStyle w:val="ListParagraph"/>
              <w:numPr>
                <w:ilvl w:val="0"/>
                <w:numId w:val="21"/>
              </w:numPr>
              <w:ind w:left="432" w:hanging="270"/>
              <w:rPr>
                <w:rFonts w:asciiTheme="minorBidi" w:hAnsiTheme="minorBidi" w:cstheme="minorBidi"/>
                <w:szCs w:val="24"/>
              </w:rPr>
            </w:pPr>
            <w:r>
              <w:rPr>
                <w:rFonts w:asciiTheme="minorBidi" w:hAnsiTheme="minorBidi" w:cstheme="minorBidi"/>
                <w:szCs w:val="24"/>
              </w:rPr>
              <w:t>c</w:t>
            </w:r>
            <w:r w:rsidR="00330094" w:rsidRPr="005B21FF">
              <w:rPr>
                <w:rFonts w:asciiTheme="minorBidi" w:hAnsiTheme="minorBidi" w:cstheme="minorBidi"/>
                <w:szCs w:val="24"/>
              </w:rPr>
              <w:t xml:space="preserve">ommunicating the </w:t>
            </w:r>
            <w:r w:rsidR="00B865F5">
              <w:rPr>
                <w:rFonts w:asciiTheme="minorBidi" w:hAnsiTheme="minorBidi" w:cstheme="minorBidi"/>
                <w:szCs w:val="24"/>
              </w:rPr>
              <w:t>h</w:t>
            </w:r>
            <w:r w:rsidR="00330094" w:rsidRPr="005B21FF">
              <w:rPr>
                <w:rFonts w:asciiTheme="minorBidi" w:hAnsiTheme="minorBidi" w:cstheme="minorBidi"/>
                <w:szCs w:val="24"/>
              </w:rPr>
              <w:t>ard</w:t>
            </w:r>
            <w:r w:rsidR="003C5BEB">
              <w:rPr>
                <w:rFonts w:asciiTheme="minorBidi" w:hAnsiTheme="minorBidi" w:cstheme="minorBidi"/>
                <w:szCs w:val="24"/>
              </w:rPr>
              <w:t>-s</w:t>
            </w:r>
            <w:r w:rsidR="00330094" w:rsidRPr="005B21FF">
              <w:rPr>
                <w:rFonts w:asciiTheme="minorBidi" w:hAnsiTheme="minorBidi" w:cstheme="minorBidi"/>
                <w:szCs w:val="24"/>
              </w:rPr>
              <w:t xml:space="preserve">top </w:t>
            </w:r>
            <w:r w:rsidR="003C5BEB">
              <w:rPr>
                <w:rFonts w:asciiTheme="minorBidi" w:hAnsiTheme="minorBidi" w:cstheme="minorBidi"/>
                <w:szCs w:val="24"/>
              </w:rPr>
              <w:t>p</w:t>
            </w:r>
            <w:r w:rsidR="00330094" w:rsidRPr="005B21FF">
              <w:rPr>
                <w:rFonts w:asciiTheme="minorBidi" w:hAnsiTheme="minorBidi" w:cstheme="minorBidi"/>
                <w:szCs w:val="24"/>
              </w:rPr>
              <w:t xml:space="preserve">olicy </w:t>
            </w:r>
            <w:r>
              <w:rPr>
                <w:rFonts w:asciiTheme="minorBidi" w:hAnsiTheme="minorBidi" w:cstheme="minorBidi"/>
                <w:szCs w:val="24"/>
              </w:rPr>
              <w:t>on</w:t>
            </w:r>
            <w:r w:rsidR="00330094" w:rsidRPr="005B21FF">
              <w:rPr>
                <w:rFonts w:asciiTheme="minorBidi" w:hAnsiTheme="minorBidi" w:cstheme="minorBidi"/>
                <w:szCs w:val="24"/>
              </w:rPr>
              <w:t xml:space="preserve"> inductions outside of the unit’s defined criteria through a planned process </w:t>
            </w:r>
          </w:p>
          <w:p w14:paraId="3ACFE97A" w14:textId="77777777" w:rsidR="00330094" w:rsidRPr="005B21FF" w:rsidRDefault="00330094" w:rsidP="0000751E">
            <w:pPr>
              <w:pStyle w:val="ListParagraph"/>
              <w:numPr>
                <w:ilvl w:val="0"/>
                <w:numId w:val="21"/>
              </w:numPr>
              <w:ind w:left="432" w:hanging="270"/>
              <w:rPr>
                <w:rFonts w:asciiTheme="minorBidi" w:hAnsiTheme="minorBidi" w:cstheme="minorBidi"/>
                <w:szCs w:val="24"/>
              </w:rPr>
            </w:pPr>
            <w:r w:rsidRPr="005B21FF">
              <w:rPr>
                <w:rFonts w:asciiTheme="minorBidi" w:hAnsiTheme="minorBidi" w:cstheme="minorBidi"/>
                <w:szCs w:val="24"/>
              </w:rPr>
              <w:t>Use of TeamSTEPPS techniques of</w:t>
            </w:r>
            <w:r w:rsidR="00E3788A">
              <w:rPr>
                <w:rFonts w:asciiTheme="minorBidi" w:hAnsiTheme="minorBidi" w:cstheme="minorBidi"/>
                <w:szCs w:val="24"/>
              </w:rPr>
              <w:t>—</w:t>
            </w:r>
          </w:p>
          <w:p w14:paraId="553CD386" w14:textId="77777777" w:rsidR="00330094" w:rsidRPr="005B21FF" w:rsidRDefault="00E3788A" w:rsidP="0000751E">
            <w:pPr>
              <w:pStyle w:val="ListParagraph"/>
              <w:numPr>
                <w:ilvl w:val="1"/>
                <w:numId w:val="12"/>
              </w:numPr>
              <w:spacing w:after="60"/>
              <w:ind w:left="706" w:hanging="274"/>
              <w:rPr>
                <w:rFonts w:asciiTheme="minorBidi" w:hAnsiTheme="minorBidi" w:cstheme="minorBidi"/>
                <w:szCs w:val="24"/>
              </w:rPr>
            </w:pPr>
            <w:r>
              <w:rPr>
                <w:rFonts w:asciiTheme="minorBidi" w:hAnsiTheme="minorBidi" w:cstheme="minorBidi"/>
                <w:szCs w:val="24"/>
              </w:rPr>
              <w:t>a</w:t>
            </w:r>
            <w:r w:rsidR="00330094" w:rsidRPr="005B21FF">
              <w:rPr>
                <w:rFonts w:asciiTheme="minorBidi" w:hAnsiTheme="minorBidi" w:cstheme="minorBidi"/>
                <w:szCs w:val="24"/>
              </w:rPr>
              <w:t>dvocacy and assertion</w:t>
            </w:r>
          </w:p>
          <w:p w14:paraId="198B8C3B" w14:textId="77777777" w:rsidR="00330094" w:rsidRPr="005B21FF" w:rsidRDefault="00330094" w:rsidP="0000751E">
            <w:pPr>
              <w:pStyle w:val="ListParagraph"/>
              <w:numPr>
                <w:ilvl w:val="1"/>
                <w:numId w:val="12"/>
              </w:numPr>
              <w:spacing w:after="60"/>
              <w:ind w:left="706" w:hanging="274"/>
              <w:rPr>
                <w:rFonts w:asciiTheme="minorBidi" w:hAnsiTheme="minorBidi" w:cstheme="minorBidi"/>
                <w:szCs w:val="24"/>
              </w:rPr>
            </w:pPr>
            <w:r w:rsidRPr="005B21FF">
              <w:rPr>
                <w:rFonts w:asciiTheme="minorBidi" w:hAnsiTheme="minorBidi" w:cstheme="minorBidi"/>
                <w:szCs w:val="24"/>
              </w:rPr>
              <w:t>CUS technique (</w:t>
            </w:r>
            <w:r w:rsidRPr="0083648F">
              <w:rPr>
                <w:rFonts w:asciiTheme="minorBidi" w:hAnsiTheme="minorBidi" w:cstheme="minorBidi"/>
                <w:b/>
                <w:szCs w:val="24"/>
              </w:rPr>
              <w:t>C</w:t>
            </w:r>
            <w:r w:rsidRPr="005B21FF">
              <w:rPr>
                <w:rFonts w:asciiTheme="minorBidi" w:hAnsiTheme="minorBidi" w:cstheme="minorBidi"/>
                <w:szCs w:val="24"/>
              </w:rPr>
              <w:t xml:space="preserve">oncerned, </w:t>
            </w:r>
            <w:r w:rsidRPr="0083648F">
              <w:rPr>
                <w:rFonts w:asciiTheme="minorBidi" w:hAnsiTheme="minorBidi" w:cstheme="minorBidi"/>
                <w:b/>
                <w:szCs w:val="24"/>
              </w:rPr>
              <w:t>U</w:t>
            </w:r>
            <w:r w:rsidRPr="005B21FF">
              <w:rPr>
                <w:rFonts w:asciiTheme="minorBidi" w:hAnsiTheme="minorBidi" w:cstheme="minorBidi"/>
                <w:szCs w:val="24"/>
              </w:rPr>
              <w:t xml:space="preserve">ncomfortable, </w:t>
            </w:r>
            <w:r w:rsidRPr="0083648F">
              <w:rPr>
                <w:rFonts w:asciiTheme="minorBidi" w:hAnsiTheme="minorBidi" w:cstheme="minorBidi"/>
                <w:b/>
                <w:szCs w:val="24"/>
              </w:rPr>
              <w:t>S</w:t>
            </w:r>
            <w:r w:rsidRPr="005B21FF">
              <w:rPr>
                <w:rFonts w:asciiTheme="minorBidi" w:hAnsiTheme="minorBidi" w:cstheme="minorBidi"/>
                <w:szCs w:val="24"/>
              </w:rPr>
              <w:t xml:space="preserve">afety </w:t>
            </w:r>
            <w:r w:rsidR="00E3788A">
              <w:rPr>
                <w:rFonts w:asciiTheme="minorBidi" w:hAnsiTheme="minorBidi" w:cstheme="minorBidi"/>
                <w:szCs w:val="24"/>
              </w:rPr>
              <w:t>i</w:t>
            </w:r>
            <w:r w:rsidRPr="005B21FF">
              <w:rPr>
                <w:rFonts w:asciiTheme="minorBidi" w:hAnsiTheme="minorBidi" w:cstheme="minorBidi"/>
                <w:szCs w:val="24"/>
              </w:rPr>
              <w:t>ssue)</w:t>
            </w:r>
          </w:p>
          <w:p w14:paraId="198F7107" w14:textId="77777777" w:rsidR="00330094" w:rsidRPr="005B21FF" w:rsidRDefault="00E3788A" w:rsidP="0000751E">
            <w:pPr>
              <w:pStyle w:val="ListParagraph"/>
              <w:numPr>
                <w:ilvl w:val="1"/>
                <w:numId w:val="12"/>
              </w:numPr>
              <w:spacing w:after="60"/>
              <w:ind w:left="706" w:hanging="274"/>
              <w:rPr>
                <w:rFonts w:asciiTheme="minorBidi" w:hAnsiTheme="minorBidi" w:cstheme="minorBidi"/>
                <w:szCs w:val="24"/>
              </w:rPr>
            </w:pPr>
            <w:r>
              <w:rPr>
                <w:rFonts w:asciiTheme="minorBidi" w:hAnsiTheme="minorBidi" w:cstheme="minorBidi"/>
                <w:szCs w:val="24"/>
              </w:rPr>
              <w:t>c</w:t>
            </w:r>
            <w:r w:rsidR="00330094" w:rsidRPr="005B21FF">
              <w:rPr>
                <w:rFonts w:asciiTheme="minorBidi" w:hAnsiTheme="minorBidi" w:cstheme="minorBidi"/>
                <w:szCs w:val="24"/>
              </w:rPr>
              <w:t>ollaboration for commitment to a common mission</w:t>
            </w:r>
          </w:p>
          <w:p w14:paraId="2EEFD8DC" w14:textId="77777777" w:rsidR="00330094" w:rsidRPr="005B21FF" w:rsidRDefault="00330094" w:rsidP="0000751E">
            <w:pPr>
              <w:pStyle w:val="ListParagraph"/>
              <w:numPr>
                <w:ilvl w:val="0"/>
                <w:numId w:val="21"/>
              </w:numPr>
              <w:ind w:left="432" w:hanging="270"/>
              <w:rPr>
                <w:rFonts w:asciiTheme="minorBidi" w:hAnsiTheme="minorBidi" w:cstheme="minorBidi"/>
                <w:szCs w:val="24"/>
              </w:rPr>
            </w:pPr>
            <w:r w:rsidRPr="005B21FF">
              <w:rPr>
                <w:rFonts w:asciiTheme="minorBidi" w:hAnsiTheme="minorBidi" w:cstheme="minorBidi"/>
                <w:szCs w:val="24"/>
              </w:rPr>
              <w:t>These techniques can allow staff the ability and safe environment to “speak up” and have a “just in time” crucial conversation.</w:t>
            </w:r>
          </w:p>
        </w:tc>
      </w:tr>
    </w:tbl>
    <w:p w14:paraId="509CFD7A" w14:textId="3014D9C7" w:rsidR="00125C73" w:rsidRDefault="00125C73">
      <w:r>
        <w:br w:type="page"/>
      </w:r>
    </w:p>
    <w:p w14:paraId="2AF36FAD" w14:textId="58100528" w:rsidR="00A56DB0" w:rsidRDefault="00A56DB0" w:rsidP="00A56DB0">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pPr>
      <w:r w:rsidRPr="005B21FF">
        <w:rPr>
          <w:rFonts w:asciiTheme="minorBidi" w:hAnsiTheme="minorBidi"/>
          <w:b/>
          <w:i/>
          <w:szCs w:val="24"/>
        </w:rPr>
        <w:lastRenderedPageBreak/>
        <w:t>Teamwork Training (TeamSTEPPS</w:t>
      </w:r>
      <w:r w:rsidRPr="005B21FF">
        <w:rPr>
          <w:rFonts w:asciiTheme="minorBidi" w:hAnsiTheme="minorBidi"/>
          <w:b/>
          <w:i/>
          <w:szCs w:val="24"/>
          <w:vertAlign w:val="superscript"/>
        </w:rPr>
        <w:t>®</w:t>
      </w:r>
      <w:r w:rsidRPr="005B21FF">
        <w:rPr>
          <w:rFonts w:asciiTheme="minorBidi" w:hAnsiTheme="minorBidi"/>
          <w:b/>
          <w:i/>
          <w:szCs w:val="24"/>
        </w:rPr>
        <w:t xml:space="preserve">) </w:t>
      </w:r>
      <w:r>
        <w:rPr>
          <w:rFonts w:asciiTheme="minorBidi" w:hAnsiTheme="minorBidi"/>
          <w:b/>
          <w:i/>
          <w:szCs w:val="24"/>
        </w:rPr>
        <w:t>(continued)</w:t>
      </w:r>
    </w:p>
    <w:tbl>
      <w:tblPr>
        <w:tblStyle w:val="TableGrid"/>
        <w:tblW w:w="9558" w:type="dxa"/>
        <w:tblLook w:val="04A0" w:firstRow="1" w:lastRow="0" w:firstColumn="1" w:lastColumn="0" w:noHBand="0" w:noVBand="1"/>
        <w:tblDescription w:val="Key Perinatal Safety Elements"/>
      </w:tblPr>
      <w:tblGrid>
        <w:gridCol w:w="3528"/>
        <w:gridCol w:w="6030"/>
      </w:tblGrid>
      <w:tr w:rsidR="00D37B45" w:rsidRPr="005B21FF" w14:paraId="66958E77" w14:textId="77777777" w:rsidTr="00A56DB0">
        <w:trPr>
          <w:cantSplit/>
          <w:tblHeader/>
        </w:trPr>
        <w:tc>
          <w:tcPr>
            <w:tcW w:w="3528" w:type="dxa"/>
          </w:tcPr>
          <w:p w14:paraId="49137B18" w14:textId="77777777" w:rsidR="00D37B45" w:rsidRPr="005B21FF" w:rsidRDefault="00D37B45" w:rsidP="0059108B">
            <w:pPr>
              <w:keepNext/>
              <w:rPr>
                <w:rFonts w:asciiTheme="minorBidi" w:hAnsiTheme="minorBidi" w:cstheme="minorBidi"/>
                <w:b/>
                <w:szCs w:val="24"/>
              </w:rPr>
            </w:pPr>
            <w:r w:rsidRPr="005B21FF">
              <w:rPr>
                <w:rFonts w:asciiTheme="minorBidi" w:hAnsiTheme="minorBidi" w:cstheme="minorBidi"/>
                <w:b/>
                <w:szCs w:val="24"/>
              </w:rPr>
              <w:t>Key Perinatal Safety Elements</w:t>
            </w:r>
          </w:p>
        </w:tc>
        <w:tc>
          <w:tcPr>
            <w:tcW w:w="6030" w:type="dxa"/>
          </w:tcPr>
          <w:p w14:paraId="0B661739" w14:textId="77777777" w:rsidR="00D37B45" w:rsidRPr="005B21FF" w:rsidRDefault="00D37B45" w:rsidP="0059108B">
            <w:pPr>
              <w:keepNext/>
              <w:rPr>
                <w:rFonts w:asciiTheme="minorBidi" w:hAnsiTheme="minorBidi" w:cstheme="minorBidi"/>
                <w:b/>
                <w:szCs w:val="24"/>
              </w:rPr>
            </w:pPr>
            <w:r w:rsidRPr="005B21FF">
              <w:rPr>
                <w:rFonts w:asciiTheme="minorBidi" w:hAnsiTheme="minorBidi" w:cstheme="minorBidi"/>
                <w:b/>
                <w:szCs w:val="24"/>
              </w:rPr>
              <w:t>Examples</w:t>
            </w:r>
          </w:p>
        </w:tc>
      </w:tr>
      <w:tr w:rsidR="00125C73" w:rsidRPr="005B21FF" w14:paraId="54D8A53A" w14:textId="77777777" w:rsidTr="00A56DB0">
        <w:trPr>
          <w:cantSplit/>
        </w:trPr>
        <w:tc>
          <w:tcPr>
            <w:tcW w:w="3528" w:type="dxa"/>
          </w:tcPr>
          <w:p w14:paraId="28D1CB6A" w14:textId="77777777" w:rsidR="00125C73" w:rsidRPr="005B21FF" w:rsidRDefault="00125C73" w:rsidP="00430E6F">
            <w:pPr>
              <w:rPr>
                <w:rFonts w:asciiTheme="minorBidi" w:hAnsiTheme="minorBidi" w:cstheme="minorBidi"/>
                <w:szCs w:val="24"/>
              </w:rPr>
            </w:pPr>
            <w:r w:rsidRPr="005B21FF">
              <w:rPr>
                <w:rFonts w:asciiTheme="minorBidi" w:hAnsiTheme="minorBidi" w:cstheme="minorBidi"/>
                <w:szCs w:val="24"/>
              </w:rPr>
              <w:t>Situational awareness during oxytocin use.</w:t>
            </w:r>
          </w:p>
        </w:tc>
        <w:tc>
          <w:tcPr>
            <w:tcW w:w="6030" w:type="dxa"/>
          </w:tcPr>
          <w:p w14:paraId="13755CEE" w14:textId="77777777" w:rsidR="00125C73" w:rsidRPr="005B21FF" w:rsidRDefault="00125C73" w:rsidP="00430E6F">
            <w:r w:rsidRPr="005B21FF">
              <w:t>Situational awareness refers to a</w:t>
            </w:r>
            <w:r>
              <w:t>ll staff caring for the patient—</w:t>
            </w:r>
          </w:p>
          <w:p w14:paraId="187ACB83" w14:textId="77777777" w:rsidR="00125C73" w:rsidRPr="005B21FF" w:rsidRDefault="00125C73" w:rsidP="00430E6F">
            <w:pPr>
              <w:pStyle w:val="ListParagraph"/>
              <w:numPr>
                <w:ilvl w:val="0"/>
                <w:numId w:val="21"/>
              </w:numPr>
              <w:ind w:left="432" w:hanging="270"/>
              <w:rPr>
                <w:rFonts w:asciiTheme="minorBidi" w:hAnsiTheme="minorBidi" w:cstheme="minorBidi"/>
                <w:szCs w:val="24"/>
              </w:rPr>
            </w:pPr>
            <w:r w:rsidRPr="005B21FF">
              <w:rPr>
                <w:rFonts w:asciiTheme="minorBidi" w:hAnsiTheme="minorBidi" w:cstheme="minorBidi"/>
                <w:szCs w:val="24"/>
              </w:rPr>
              <w:t>knowing what the patient’s plan is through briefings and team management,</w:t>
            </w:r>
          </w:p>
          <w:p w14:paraId="39DE2B25" w14:textId="77777777" w:rsidR="00125C73" w:rsidRPr="005B21FF" w:rsidRDefault="00125C73" w:rsidP="00430E6F">
            <w:pPr>
              <w:pStyle w:val="ListParagraph"/>
              <w:numPr>
                <w:ilvl w:val="0"/>
                <w:numId w:val="21"/>
              </w:numPr>
              <w:ind w:left="432" w:hanging="270"/>
              <w:rPr>
                <w:rFonts w:asciiTheme="minorBidi" w:hAnsiTheme="minorBidi" w:cstheme="minorBidi"/>
                <w:szCs w:val="24"/>
              </w:rPr>
            </w:pPr>
            <w:r w:rsidRPr="005B21FF">
              <w:rPr>
                <w:rFonts w:asciiTheme="minorBidi" w:hAnsiTheme="minorBidi" w:cstheme="minorBidi"/>
                <w:szCs w:val="24"/>
              </w:rPr>
              <w:t>being aware of what is going on and what is likely to happen next,</w:t>
            </w:r>
          </w:p>
          <w:p w14:paraId="1B29FA05" w14:textId="77777777" w:rsidR="00125C73" w:rsidRPr="005B21FF" w:rsidRDefault="00125C73" w:rsidP="00430E6F">
            <w:pPr>
              <w:pStyle w:val="ListParagraph"/>
              <w:numPr>
                <w:ilvl w:val="0"/>
                <w:numId w:val="21"/>
              </w:numPr>
              <w:ind w:left="432" w:hanging="270"/>
              <w:rPr>
                <w:rFonts w:asciiTheme="minorBidi" w:hAnsiTheme="minorBidi" w:cstheme="minorBidi"/>
                <w:szCs w:val="24"/>
              </w:rPr>
            </w:pPr>
            <w:r w:rsidRPr="005B21FF">
              <w:rPr>
                <w:rFonts w:asciiTheme="minorBidi" w:hAnsiTheme="minorBidi" w:cstheme="minorBidi"/>
                <w:szCs w:val="24"/>
              </w:rPr>
              <w:t>verif</w:t>
            </w:r>
            <w:r>
              <w:rPr>
                <w:rFonts w:asciiTheme="minorBidi" w:hAnsiTheme="minorBidi" w:cstheme="minorBidi"/>
                <w:szCs w:val="24"/>
              </w:rPr>
              <w:t>ying</w:t>
            </w:r>
            <w:r w:rsidRPr="005B21FF">
              <w:rPr>
                <w:rFonts w:asciiTheme="minorBidi" w:hAnsiTheme="minorBidi" w:cstheme="minorBidi"/>
                <w:szCs w:val="24"/>
              </w:rPr>
              <w:t xml:space="preserve"> and check</w:t>
            </w:r>
            <w:r>
              <w:rPr>
                <w:rFonts w:asciiTheme="minorBidi" w:hAnsiTheme="minorBidi" w:cstheme="minorBidi"/>
                <w:szCs w:val="24"/>
              </w:rPr>
              <w:t>ing</w:t>
            </w:r>
            <w:r w:rsidRPr="005B21FF">
              <w:rPr>
                <w:rFonts w:asciiTheme="minorBidi" w:hAnsiTheme="minorBidi" w:cstheme="minorBidi"/>
                <w:szCs w:val="24"/>
              </w:rPr>
              <w:t xml:space="preserve"> back on information, and </w:t>
            </w:r>
          </w:p>
          <w:p w14:paraId="3469418C" w14:textId="77777777" w:rsidR="00125C73" w:rsidRPr="005B21FF" w:rsidRDefault="00125C73" w:rsidP="00430E6F">
            <w:pPr>
              <w:pStyle w:val="ListParagraph"/>
              <w:numPr>
                <w:ilvl w:val="0"/>
                <w:numId w:val="21"/>
              </w:numPr>
              <w:ind w:left="432" w:hanging="270"/>
              <w:rPr>
                <w:rFonts w:asciiTheme="minorBidi" w:hAnsiTheme="minorBidi" w:cstheme="minorBidi"/>
                <w:szCs w:val="24"/>
              </w:rPr>
            </w:pPr>
            <w:r w:rsidRPr="005B21FF">
              <w:rPr>
                <w:rFonts w:asciiTheme="minorBidi" w:hAnsiTheme="minorBidi" w:cstheme="minorBidi"/>
                <w:szCs w:val="24"/>
              </w:rPr>
              <w:t>providing ongoing updates.</w:t>
            </w:r>
          </w:p>
          <w:p w14:paraId="45046662" w14:textId="77777777" w:rsidR="00125C73" w:rsidRPr="005B21FF" w:rsidRDefault="00125C73" w:rsidP="00430E6F">
            <w:r w:rsidRPr="005B21FF">
              <w:t>In the context of oxytocin use, this include</w:t>
            </w:r>
            <w:r>
              <w:t>s</w:t>
            </w:r>
            <w:r w:rsidRPr="005B21FF">
              <w:t xml:space="preserve"> staff alertness for early signs of fetal or maternal distress, and knowing the plan for a timely response to prevent further deterioration.</w:t>
            </w:r>
          </w:p>
        </w:tc>
      </w:tr>
      <w:tr w:rsidR="008B6F72" w:rsidRPr="005B21FF" w14:paraId="0BE5B5A3" w14:textId="77777777" w:rsidTr="00A56DB0">
        <w:trPr>
          <w:cantSplit/>
          <w:trHeight w:val="5570"/>
        </w:trPr>
        <w:tc>
          <w:tcPr>
            <w:tcW w:w="3528" w:type="dxa"/>
          </w:tcPr>
          <w:p w14:paraId="1287643E" w14:textId="75705951" w:rsidR="008B6F72" w:rsidRPr="005B21FF" w:rsidRDefault="00E21B81" w:rsidP="00354BD4">
            <w:pPr>
              <w:rPr>
                <w:rFonts w:asciiTheme="minorBidi" w:hAnsiTheme="minorBidi" w:cstheme="minorBidi"/>
                <w:szCs w:val="24"/>
              </w:rPr>
            </w:pPr>
            <w:r w:rsidRPr="00445D3C">
              <w:rPr>
                <w:rFonts w:asciiTheme="minorBidi" w:hAnsiTheme="minorBidi"/>
                <w:szCs w:val="24"/>
              </w:rPr>
              <w:t xml:space="preserve">Use </w:t>
            </w:r>
            <w:r w:rsidRPr="00AC1CE8">
              <w:rPr>
                <w:rFonts w:asciiTheme="minorBidi" w:hAnsiTheme="minorBidi"/>
                <w:szCs w:val="24"/>
              </w:rPr>
              <w:t>SBAR (</w:t>
            </w:r>
            <w:r w:rsidRPr="00AC1CE8">
              <w:rPr>
                <w:rFonts w:asciiTheme="minorBidi" w:hAnsiTheme="minorBidi"/>
                <w:b/>
                <w:bCs/>
                <w:szCs w:val="24"/>
              </w:rPr>
              <w:t>S</w:t>
            </w:r>
            <w:r w:rsidRPr="00AC1CE8">
              <w:rPr>
                <w:rFonts w:asciiTheme="minorBidi" w:hAnsiTheme="minorBidi"/>
                <w:szCs w:val="24"/>
              </w:rPr>
              <w:t xml:space="preserve">ituation, </w:t>
            </w:r>
            <w:r w:rsidRPr="00AC1CE8">
              <w:rPr>
                <w:rFonts w:asciiTheme="minorBidi" w:hAnsiTheme="minorBidi"/>
                <w:b/>
                <w:bCs/>
                <w:szCs w:val="24"/>
              </w:rPr>
              <w:t>B</w:t>
            </w:r>
            <w:r w:rsidRPr="00AC1CE8">
              <w:rPr>
                <w:rFonts w:asciiTheme="minorBidi" w:hAnsiTheme="minorBidi"/>
                <w:szCs w:val="24"/>
              </w:rPr>
              <w:t xml:space="preserve">ackground, </w:t>
            </w:r>
            <w:r w:rsidRPr="00AC1CE8">
              <w:rPr>
                <w:rFonts w:asciiTheme="minorBidi" w:hAnsiTheme="minorBidi"/>
                <w:b/>
                <w:bCs/>
                <w:szCs w:val="24"/>
              </w:rPr>
              <w:t>A</w:t>
            </w:r>
            <w:r w:rsidRPr="00AC1CE8">
              <w:rPr>
                <w:rFonts w:asciiTheme="minorBidi" w:hAnsiTheme="minorBidi"/>
                <w:szCs w:val="24"/>
              </w:rPr>
              <w:t xml:space="preserve">ssessment, and </w:t>
            </w:r>
            <w:r w:rsidRPr="00AC1CE8">
              <w:rPr>
                <w:rFonts w:asciiTheme="minorBidi" w:hAnsiTheme="minorBidi"/>
                <w:b/>
                <w:bCs/>
                <w:szCs w:val="24"/>
              </w:rPr>
              <w:t>R</w:t>
            </w:r>
            <w:r w:rsidRPr="00AC1CE8">
              <w:rPr>
                <w:rFonts w:asciiTheme="minorBidi" w:hAnsiTheme="minorBidi"/>
                <w:szCs w:val="24"/>
              </w:rPr>
              <w:t>ecommendation)</w:t>
            </w:r>
            <w:r>
              <w:rPr>
                <w:rFonts w:asciiTheme="minorBidi" w:hAnsiTheme="minorBidi"/>
                <w:szCs w:val="24"/>
              </w:rPr>
              <w:t>,</w:t>
            </w:r>
            <w:r w:rsidRPr="00445D3C">
              <w:rPr>
                <w:rFonts w:asciiTheme="minorBidi" w:hAnsiTheme="minorBidi"/>
                <w:szCs w:val="24"/>
              </w:rPr>
              <w:t xml:space="preserve"> callouts, huddles, and closed-loop communication techniques.</w:t>
            </w:r>
          </w:p>
        </w:tc>
        <w:tc>
          <w:tcPr>
            <w:tcW w:w="6030" w:type="dxa"/>
          </w:tcPr>
          <w:p w14:paraId="6F1D5F69" w14:textId="7FD60244" w:rsidR="008B6F72" w:rsidRPr="00E46191" w:rsidRDefault="00E21B81" w:rsidP="00E21B81">
            <w:pPr>
              <w:pStyle w:val="ListParagraph"/>
              <w:numPr>
                <w:ilvl w:val="0"/>
                <w:numId w:val="21"/>
              </w:numPr>
              <w:ind w:left="432" w:hanging="270"/>
            </w:pPr>
            <w:r>
              <w:t xml:space="preserve">Use of SBAR, </w:t>
            </w:r>
            <w:r w:rsidR="008B6F72" w:rsidRPr="005B21FF">
              <w:t>callouts, and closed-loop communication among team members. In the context of oxytocin use, these techni</w:t>
            </w:r>
            <w:r w:rsidR="008B6F72">
              <w:t>ques are particularly useful—</w:t>
            </w:r>
          </w:p>
          <w:p w14:paraId="54E22486" w14:textId="77777777" w:rsidR="008B6F72" w:rsidRPr="0000751E" w:rsidRDefault="008B6F72" w:rsidP="003549BC">
            <w:pPr>
              <w:pStyle w:val="ListParagraph"/>
              <w:numPr>
                <w:ilvl w:val="1"/>
                <w:numId w:val="21"/>
              </w:numPr>
              <w:ind w:left="702" w:hanging="180"/>
              <w:rPr>
                <w:rFonts w:asciiTheme="minorBidi" w:hAnsiTheme="minorBidi" w:cstheme="minorBidi"/>
                <w:szCs w:val="24"/>
              </w:rPr>
            </w:pPr>
            <w:r w:rsidRPr="00267F24">
              <w:rPr>
                <w:rFonts w:asciiTheme="minorBidi" w:eastAsia="Calibri" w:hAnsiTheme="minorBidi"/>
              </w:rPr>
              <w:t xml:space="preserve">for communicating a sense of urgency when requesting other unit personnel and provider </w:t>
            </w:r>
            <w:r w:rsidRPr="0000751E">
              <w:rPr>
                <w:rFonts w:asciiTheme="minorBidi" w:hAnsiTheme="minorBidi" w:cstheme="minorBidi"/>
                <w:szCs w:val="24"/>
              </w:rPr>
              <w:t>for help responding to sudden changes in maternal or fetal status (e.g., tachysystole)</w:t>
            </w:r>
            <w:r>
              <w:rPr>
                <w:rFonts w:asciiTheme="minorBidi" w:hAnsiTheme="minorBidi" w:cstheme="minorBidi"/>
                <w:szCs w:val="24"/>
              </w:rPr>
              <w:t>,</w:t>
            </w:r>
          </w:p>
          <w:p w14:paraId="029FF962" w14:textId="77777777" w:rsidR="008B6F72" w:rsidRPr="0000751E" w:rsidRDefault="008B6F72" w:rsidP="003549BC">
            <w:pPr>
              <w:pStyle w:val="ListParagraph"/>
              <w:numPr>
                <w:ilvl w:val="1"/>
                <w:numId w:val="21"/>
              </w:numPr>
              <w:ind w:left="702" w:hanging="180"/>
              <w:rPr>
                <w:rFonts w:asciiTheme="minorBidi" w:hAnsiTheme="minorBidi" w:cstheme="minorBidi"/>
                <w:szCs w:val="24"/>
              </w:rPr>
            </w:pPr>
            <w:r w:rsidRPr="00267F24">
              <w:rPr>
                <w:rFonts w:asciiTheme="minorBidi" w:eastAsia="Calibri" w:hAnsiTheme="minorBidi"/>
              </w:rPr>
              <w:t>for communicating changes in maternal or fetal status,</w:t>
            </w:r>
          </w:p>
          <w:p w14:paraId="4E2EC9C4" w14:textId="77777777" w:rsidR="008B6F72" w:rsidRPr="0000751E" w:rsidRDefault="008B6F72" w:rsidP="003549BC">
            <w:pPr>
              <w:pStyle w:val="ListParagraph"/>
              <w:numPr>
                <w:ilvl w:val="1"/>
                <w:numId w:val="21"/>
              </w:numPr>
              <w:ind w:left="702" w:hanging="180"/>
              <w:rPr>
                <w:rFonts w:asciiTheme="minorBidi" w:hAnsiTheme="minorBidi" w:cstheme="minorBidi"/>
                <w:szCs w:val="24"/>
              </w:rPr>
            </w:pPr>
            <w:r>
              <w:rPr>
                <w:rFonts w:asciiTheme="minorBidi" w:hAnsiTheme="minorBidi" w:cstheme="minorBidi"/>
                <w:szCs w:val="24"/>
              </w:rPr>
              <w:t>w</w:t>
            </w:r>
            <w:r w:rsidRPr="0000751E">
              <w:rPr>
                <w:rFonts w:asciiTheme="minorBidi" w:hAnsiTheme="minorBidi" w:cstheme="minorBidi"/>
                <w:szCs w:val="24"/>
              </w:rPr>
              <w:t>hen giving and receiving new orders to manage sudden changes in maternal or fetal status</w:t>
            </w:r>
            <w:r>
              <w:rPr>
                <w:rFonts w:asciiTheme="minorBidi" w:hAnsiTheme="minorBidi" w:cstheme="minorBidi"/>
                <w:szCs w:val="24"/>
              </w:rPr>
              <w:t>,</w:t>
            </w:r>
            <w:r w:rsidRPr="0000751E">
              <w:rPr>
                <w:rFonts w:asciiTheme="minorBidi" w:hAnsiTheme="minorBidi" w:cstheme="minorBidi"/>
                <w:szCs w:val="24"/>
              </w:rPr>
              <w:t xml:space="preserve"> </w:t>
            </w:r>
          </w:p>
          <w:p w14:paraId="73FF41A3" w14:textId="77777777" w:rsidR="008B6F72" w:rsidRPr="003549BC" w:rsidRDefault="008B6F72" w:rsidP="003549BC">
            <w:pPr>
              <w:pStyle w:val="ListParagraph"/>
              <w:numPr>
                <w:ilvl w:val="1"/>
                <w:numId w:val="21"/>
              </w:numPr>
              <w:ind w:left="702" w:hanging="180"/>
            </w:pPr>
            <w:r>
              <w:rPr>
                <w:rFonts w:asciiTheme="minorBidi" w:hAnsiTheme="minorBidi" w:cstheme="minorBidi"/>
                <w:szCs w:val="24"/>
              </w:rPr>
              <w:t>w</w:t>
            </w:r>
            <w:r w:rsidRPr="005B21FF">
              <w:rPr>
                <w:rFonts w:asciiTheme="minorBidi" w:hAnsiTheme="minorBidi" w:cstheme="minorBidi"/>
                <w:szCs w:val="24"/>
              </w:rPr>
              <w:t xml:space="preserve">hen briefing new care team members </w:t>
            </w:r>
            <w:r w:rsidRPr="00267F24">
              <w:rPr>
                <w:rFonts w:asciiTheme="minorBidi" w:eastAsia="Calibri" w:hAnsiTheme="minorBidi"/>
              </w:rPr>
              <w:t>who arrive to support a rapid response</w:t>
            </w:r>
            <w:r w:rsidRPr="005B21FF">
              <w:rPr>
                <w:rFonts w:asciiTheme="minorBidi" w:hAnsiTheme="minorBidi" w:cstheme="minorBidi"/>
                <w:szCs w:val="24"/>
              </w:rPr>
              <w:t xml:space="preserve">, </w:t>
            </w:r>
            <w:r>
              <w:rPr>
                <w:rFonts w:asciiTheme="minorBidi" w:hAnsiTheme="minorBidi" w:cstheme="minorBidi"/>
                <w:szCs w:val="24"/>
              </w:rPr>
              <w:t xml:space="preserve">such as </w:t>
            </w:r>
            <w:r w:rsidRPr="005B21FF">
              <w:rPr>
                <w:rFonts w:asciiTheme="minorBidi" w:hAnsiTheme="minorBidi" w:cstheme="minorBidi"/>
                <w:szCs w:val="24"/>
              </w:rPr>
              <w:t>when notifying providers regarding tachysystole and patient’s response to measures provided through standing orders</w:t>
            </w:r>
            <w:r>
              <w:rPr>
                <w:rFonts w:asciiTheme="minorBidi" w:hAnsiTheme="minorBidi" w:cstheme="minorBidi"/>
                <w:szCs w:val="24"/>
              </w:rPr>
              <w:t>, and</w:t>
            </w:r>
          </w:p>
          <w:p w14:paraId="22860E77" w14:textId="77777777" w:rsidR="008B6F72" w:rsidRPr="00E46191" w:rsidRDefault="008B6F72" w:rsidP="00125C73">
            <w:pPr>
              <w:pStyle w:val="ListParagraph"/>
              <w:numPr>
                <w:ilvl w:val="1"/>
                <w:numId w:val="21"/>
              </w:numPr>
              <w:ind w:left="705" w:hanging="187"/>
            </w:pPr>
            <w:r>
              <w:rPr>
                <w:rFonts w:asciiTheme="minorBidi" w:eastAsia="Calibri" w:hAnsiTheme="minorBidi"/>
              </w:rPr>
              <w:t>when r</w:t>
            </w:r>
            <w:r w:rsidRPr="00D74F10">
              <w:rPr>
                <w:rFonts w:asciiTheme="minorBidi" w:eastAsia="Calibri" w:hAnsiTheme="minorBidi"/>
              </w:rPr>
              <w:t>egrouping to discuss plan of care if patient fails to respond to initial measures</w:t>
            </w:r>
            <w:r>
              <w:rPr>
                <w:rFonts w:asciiTheme="minorBidi" w:eastAsia="Calibri" w:hAnsiTheme="minorBidi"/>
              </w:rPr>
              <w:t>.</w:t>
            </w:r>
          </w:p>
        </w:tc>
      </w:tr>
    </w:tbl>
    <w:p w14:paraId="5EA12AC9" w14:textId="75AB7439" w:rsidR="00125C73" w:rsidRDefault="00125C73">
      <w:r>
        <w:br w:type="page"/>
      </w:r>
    </w:p>
    <w:p w14:paraId="4D96AA57" w14:textId="28119A5B" w:rsidR="00A56DB0" w:rsidRDefault="00A56DB0" w:rsidP="00A56DB0">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pPr>
      <w:r w:rsidRPr="005B21FF">
        <w:rPr>
          <w:rFonts w:asciiTheme="minorBidi" w:hAnsiTheme="minorBidi"/>
          <w:b/>
          <w:i/>
          <w:szCs w:val="24"/>
        </w:rPr>
        <w:lastRenderedPageBreak/>
        <w:t>Teamwork Training (TeamSTEPPS</w:t>
      </w:r>
      <w:r w:rsidRPr="005B21FF">
        <w:rPr>
          <w:rFonts w:asciiTheme="minorBidi" w:hAnsiTheme="minorBidi"/>
          <w:b/>
          <w:i/>
          <w:szCs w:val="24"/>
          <w:vertAlign w:val="superscript"/>
        </w:rPr>
        <w:t>®</w:t>
      </w:r>
      <w:r w:rsidRPr="005B21FF">
        <w:rPr>
          <w:rFonts w:asciiTheme="minorBidi" w:hAnsiTheme="minorBidi"/>
          <w:b/>
          <w:i/>
          <w:szCs w:val="24"/>
        </w:rPr>
        <w:t xml:space="preserve">) </w:t>
      </w:r>
      <w:r>
        <w:rPr>
          <w:rFonts w:asciiTheme="minorBidi" w:hAnsiTheme="minorBidi"/>
          <w:b/>
          <w:i/>
          <w:szCs w:val="24"/>
        </w:rPr>
        <w:t>(continued)</w:t>
      </w:r>
    </w:p>
    <w:tbl>
      <w:tblPr>
        <w:tblStyle w:val="TableGrid"/>
        <w:tblW w:w="9558" w:type="dxa"/>
        <w:tblLook w:val="04A0" w:firstRow="1" w:lastRow="0" w:firstColumn="1" w:lastColumn="0" w:noHBand="0" w:noVBand="1"/>
        <w:tblDescription w:val="Key Perinatal Safety Elements"/>
      </w:tblPr>
      <w:tblGrid>
        <w:gridCol w:w="3528"/>
        <w:gridCol w:w="6030"/>
      </w:tblGrid>
      <w:tr w:rsidR="00D37B45" w:rsidRPr="005B21FF" w14:paraId="722C0EAC" w14:textId="77777777" w:rsidTr="00FC3511">
        <w:trPr>
          <w:cantSplit/>
          <w:tblHeader/>
        </w:trPr>
        <w:tc>
          <w:tcPr>
            <w:tcW w:w="3528" w:type="dxa"/>
          </w:tcPr>
          <w:p w14:paraId="1B2C8B4B" w14:textId="77777777" w:rsidR="00D37B45" w:rsidRPr="005B21FF" w:rsidRDefault="00D37B45" w:rsidP="0059108B">
            <w:pPr>
              <w:keepNext/>
              <w:rPr>
                <w:rFonts w:asciiTheme="minorBidi" w:hAnsiTheme="minorBidi" w:cstheme="minorBidi"/>
                <w:b/>
                <w:szCs w:val="24"/>
              </w:rPr>
            </w:pPr>
            <w:r w:rsidRPr="005B21FF">
              <w:rPr>
                <w:rFonts w:asciiTheme="minorBidi" w:hAnsiTheme="minorBidi" w:cstheme="minorBidi"/>
                <w:b/>
                <w:szCs w:val="24"/>
              </w:rPr>
              <w:t>Key Perinatal Safety Elements</w:t>
            </w:r>
          </w:p>
        </w:tc>
        <w:tc>
          <w:tcPr>
            <w:tcW w:w="6030" w:type="dxa"/>
          </w:tcPr>
          <w:p w14:paraId="16E88B13" w14:textId="77777777" w:rsidR="00D37B45" w:rsidRPr="005B21FF" w:rsidRDefault="00D37B45" w:rsidP="0059108B">
            <w:pPr>
              <w:keepNext/>
              <w:rPr>
                <w:rFonts w:asciiTheme="minorBidi" w:hAnsiTheme="minorBidi" w:cstheme="minorBidi"/>
                <w:b/>
                <w:szCs w:val="24"/>
              </w:rPr>
            </w:pPr>
            <w:r w:rsidRPr="005B21FF">
              <w:rPr>
                <w:rFonts w:asciiTheme="minorBidi" w:hAnsiTheme="minorBidi" w:cstheme="minorBidi"/>
                <w:b/>
                <w:szCs w:val="24"/>
              </w:rPr>
              <w:t>Examples</w:t>
            </w:r>
          </w:p>
        </w:tc>
      </w:tr>
      <w:tr w:rsidR="00FC3511" w:rsidRPr="005B21FF" w14:paraId="301488C7" w14:textId="77777777" w:rsidTr="00FC3511">
        <w:trPr>
          <w:cantSplit/>
        </w:trPr>
        <w:tc>
          <w:tcPr>
            <w:tcW w:w="3528" w:type="dxa"/>
          </w:tcPr>
          <w:p w14:paraId="49ED63FD" w14:textId="77777777" w:rsidR="00FC3511" w:rsidRPr="005B21FF" w:rsidRDefault="00FC3511" w:rsidP="00232303">
            <w:pPr>
              <w:rPr>
                <w:rFonts w:asciiTheme="minorBidi" w:hAnsiTheme="minorBidi" w:cstheme="minorBidi"/>
                <w:szCs w:val="24"/>
              </w:rPr>
            </w:pPr>
            <w:r w:rsidRPr="005B21FF">
              <w:rPr>
                <w:rFonts w:asciiTheme="minorBidi" w:hAnsiTheme="minorBidi" w:cstheme="minorBidi"/>
                <w:szCs w:val="24"/>
              </w:rPr>
              <w:t>Communicate during transitions of care.</w:t>
            </w:r>
          </w:p>
        </w:tc>
        <w:tc>
          <w:tcPr>
            <w:tcW w:w="6030" w:type="dxa"/>
          </w:tcPr>
          <w:p w14:paraId="3321BB20" w14:textId="77777777" w:rsidR="00FC3511" w:rsidRPr="005B21FF" w:rsidRDefault="00FC3511" w:rsidP="00232303">
            <w:r w:rsidRPr="00A81BDC">
              <w:rPr>
                <w:rFonts w:asciiTheme="minorBidi" w:hAnsiTheme="minorBidi"/>
                <w:szCs w:val="24"/>
              </w:rPr>
              <w:t>Use of transition communication techniques assures a shared mental model of plan of care and patient risks</w:t>
            </w:r>
            <w:r w:rsidRPr="005B21FF">
              <w:t xml:space="preserve"> between shifts or between units. </w:t>
            </w:r>
          </w:p>
        </w:tc>
      </w:tr>
      <w:tr w:rsidR="00125C73" w:rsidRPr="00D37B45" w14:paraId="1972B65D" w14:textId="77777777" w:rsidTr="00FC3511">
        <w:trPr>
          <w:cantSplit/>
          <w:trHeight w:val="7654"/>
        </w:trPr>
        <w:tc>
          <w:tcPr>
            <w:tcW w:w="3528" w:type="dxa"/>
          </w:tcPr>
          <w:p w14:paraId="1E9E22CA" w14:textId="6836D29A" w:rsidR="00125C73" w:rsidRPr="005B21FF" w:rsidRDefault="00125C73" w:rsidP="00430E6F">
            <w:pPr>
              <w:rPr>
                <w:rFonts w:asciiTheme="minorBidi" w:hAnsiTheme="minorBidi"/>
                <w:szCs w:val="24"/>
              </w:rPr>
            </w:pPr>
            <w:r w:rsidRPr="005B21FF">
              <w:rPr>
                <w:rFonts w:asciiTheme="minorBidi" w:hAnsiTheme="minorBidi"/>
                <w:szCs w:val="24"/>
              </w:rPr>
              <w:t>Have high-reliability teams:</w:t>
            </w:r>
          </w:p>
          <w:p w14:paraId="33A97088" w14:textId="77777777" w:rsidR="00125C73" w:rsidRPr="00E46191" w:rsidRDefault="00125C73" w:rsidP="00430E6F">
            <w:pPr>
              <w:pStyle w:val="ListParagraph"/>
              <w:numPr>
                <w:ilvl w:val="0"/>
                <w:numId w:val="21"/>
              </w:numPr>
              <w:ind w:left="432" w:hanging="270"/>
              <w:rPr>
                <w:rFonts w:asciiTheme="minorBidi" w:hAnsiTheme="minorBidi" w:cstheme="minorBidi"/>
                <w:szCs w:val="24"/>
              </w:rPr>
            </w:pPr>
            <w:r w:rsidRPr="00E46191">
              <w:rPr>
                <w:rFonts w:asciiTheme="minorBidi" w:hAnsiTheme="minorBidi" w:cstheme="minorBidi"/>
                <w:szCs w:val="24"/>
              </w:rPr>
              <w:t>Anyone can sound an alarm, request help or challenge the status quo</w:t>
            </w:r>
          </w:p>
          <w:p w14:paraId="064EE062" w14:textId="77777777" w:rsidR="00125C73" w:rsidRPr="00E46191" w:rsidRDefault="00125C73" w:rsidP="00430E6F">
            <w:pPr>
              <w:pStyle w:val="ListParagraph"/>
              <w:numPr>
                <w:ilvl w:val="0"/>
                <w:numId w:val="21"/>
              </w:numPr>
              <w:ind w:left="432" w:hanging="270"/>
              <w:rPr>
                <w:rFonts w:asciiTheme="minorBidi" w:hAnsiTheme="minorBidi" w:cstheme="minorBidi"/>
                <w:szCs w:val="24"/>
              </w:rPr>
            </w:pPr>
            <w:r w:rsidRPr="00E46191">
              <w:rPr>
                <w:rFonts w:asciiTheme="minorBidi" w:hAnsiTheme="minorBidi" w:cstheme="minorBidi"/>
                <w:szCs w:val="24"/>
              </w:rPr>
              <w:t>Hierarchy is minimized</w:t>
            </w:r>
          </w:p>
          <w:p w14:paraId="1B02D450" w14:textId="77777777" w:rsidR="00125C73" w:rsidRPr="005B21FF" w:rsidRDefault="00125C73" w:rsidP="00430E6F">
            <w:pPr>
              <w:pStyle w:val="ListParagraph"/>
              <w:numPr>
                <w:ilvl w:val="0"/>
                <w:numId w:val="21"/>
              </w:numPr>
              <w:ind w:left="432" w:hanging="270"/>
              <w:rPr>
                <w:rFonts w:asciiTheme="minorBidi" w:hAnsiTheme="minorBidi"/>
                <w:szCs w:val="24"/>
              </w:rPr>
            </w:pPr>
            <w:r w:rsidRPr="00E46191">
              <w:rPr>
                <w:rFonts w:asciiTheme="minorBidi" w:hAnsiTheme="minorBidi" w:cstheme="minorBidi"/>
                <w:szCs w:val="24"/>
              </w:rPr>
              <w:t>Communication is continuous, valued, and expected</w:t>
            </w:r>
          </w:p>
        </w:tc>
        <w:tc>
          <w:tcPr>
            <w:tcW w:w="6030" w:type="dxa"/>
          </w:tcPr>
          <w:p w14:paraId="5697CA31" w14:textId="77777777" w:rsidR="00125C73" w:rsidRPr="003549BC" w:rsidRDefault="00125C73" w:rsidP="00430E6F">
            <w:pPr>
              <w:pStyle w:val="ListParagraph"/>
              <w:numPr>
                <w:ilvl w:val="0"/>
                <w:numId w:val="21"/>
              </w:numPr>
              <w:ind w:left="432" w:hanging="270"/>
              <w:rPr>
                <w:rFonts w:asciiTheme="minorBidi" w:hAnsiTheme="minorBidi" w:cstheme="minorBidi"/>
                <w:szCs w:val="24"/>
              </w:rPr>
            </w:pPr>
            <w:r w:rsidRPr="003549BC">
              <w:rPr>
                <w:rFonts w:asciiTheme="minorBidi" w:hAnsiTheme="minorBidi" w:cstheme="minorBidi"/>
                <w:szCs w:val="24"/>
              </w:rPr>
              <w:t>Team members protect each other from work overload and place requests or offers for assistance in the context of patient safety. It is expected that assistance will be actively sought and offered.</w:t>
            </w:r>
          </w:p>
          <w:p w14:paraId="18349E6F" w14:textId="77777777" w:rsidR="00125C73" w:rsidRPr="003549BC" w:rsidRDefault="00125C73" w:rsidP="00430E6F">
            <w:pPr>
              <w:pStyle w:val="ListParagraph"/>
              <w:numPr>
                <w:ilvl w:val="0"/>
                <w:numId w:val="21"/>
              </w:numPr>
              <w:ind w:left="432" w:hanging="270"/>
              <w:rPr>
                <w:rFonts w:asciiTheme="minorBidi" w:hAnsiTheme="minorBidi" w:cstheme="minorBidi"/>
                <w:szCs w:val="24"/>
              </w:rPr>
            </w:pPr>
            <w:r w:rsidRPr="003549BC">
              <w:rPr>
                <w:rFonts w:asciiTheme="minorBidi" w:hAnsiTheme="minorBidi" w:cstheme="minorBidi"/>
                <w:szCs w:val="24"/>
              </w:rPr>
              <w:t xml:space="preserve">Team members will advocate for the patient when one person’s viewpoint does not coincide with another using these </w:t>
            </w:r>
            <w:r>
              <w:rPr>
                <w:rFonts w:asciiTheme="minorBidi" w:hAnsiTheme="minorBidi" w:cstheme="minorBidi"/>
                <w:szCs w:val="24"/>
              </w:rPr>
              <w:t>team communication techniques:</w:t>
            </w:r>
          </w:p>
          <w:p w14:paraId="35AEB9A1" w14:textId="77777777" w:rsidR="00125C73" w:rsidRPr="00E330B5" w:rsidRDefault="00125C73" w:rsidP="00430E6F">
            <w:pPr>
              <w:pStyle w:val="ListParagraph"/>
              <w:numPr>
                <w:ilvl w:val="1"/>
                <w:numId w:val="32"/>
              </w:numPr>
              <w:spacing w:after="60"/>
              <w:ind w:left="702" w:hanging="270"/>
              <w:contextualSpacing w:val="0"/>
              <w:rPr>
                <w:rFonts w:asciiTheme="minorBidi" w:hAnsiTheme="minorBidi"/>
                <w:szCs w:val="24"/>
              </w:rPr>
            </w:pPr>
            <w:r w:rsidRPr="00E330B5">
              <w:rPr>
                <w:rFonts w:asciiTheme="minorBidi" w:hAnsiTheme="minorBidi"/>
                <w:szCs w:val="24"/>
              </w:rPr>
              <w:t>Assert a corrective action in a firm and respectful manner</w:t>
            </w:r>
            <w:r>
              <w:rPr>
                <w:rFonts w:asciiTheme="minorBidi" w:hAnsiTheme="minorBidi"/>
                <w:szCs w:val="24"/>
              </w:rPr>
              <w:t>.</w:t>
            </w:r>
          </w:p>
          <w:p w14:paraId="0B141CE6" w14:textId="77777777" w:rsidR="00125C73" w:rsidRPr="005101ED" w:rsidRDefault="00125C73" w:rsidP="00430E6F">
            <w:pPr>
              <w:pStyle w:val="TableBullet2"/>
              <w:tabs>
                <w:tab w:val="clear" w:pos="360"/>
              </w:tabs>
              <w:ind w:left="792" w:hanging="360"/>
            </w:pPr>
            <w:r w:rsidRPr="005101ED">
              <w:t xml:space="preserve">Use CUS language: “I am </w:t>
            </w:r>
            <w:r w:rsidRPr="005101ED">
              <w:rPr>
                <w:b/>
                <w:bCs/>
              </w:rPr>
              <w:t>c</w:t>
            </w:r>
            <w:r w:rsidRPr="005101ED">
              <w:t xml:space="preserve">oncerned. I am </w:t>
            </w:r>
            <w:r w:rsidRPr="005101ED">
              <w:rPr>
                <w:b/>
                <w:bCs/>
              </w:rPr>
              <w:t>u</w:t>
            </w:r>
            <w:r w:rsidRPr="005101ED">
              <w:t xml:space="preserve">ncomfortable. This is a </w:t>
            </w:r>
            <w:r w:rsidRPr="005101ED">
              <w:rPr>
                <w:b/>
                <w:bCs/>
              </w:rPr>
              <w:t>s</w:t>
            </w:r>
            <w:r w:rsidRPr="005101ED">
              <w:t>afety issue.”</w:t>
            </w:r>
          </w:p>
          <w:p w14:paraId="1DA55B01" w14:textId="77777777" w:rsidR="00125C73" w:rsidRPr="00E330B5" w:rsidRDefault="00125C73" w:rsidP="00430E6F">
            <w:pPr>
              <w:pStyle w:val="ListParagraph"/>
              <w:numPr>
                <w:ilvl w:val="1"/>
                <w:numId w:val="32"/>
              </w:numPr>
              <w:spacing w:after="60"/>
              <w:ind w:left="702" w:hanging="270"/>
              <w:contextualSpacing w:val="0"/>
              <w:rPr>
                <w:rFonts w:asciiTheme="minorBidi" w:hAnsiTheme="minorBidi"/>
                <w:szCs w:val="24"/>
              </w:rPr>
            </w:pPr>
            <w:r w:rsidRPr="00E330B5">
              <w:rPr>
                <w:rFonts w:asciiTheme="minorBidi" w:hAnsiTheme="minorBidi"/>
                <w:szCs w:val="24"/>
              </w:rPr>
              <w:t xml:space="preserve">Use the </w:t>
            </w:r>
            <w:r>
              <w:rPr>
                <w:rFonts w:asciiTheme="minorBidi" w:hAnsiTheme="minorBidi"/>
                <w:szCs w:val="24"/>
              </w:rPr>
              <w:t>"t</w:t>
            </w:r>
            <w:r w:rsidRPr="00E330B5">
              <w:rPr>
                <w:rFonts w:asciiTheme="minorBidi" w:hAnsiTheme="minorBidi"/>
                <w:szCs w:val="24"/>
              </w:rPr>
              <w:t>wo</w:t>
            </w:r>
            <w:r>
              <w:rPr>
                <w:rFonts w:asciiTheme="minorBidi" w:hAnsiTheme="minorBidi"/>
                <w:szCs w:val="24"/>
              </w:rPr>
              <w:t>-c</w:t>
            </w:r>
            <w:r w:rsidRPr="00E330B5">
              <w:rPr>
                <w:rFonts w:asciiTheme="minorBidi" w:hAnsiTheme="minorBidi"/>
                <w:szCs w:val="24"/>
              </w:rPr>
              <w:t>hallenge</w:t>
            </w:r>
            <w:r>
              <w:rPr>
                <w:rFonts w:asciiTheme="minorBidi" w:hAnsiTheme="minorBidi"/>
                <w:szCs w:val="24"/>
              </w:rPr>
              <w:t>"</w:t>
            </w:r>
            <w:r w:rsidRPr="00E330B5">
              <w:rPr>
                <w:rFonts w:asciiTheme="minorBidi" w:hAnsiTheme="minorBidi"/>
                <w:szCs w:val="24"/>
              </w:rPr>
              <w:t xml:space="preserve"> rule</w:t>
            </w:r>
            <w:r>
              <w:rPr>
                <w:rFonts w:asciiTheme="minorBidi" w:hAnsiTheme="minorBidi"/>
                <w:szCs w:val="24"/>
              </w:rPr>
              <w:t xml:space="preserve">, </w:t>
            </w:r>
            <w:r w:rsidRPr="00E330B5">
              <w:rPr>
                <w:rFonts w:asciiTheme="minorBidi" w:hAnsiTheme="minorBidi"/>
                <w:szCs w:val="24"/>
              </w:rPr>
              <w:t>repeat</w:t>
            </w:r>
            <w:r>
              <w:rPr>
                <w:rFonts w:asciiTheme="minorBidi" w:hAnsiTheme="minorBidi"/>
                <w:szCs w:val="24"/>
              </w:rPr>
              <w:t>ing</w:t>
            </w:r>
            <w:r w:rsidRPr="00E330B5">
              <w:rPr>
                <w:rFonts w:asciiTheme="minorBidi" w:hAnsiTheme="minorBidi"/>
                <w:szCs w:val="24"/>
              </w:rPr>
              <w:t xml:space="preserve"> concern</w:t>
            </w:r>
            <w:r>
              <w:rPr>
                <w:rFonts w:asciiTheme="minorBidi" w:hAnsiTheme="minorBidi"/>
                <w:szCs w:val="24"/>
              </w:rPr>
              <w:t>, and asking whether</w:t>
            </w:r>
            <w:r w:rsidRPr="00E330B5">
              <w:rPr>
                <w:rFonts w:asciiTheme="minorBidi" w:hAnsiTheme="minorBidi"/>
                <w:szCs w:val="24"/>
              </w:rPr>
              <w:t xml:space="preserve"> you have been heard.</w:t>
            </w:r>
          </w:p>
          <w:p w14:paraId="78ABF3D8" w14:textId="77777777" w:rsidR="00125C73" w:rsidRPr="00D37B45" w:rsidRDefault="00125C73" w:rsidP="00430E6F">
            <w:pPr>
              <w:pStyle w:val="ListParagraph"/>
              <w:numPr>
                <w:ilvl w:val="1"/>
                <w:numId w:val="32"/>
              </w:numPr>
              <w:spacing w:after="60"/>
              <w:ind w:left="702" w:hanging="270"/>
              <w:contextualSpacing w:val="0"/>
              <w:rPr>
                <w:rFonts w:asciiTheme="minorBidi" w:hAnsiTheme="minorBidi"/>
                <w:szCs w:val="24"/>
              </w:rPr>
            </w:pPr>
            <w:r w:rsidRPr="00E330B5">
              <w:rPr>
                <w:rFonts w:asciiTheme="minorBidi" w:hAnsiTheme="minorBidi"/>
                <w:szCs w:val="24"/>
              </w:rPr>
              <w:t>U</w:t>
            </w:r>
            <w:r>
              <w:rPr>
                <w:rFonts w:asciiTheme="minorBidi" w:hAnsiTheme="minorBidi"/>
                <w:szCs w:val="24"/>
              </w:rPr>
              <w:t>s</w:t>
            </w:r>
            <w:r w:rsidRPr="00E330B5">
              <w:rPr>
                <w:rFonts w:asciiTheme="minorBidi" w:hAnsiTheme="minorBidi"/>
                <w:szCs w:val="24"/>
              </w:rPr>
              <w:t>e a predetermined “stop the line” phrase</w:t>
            </w:r>
            <w:r>
              <w:rPr>
                <w:rFonts w:asciiTheme="minorBidi" w:hAnsiTheme="minorBidi"/>
                <w:szCs w:val="24"/>
              </w:rPr>
              <w:t>.</w:t>
            </w:r>
            <w:r w:rsidRPr="00E330B5">
              <w:rPr>
                <w:rFonts w:asciiTheme="minorBidi" w:hAnsiTheme="minorBidi"/>
                <w:szCs w:val="24"/>
              </w:rPr>
              <w:t xml:space="preserve"> </w:t>
            </w:r>
          </w:p>
          <w:p w14:paraId="77B6A4D8" w14:textId="77777777" w:rsidR="00125C73" w:rsidRPr="005B21FF" w:rsidRDefault="00125C73" w:rsidP="00D37B45">
            <w:pPr>
              <w:pStyle w:val="ListParagraph"/>
              <w:numPr>
                <w:ilvl w:val="0"/>
                <w:numId w:val="21"/>
              </w:numPr>
              <w:ind w:left="432" w:hanging="270"/>
              <w:rPr>
                <w:rFonts w:asciiTheme="minorBidi" w:hAnsiTheme="minorBidi"/>
                <w:szCs w:val="24"/>
              </w:rPr>
            </w:pPr>
            <w:r>
              <w:rPr>
                <w:rFonts w:asciiTheme="minorBidi" w:hAnsiTheme="minorBidi"/>
                <w:szCs w:val="24"/>
              </w:rPr>
              <w:t>Team members m</w:t>
            </w:r>
            <w:r w:rsidRPr="00E330B5">
              <w:rPr>
                <w:rFonts w:asciiTheme="minorBidi" w:hAnsiTheme="minorBidi"/>
                <w:szCs w:val="24"/>
              </w:rPr>
              <w:t>anage conflict u</w:t>
            </w:r>
            <w:r>
              <w:rPr>
                <w:rFonts w:asciiTheme="minorBidi" w:hAnsiTheme="minorBidi"/>
                <w:szCs w:val="24"/>
              </w:rPr>
              <w:t>s</w:t>
            </w:r>
            <w:r w:rsidRPr="00E330B5">
              <w:rPr>
                <w:rFonts w:asciiTheme="minorBidi" w:hAnsiTheme="minorBidi"/>
                <w:szCs w:val="24"/>
              </w:rPr>
              <w:t>ing a constructive positive approach to emphasize “what is right, not who is right”:</w:t>
            </w:r>
          </w:p>
          <w:p w14:paraId="34DEEA94" w14:textId="77777777" w:rsidR="00125C73" w:rsidRPr="005B21FF" w:rsidRDefault="00125C73" w:rsidP="00D37B45">
            <w:pPr>
              <w:pStyle w:val="ListParagraph"/>
              <w:numPr>
                <w:ilvl w:val="1"/>
                <w:numId w:val="32"/>
              </w:numPr>
              <w:spacing w:after="60"/>
              <w:ind w:left="706" w:hanging="274"/>
              <w:contextualSpacing w:val="0"/>
              <w:rPr>
                <w:rFonts w:asciiTheme="minorBidi" w:hAnsiTheme="minorBidi"/>
                <w:szCs w:val="24"/>
              </w:rPr>
            </w:pPr>
            <w:r w:rsidRPr="005B21FF">
              <w:rPr>
                <w:rFonts w:asciiTheme="minorBidi" w:hAnsiTheme="minorBidi"/>
                <w:b/>
                <w:bCs/>
                <w:szCs w:val="24"/>
              </w:rPr>
              <w:t>D:</w:t>
            </w:r>
            <w:r w:rsidRPr="005B21FF">
              <w:rPr>
                <w:rFonts w:asciiTheme="minorBidi" w:hAnsiTheme="minorBidi"/>
                <w:szCs w:val="24"/>
              </w:rPr>
              <w:t xml:space="preserve"> Describe the specific behavior or situation.</w:t>
            </w:r>
          </w:p>
          <w:p w14:paraId="66DA1032" w14:textId="77777777" w:rsidR="00125C73" w:rsidRPr="005B21FF" w:rsidRDefault="00125C73" w:rsidP="00D37B45">
            <w:pPr>
              <w:pStyle w:val="ListParagraph"/>
              <w:numPr>
                <w:ilvl w:val="1"/>
                <w:numId w:val="32"/>
              </w:numPr>
              <w:spacing w:after="60"/>
              <w:ind w:left="706" w:hanging="274"/>
              <w:contextualSpacing w:val="0"/>
              <w:rPr>
                <w:rFonts w:asciiTheme="minorBidi" w:hAnsiTheme="minorBidi"/>
                <w:szCs w:val="24"/>
              </w:rPr>
            </w:pPr>
            <w:r w:rsidRPr="005B21FF">
              <w:rPr>
                <w:rFonts w:asciiTheme="minorBidi" w:hAnsiTheme="minorBidi"/>
                <w:b/>
                <w:bCs/>
                <w:szCs w:val="24"/>
              </w:rPr>
              <w:t>E:</w:t>
            </w:r>
            <w:r w:rsidRPr="005B21FF">
              <w:rPr>
                <w:rFonts w:asciiTheme="minorBidi" w:hAnsiTheme="minorBidi"/>
                <w:szCs w:val="24"/>
              </w:rPr>
              <w:t xml:space="preserve"> Express how the situation makes you feel or concerns you.</w:t>
            </w:r>
          </w:p>
          <w:p w14:paraId="56AC4599" w14:textId="77777777" w:rsidR="00125C73" w:rsidRPr="005B21FF" w:rsidRDefault="00125C73" w:rsidP="00D37B45">
            <w:pPr>
              <w:pStyle w:val="ListParagraph"/>
              <w:numPr>
                <w:ilvl w:val="1"/>
                <w:numId w:val="32"/>
              </w:numPr>
              <w:spacing w:after="60"/>
              <w:ind w:left="706" w:hanging="274"/>
              <w:contextualSpacing w:val="0"/>
              <w:rPr>
                <w:rFonts w:asciiTheme="minorBidi" w:hAnsiTheme="minorBidi"/>
                <w:szCs w:val="24"/>
              </w:rPr>
            </w:pPr>
            <w:r w:rsidRPr="005B21FF">
              <w:rPr>
                <w:rFonts w:asciiTheme="minorBidi" w:hAnsiTheme="minorBidi"/>
                <w:b/>
                <w:bCs/>
                <w:szCs w:val="24"/>
              </w:rPr>
              <w:t>S:</w:t>
            </w:r>
            <w:r w:rsidRPr="005B21FF">
              <w:rPr>
                <w:rFonts w:asciiTheme="minorBidi" w:hAnsiTheme="minorBidi"/>
                <w:szCs w:val="24"/>
              </w:rPr>
              <w:t xml:space="preserve"> Suggest other alternatives.</w:t>
            </w:r>
          </w:p>
          <w:p w14:paraId="6BA0F8B9" w14:textId="29F6ECF4" w:rsidR="00125C73" w:rsidRPr="00D37B45" w:rsidRDefault="00125C73" w:rsidP="00D37B45">
            <w:pPr>
              <w:pStyle w:val="ListParagraph"/>
              <w:numPr>
                <w:ilvl w:val="1"/>
                <w:numId w:val="32"/>
              </w:numPr>
              <w:spacing w:after="60"/>
              <w:ind w:left="706" w:hanging="274"/>
              <w:rPr>
                <w:rFonts w:asciiTheme="minorBidi" w:hAnsiTheme="minorBidi"/>
                <w:szCs w:val="24"/>
              </w:rPr>
            </w:pPr>
            <w:r w:rsidRPr="005B21FF">
              <w:rPr>
                <w:rFonts w:asciiTheme="minorBidi" w:hAnsiTheme="minorBidi"/>
                <w:b/>
                <w:bCs/>
                <w:szCs w:val="24"/>
              </w:rPr>
              <w:t>C</w:t>
            </w:r>
            <w:r>
              <w:rPr>
                <w:rFonts w:asciiTheme="minorBidi" w:hAnsiTheme="minorBidi"/>
                <w:b/>
                <w:bCs/>
                <w:szCs w:val="24"/>
              </w:rPr>
              <w:t>:</w:t>
            </w:r>
            <w:r w:rsidRPr="005B21FF">
              <w:rPr>
                <w:rFonts w:asciiTheme="minorBidi" w:hAnsiTheme="minorBidi"/>
                <w:szCs w:val="24"/>
              </w:rPr>
              <w:t xml:space="preserve"> </w:t>
            </w:r>
            <w:r w:rsidRPr="00D37B45">
              <w:rPr>
                <w:rFonts w:asciiTheme="minorBidi" w:hAnsiTheme="minorBidi"/>
                <w:szCs w:val="24"/>
              </w:rPr>
              <w:t>Consequences</w:t>
            </w:r>
            <w:r w:rsidRPr="005B21FF">
              <w:rPr>
                <w:rFonts w:asciiTheme="minorBidi" w:hAnsiTheme="minorBidi"/>
                <w:szCs w:val="24"/>
              </w:rPr>
              <w:t xml:space="preserve"> stated in terms of team goals, not punishment.</w:t>
            </w:r>
          </w:p>
        </w:tc>
      </w:tr>
    </w:tbl>
    <w:p w14:paraId="79D3D152" w14:textId="4D02D65D" w:rsidR="00FC3511" w:rsidRDefault="00FC3511" w:rsidP="00DB7503">
      <w:pPr>
        <w:spacing w:after="0"/>
        <w:jc w:val="right"/>
        <w:rPr>
          <w:sz w:val="12"/>
          <w:szCs w:val="12"/>
        </w:rPr>
      </w:pPr>
    </w:p>
    <w:p w14:paraId="00E68BE6" w14:textId="77777777" w:rsidR="00FC3511" w:rsidRDefault="00FC3511">
      <w:pPr>
        <w:spacing w:line="276" w:lineRule="auto"/>
        <w:rPr>
          <w:sz w:val="12"/>
          <w:szCs w:val="12"/>
        </w:rPr>
      </w:pPr>
      <w:r>
        <w:rPr>
          <w:sz w:val="12"/>
          <w:szCs w:val="12"/>
        </w:rPr>
        <w:br w:type="page"/>
      </w:r>
    </w:p>
    <w:p w14:paraId="5C629534" w14:textId="77777777" w:rsidR="00330094" w:rsidRDefault="00330094" w:rsidP="00DB7503">
      <w:pPr>
        <w:spacing w:after="0"/>
        <w:jc w:val="right"/>
        <w:rPr>
          <w:sz w:val="12"/>
          <w:szCs w:val="12"/>
        </w:rPr>
      </w:pPr>
    </w:p>
    <w:p w14:paraId="758F2963" w14:textId="1033B986" w:rsidR="00A56DB0" w:rsidRDefault="00A56DB0" w:rsidP="00A56DB0">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sz w:val="12"/>
          <w:szCs w:val="12"/>
        </w:rPr>
      </w:pPr>
      <w:r w:rsidRPr="005B21FF">
        <w:rPr>
          <w:rFonts w:asciiTheme="minorBidi" w:hAnsiTheme="minorBidi"/>
          <w:b/>
          <w:i/>
          <w:szCs w:val="24"/>
        </w:rPr>
        <w:t>Patient and Family Engagement (CUSP</w:t>
      </w:r>
      <w:r>
        <w:rPr>
          <w:rFonts w:asciiTheme="minorBidi" w:hAnsiTheme="minorBidi"/>
          <w:b/>
          <w:i/>
          <w:szCs w:val="24"/>
        </w:rPr>
        <w:t xml:space="preserve"> </w:t>
      </w:r>
      <w:r w:rsidRPr="005B21FF">
        <w:rPr>
          <w:rFonts w:asciiTheme="minorBidi" w:hAnsiTheme="minorBidi"/>
          <w:b/>
          <w:i/>
          <w:szCs w:val="24"/>
        </w:rPr>
        <w:t>Science of Safety)</w:t>
      </w:r>
    </w:p>
    <w:tbl>
      <w:tblPr>
        <w:tblStyle w:val="TableGrid"/>
        <w:tblW w:w="9558" w:type="dxa"/>
        <w:tblLook w:val="04A0" w:firstRow="1" w:lastRow="0" w:firstColumn="1" w:lastColumn="0" w:noHBand="0" w:noVBand="1"/>
        <w:tblDescription w:val="Key Perinatal Safety Elements"/>
      </w:tblPr>
      <w:tblGrid>
        <w:gridCol w:w="3528"/>
        <w:gridCol w:w="6030"/>
      </w:tblGrid>
      <w:tr w:rsidR="00330094" w:rsidRPr="005B21FF" w14:paraId="0A2D15C4" w14:textId="77777777" w:rsidTr="00A56DB0">
        <w:trPr>
          <w:cantSplit/>
          <w:tblHeader/>
        </w:trPr>
        <w:tc>
          <w:tcPr>
            <w:tcW w:w="3528" w:type="dxa"/>
          </w:tcPr>
          <w:p w14:paraId="6B5F6304" w14:textId="77777777" w:rsidR="00330094" w:rsidRPr="005B21FF" w:rsidRDefault="00330094" w:rsidP="00354BD4">
            <w:pPr>
              <w:rPr>
                <w:rFonts w:asciiTheme="minorBidi" w:hAnsiTheme="minorBidi" w:cstheme="minorBidi"/>
                <w:b/>
                <w:szCs w:val="24"/>
              </w:rPr>
            </w:pPr>
            <w:r w:rsidRPr="005B21FF">
              <w:rPr>
                <w:rFonts w:asciiTheme="minorBidi" w:hAnsiTheme="minorBidi" w:cstheme="minorBidi"/>
                <w:b/>
                <w:szCs w:val="24"/>
              </w:rPr>
              <w:t>Key Perinatal Safety Elements</w:t>
            </w:r>
          </w:p>
        </w:tc>
        <w:tc>
          <w:tcPr>
            <w:tcW w:w="6030" w:type="dxa"/>
          </w:tcPr>
          <w:p w14:paraId="45668C9C" w14:textId="77777777" w:rsidR="00330094" w:rsidRPr="005B21FF" w:rsidRDefault="00330094" w:rsidP="00354BD4">
            <w:pPr>
              <w:rPr>
                <w:rFonts w:asciiTheme="minorBidi" w:hAnsiTheme="minorBidi" w:cstheme="minorBidi"/>
                <w:b/>
                <w:szCs w:val="24"/>
              </w:rPr>
            </w:pPr>
            <w:r w:rsidRPr="005B21FF">
              <w:rPr>
                <w:rFonts w:asciiTheme="minorBidi" w:hAnsiTheme="minorBidi" w:cstheme="minorBidi"/>
                <w:b/>
                <w:szCs w:val="24"/>
              </w:rPr>
              <w:t>Examples</w:t>
            </w:r>
          </w:p>
        </w:tc>
      </w:tr>
      <w:tr w:rsidR="00330094" w:rsidRPr="005B21FF" w14:paraId="53A2E235" w14:textId="77777777" w:rsidTr="00A56DB0">
        <w:trPr>
          <w:cantSplit/>
        </w:trPr>
        <w:tc>
          <w:tcPr>
            <w:tcW w:w="3528" w:type="dxa"/>
          </w:tcPr>
          <w:p w14:paraId="7EA8B28D" w14:textId="77777777" w:rsidR="00330094" w:rsidRPr="005B21FF" w:rsidRDefault="00330094" w:rsidP="00354BD4">
            <w:pPr>
              <w:rPr>
                <w:rFonts w:asciiTheme="minorBidi" w:hAnsiTheme="minorBidi" w:cstheme="minorBidi"/>
                <w:szCs w:val="24"/>
              </w:rPr>
            </w:pPr>
            <w:r w:rsidRPr="005B21FF">
              <w:rPr>
                <w:rFonts w:asciiTheme="minorBidi" w:hAnsiTheme="minorBidi" w:cstheme="minorBidi"/>
                <w:szCs w:val="24"/>
              </w:rPr>
              <w:t>Discuss risks and benefits of oxytocin use for labor induction or augmentation with patient.</w:t>
            </w:r>
          </w:p>
        </w:tc>
        <w:tc>
          <w:tcPr>
            <w:tcW w:w="6030" w:type="dxa"/>
          </w:tcPr>
          <w:p w14:paraId="28D6CDD3" w14:textId="77777777" w:rsidR="00330094" w:rsidRPr="005B21FF" w:rsidRDefault="00330094" w:rsidP="0000751E">
            <w:pPr>
              <w:pStyle w:val="ListParagraph"/>
              <w:numPr>
                <w:ilvl w:val="0"/>
                <w:numId w:val="21"/>
              </w:numPr>
              <w:ind w:left="432" w:hanging="270"/>
              <w:rPr>
                <w:rFonts w:asciiTheme="minorBidi" w:hAnsiTheme="minorBidi" w:cstheme="minorBidi"/>
                <w:szCs w:val="24"/>
              </w:rPr>
            </w:pPr>
            <w:r w:rsidRPr="005B21FF">
              <w:rPr>
                <w:rFonts w:asciiTheme="minorBidi" w:hAnsiTheme="minorBidi" w:cstheme="minorBidi"/>
                <w:szCs w:val="24"/>
              </w:rPr>
              <w:t>U</w:t>
            </w:r>
            <w:r w:rsidR="00D37B45">
              <w:rPr>
                <w:rFonts w:asciiTheme="minorBidi" w:hAnsiTheme="minorBidi" w:cstheme="minorBidi"/>
                <w:szCs w:val="24"/>
              </w:rPr>
              <w:t>se u</w:t>
            </w:r>
            <w:r w:rsidRPr="005B21FF">
              <w:rPr>
                <w:rFonts w:asciiTheme="minorBidi" w:hAnsiTheme="minorBidi" w:cstheme="minorBidi"/>
                <w:szCs w:val="24"/>
              </w:rPr>
              <w:t>nit-established process for conveying risks and benefits of oxytocin use to patient and family</w:t>
            </w:r>
            <w:r w:rsidR="000F4BA4">
              <w:rPr>
                <w:rFonts w:asciiTheme="minorBidi" w:hAnsiTheme="minorBidi" w:cstheme="minorBidi"/>
                <w:szCs w:val="24"/>
              </w:rPr>
              <w:t>.</w:t>
            </w:r>
          </w:p>
        </w:tc>
      </w:tr>
      <w:tr w:rsidR="00330094" w:rsidRPr="005B21FF" w14:paraId="64B4BDBD" w14:textId="77777777" w:rsidTr="00A56DB0">
        <w:trPr>
          <w:cantSplit/>
        </w:trPr>
        <w:tc>
          <w:tcPr>
            <w:tcW w:w="3528" w:type="dxa"/>
          </w:tcPr>
          <w:p w14:paraId="2ACCDAD4" w14:textId="6E80664D" w:rsidR="00330094" w:rsidRPr="005B21FF" w:rsidRDefault="00330094" w:rsidP="00354BD4">
            <w:pPr>
              <w:rPr>
                <w:rFonts w:asciiTheme="minorBidi" w:hAnsiTheme="minorBidi" w:cstheme="minorBidi"/>
                <w:szCs w:val="24"/>
              </w:rPr>
            </w:pPr>
            <w:r w:rsidRPr="005B21FF">
              <w:rPr>
                <w:rFonts w:asciiTheme="minorBidi" w:hAnsiTheme="minorBidi" w:cstheme="minorBidi"/>
                <w:szCs w:val="24"/>
              </w:rPr>
              <w:t>Educate patient/family regarding oxytocin use.</w:t>
            </w:r>
          </w:p>
        </w:tc>
        <w:tc>
          <w:tcPr>
            <w:tcW w:w="6030" w:type="dxa"/>
          </w:tcPr>
          <w:p w14:paraId="0FF3CD1D" w14:textId="77777777" w:rsidR="00330094" w:rsidRPr="005B21FF" w:rsidRDefault="00330094" w:rsidP="0000751E">
            <w:pPr>
              <w:pStyle w:val="ListParagraph"/>
              <w:numPr>
                <w:ilvl w:val="0"/>
                <w:numId w:val="21"/>
              </w:numPr>
              <w:ind w:left="432" w:hanging="270"/>
              <w:rPr>
                <w:rFonts w:asciiTheme="minorBidi" w:hAnsiTheme="minorBidi" w:cstheme="minorBidi"/>
                <w:szCs w:val="24"/>
              </w:rPr>
            </w:pPr>
            <w:r w:rsidRPr="005B21FF">
              <w:rPr>
                <w:rFonts w:asciiTheme="minorBidi" w:hAnsiTheme="minorBidi" w:cstheme="minorBidi"/>
                <w:szCs w:val="24"/>
              </w:rPr>
              <w:t>U</w:t>
            </w:r>
            <w:r w:rsidR="00D37B45">
              <w:rPr>
                <w:rFonts w:asciiTheme="minorBidi" w:hAnsiTheme="minorBidi" w:cstheme="minorBidi"/>
                <w:szCs w:val="24"/>
              </w:rPr>
              <w:t>se u</w:t>
            </w:r>
            <w:r w:rsidRPr="005B21FF">
              <w:rPr>
                <w:rFonts w:asciiTheme="minorBidi" w:hAnsiTheme="minorBidi" w:cstheme="minorBidi"/>
                <w:szCs w:val="24"/>
              </w:rPr>
              <w:t>nit-established approach for nursing-led patient education regarding oxytocin infusion procedure, mobility restrictions if applicable, availability of wireless fetal m</w:t>
            </w:r>
            <w:r w:rsidR="009452C8">
              <w:rPr>
                <w:rFonts w:asciiTheme="minorBidi" w:hAnsiTheme="minorBidi" w:cstheme="minorBidi"/>
                <w:szCs w:val="24"/>
              </w:rPr>
              <w:t>onitoring, and expected effects</w:t>
            </w:r>
            <w:r w:rsidR="000F4BA4">
              <w:rPr>
                <w:rFonts w:asciiTheme="minorBidi" w:hAnsiTheme="minorBidi" w:cstheme="minorBidi"/>
                <w:szCs w:val="24"/>
              </w:rPr>
              <w:t>.</w:t>
            </w:r>
          </w:p>
          <w:p w14:paraId="171079B3" w14:textId="77777777" w:rsidR="009452C8" w:rsidRDefault="00D37B45" w:rsidP="00D37B45">
            <w:pPr>
              <w:pStyle w:val="ListParagraph"/>
              <w:numPr>
                <w:ilvl w:val="0"/>
                <w:numId w:val="21"/>
              </w:numPr>
              <w:ind w:left="432" w:hanging="270"/>
              <w:rPr>
                <w:rFonts w:asciiTheme="minorBidi" w:hAnsiTheme="minorBidi" w:cstheme="minorBidi"/>
                <w:szCs w:val="24"/>
              </w:rPr>
            </w:pPr>
            <w:r>
              <w:rPr>
                <w:rFonts w:asciiTheme="minorBidi" w:hAnsiTheme="minorBidi" w:cstheme="minorBidi"/>
                <w:szCs w:val="24"/>
              </w:rPr>
              <w:t>Educate the p</w:t>
            </w:r>
            <w:r w:rsidR="00330094" w:rsidRPr="005B21FF">
              <w:rPr>
                <w:rFonts w:asciiTheme="minorBidi" w:hAnsiTheme="minorBidi" w:cstheme="minorBidi"/>
                <w:szCs w:val="24"/>
              </w:rPr>
              <w:t xml:space="preserve">atient and family </w:t>
            </w:r>
            <w:r>
              <w:rPr>
                <w:rFonts w:asciiTheme="minorBidi" w:hAnsiTheme="minorBidi" w:cstheme="minorBidi"/>
                <w:szCs w:val="24"/>
              </w:rPr>
              <w:t>about</w:t>
            </w:r>
            <w:r w:rsidR="00330094" w:rsidRPr="005B21FF">
              <w:rPr>
                <w:rFonts w:asciiTheme="minorBidi" w:hAnsiTheme="minorBidi" w:cstheme="minorBidi"/>
                <w:szCs w:val="24"/>
              </w:rPr>
              <w:t xml:space="preserve"> concerning signs and symp</w:t>
            </w:r>
            <w:r w:rsidR="009452C8">
              <w:rPr>
                <w:rFonts w:asciiTheme="minorBidi" w:hAnsiTheme="minorBidi" w:cstheme="minorBidi"/>
                <w:szCs w:val="24"/>
              </w:rPr>
              <w:t>toms to report to nursing staff</w:t>
            </w:r>
            <w:r w:rsidR="000F4BA4">
              <w:rPr>
                <w:rFonts w:asciiTheme="minorBidi" w:hAnsiTheme="minorBidi" w:cstheme="minorBidi"/>
                <w:szCs w:val="24"/>
              </w:rPr>
              <w:t>.</w:t>
            </w:r>
          </w:p>
          <w:p w14:paraId="6E19894A" w14:textId="77777777" w:rsidR="00330094" w:rsidRPr="005B21FF" w:rsidRDefault="00D37B45" w:rsidP="0000751E">
            <w:pPr>
              <w:pStyle w:val="ListParagraph"/>
              <w:numPr>
                <w:ilvl w:val="0"/>
                <w:numId w:val="21"/>
              </w:numPr>
              <w:ind w:left="432" w:hanging="270"/>
              <w:rPr>
                <w:rFonts w:asciiTheme="minorBidi" w:hAnsiTheme="minorBidi" w:cstheme="minorBidi"/>
                <w:szCs w:val="24"/>
              </w:rPr>
            </w:pPr>
            <w:r>
              <w:rPr>
                <w:rFonts w:asciiTheme="minorBidi" w:hAnsiTheme="minorBidi" w:cstheme="minorBidi"/>
                <w:szCs w:val="24"/>
              </w:rPr>
              <w:t>Provide i</w:t>
            </w:r>
            <w:r w:rsidR="00330094" w:rsidRPr="005B21FF">
              <w:rPr>
                <w:rFonts w:asciiTheme="minorBidi" w:hAnsiTheme="minorBidi" w:cstheme="minorBidi"/>
                <w:szCs w:val="24"/>
              </w:rPr>
              <w:t xml:space="preserve">nstructions for reporting signs and symptoms </w:t>
            </w:r>
            <w:r w:rsidR="009452C8">
              <w:rPr>
                <w:rFonts w:asciiTheme="minorBidi" w:hAnsiTheme="minorBidi" w:cstheme="minorBidi"/>
                <w:szCs w:val="24"/>
              </w:rPr>
              <w:t>to nursing staff</w:t>
            </w:r>
            <w:r w:rsidR="000F4BA4">
              <w:rPr>
                <w:rFonts w:asciiTheme="minorBidi" w:hAnsiTheme="minorBidi" w:cstheme="minorBidi"/>
                <w:szCs w:val="24"/>
              </w:rPr>
              <w:t>.</w:t>
            </w:r>
          </w:p>
        </w:tc>
      </w:tr>
    </w:tbl>
    <w:p w14:paraId="17F2B2D4" w14:textId="77777777" w:rsidR="00FC3511" w:rsidRDefault="00FC3511" w:rsidP="00330094">
      <w:pPr>
        <w:pStyle w:val="BodyText"/>
        <w:spacing w:before="200" w:after="200"/>
        <w:rPr>
          <w:rStyle w:val="Heading1Char"/>
          <w:rFonts w:eastAsia="Calibri"/>
          <w:szCs w:val="24"/>
        </w:rPr>
      </w:pPr>
    </w:p>
    <w:p w14:paraId="04DFDE32" w14:textId="3852C91F" w:rsidR="00330094" w:rsidRPr="005B21FF" w:rsidRDefault="00330094" w:rsidP="00330094">
      <w:pPr>
        <w:pStyle w:val="BodyText"/>
        <w:spacing w:before="200" w:after="200"/>
        <w:rPr>
          <w:rStyle w:val="Heading1Char"/>
          <w:rFonts w:eastAsia="Calibri" w:cs="Arial"/>
          <w:b w:val="0"/>
          <w:szCs w:val="24"/>
        </w:rPr>
      </w:pPr>
      <w:r>
        <w:rPr>
          <w:rStyle w:val="Heading1Char"/>
          <w:rFonts w:eastAsia="Calibri"/>
          <w:szCs w:val="24"/>
        </w:rPr>
        <w:br w:type="page"/>
      </w:r>
      <w:r w:rsidRPr="005B21FF">
        <w:rPr>
          <w:rStyle w:val="Heading1Char"/>
          <w:rFonts w:eastAsia="Calibri" w:cs="Arial"/>
          <w:szCs w:val="24"/>
        </w:rPr>
        <w:lastRenderedPageBreak/>
        <w:t>References</w:t>
      </w:r>
    </w:p>
    <w:p w14:paraId="1B5BD22C" w14:textId="77777777" w:rsidR="00330094" w:rsidRPr="005B21FF" w:rsidRDefault="00330094" w:rsidP="005B21FF">
      <w:pPr>
        <w:pStyle w:val="biblio"/>
        <w:numPr>
          <w:ilvl w:val="0"/>
          <w:numId w:val="29"/>
        </w:numPr>
        <w:spacing w:after="240"/>
        <w:ind w:left="360"/>
        <w:rPr>
          <w:rFonts w:ascii="Arial" w:hAnsi="Arial" w:cs="Arial"/>
        </w:rPr>
      </w:pPr>
      <w:r w:rsidRPr="005B21FF">
        <w:rPr>
          <w:rFonts w:ascii="Arial" w:hAnsi="Arial" w:cs="Arial"/>
          <w:lang w:val="es-MX"/>
        </w:rPr>
        <w:t xml:space="preserve">Akinsipe DC, Villalobos LE, Ridley RT. </w:t>
      </w:r>
      <w:r w:rsidRPr="005B21FF">
        <w:rPr>
          <w:rFonts w:ascii="Arial" w:hAnsi="Arial" w:cs="Arial"/>
        </w:rPr>
        <w:t xml:space="preserve">A systematic review of implementing an elective labor induction policy. </w:t>
      </w:r>
      <w:r w:rsidRPr="005B21FF">
        <w:rPr>
          <w:rFonts w:ascii="Arial" w:hAnsi="Arial" w:cs="Arial"/>
          <w:iCs/>
        </w:rPr>
        <w:t>J Obstet Gynecol Neonatal Nurs.</w:t>
      </w:r>
      <w:r w:rsidRPr="005B21FF">
        <w:rPr>
          <w:rFonts w:ascii="Arial" w:hAnsi="Arial" w:cs="Arial"/>
        </w:rPr>
        <w:t xml:space="preserve"> 2012 Jan;41(1):5-16.</w:t>
      </w:r>
      <w:r w:rsidR="00B665E9">
        <w:rPr>
          <w:rFonts w:ascii="Arial" w:hAnsi="Arial" w:cs="Arial"/>
        </w:rPr>
        <w:t xml:space="preserve"> PMID: 22834718.</w:t>
      </w:r>
    </w:p>
    <w:p w14:paraId="2C9AA9B1" w14:textId="77777777" w:rsidR="00330094" w:rsidRPr="005B21FF" w:rsidRDefault="00330094" w:rsidP="005B21FF">
      <w:pPr>
        <w:pStyle w:val="biblio"/>
        <w:numPr>
          <w:ilvl w:val="0"/>
          <w:numId w:val="29"/>
        </w:numPr>
        <w:spacing w:after="240"/>
        <w:ind w:left="360"/>
        <w:rPr>
          <w:rFonts w:ascii="Arial" w:hAnsi="Arial" w:cs="Arial"/>
        </w:rPr>
      </w:pPr>
      <w:r w:rsidRPr="00E21B81">
        <w:rPr>
          <w:rFonts w:ascii="Arial" w:hAnsi="Arial" w:cs="Arial"/>
          <w:lang w:val="fr-FR"/>
        </w:rPr>
        <w:t xml:space="preserve">Clark SL, Miller DD, Belfort MA, et al. </w:t>
      </w:r>
      <w:r w:rsidRPr="005B21FF">
        <w:rPr>
          <w:rFonts w:ascii="Arial" w:hAnsi="Arial" w:cs="Arial"/>
        </w:rPr>
        <w:t>Neonatal and maternal outcomes associated with elective term delivery. Am J Obstet Gynecol. 2009 Feb;2009(2):156.e1-4. doi: 10.1016/j.ajog.2008.08.068. Epub 2008 Dec 25. PMID: 19110225.</w:t>
      </w:r>
    </w:p>
    <w:p w14:paraId="446CBE9F" w14:textId="77777777" w:rsidR="00330094" w:rsidRPr="005B21FF" w:rsidRDefault="00330094" w:rsidP="00FE372C">
      <w:pPr>
        <w:pStyle w:val="biblio"/>
        <w:numPr>
          <w:ilvl w:val="0"/>
          <w:numId w:val="29"/>
        </w:numPr>
        <w:spacing w:after="240"/>
        <w:ind w:left="360"/>
        <w:rPr>
          <w:rFonts w:ascii="Arial" w:hAnsi="Arial" w:cs="Arial"/>
        </w:rPr>
      </w:pPr>
      <w:r w:rsidRPr="005B21FF">
        <w:rPr>
          <w:rFonts w:ascii="Arial" w:hAnsi="Arial" w:cs="Arial"/>
        </w:rPr>
        <w:t xml:space="preserve">Bailit JL, Gregory KD, Reddy UM, et al. Maternal and neonatal outcomes by labor onset type and gestational age. </w:t>
      </w:r>
      <w:r w:rsidRPr="005B21FF">
        <w:rPr>
          <w:rFonts w:ascii="Arial" w:hAnsi="Arial" w:cs="Arial"/>
          <w:lang w:val="pt-BR"/>
        </w:rPr>
        <w:t xml:space="preserve">Am J Obstet Gynecol. 2010 Mar;202(3):245.e1-245.e12. doi: 10.1016/j.ajog.2010.01.051. </w:t>
      </w:r>
      <w:r w:rsidRPr="005B21FF">
        <w:rPr>
          <w:rFonts w:ascii="Arial" w:hAnsi="Arial" w:cs="Arial"/>
        </w:rPr>
        <w:t>PMID: 20207242</w:t>
      </w:r>
      <w:r w:rsidR="00B665E9">
        <w:rPr>
          <w:rFonts w:ascii="Arial" w:hAnsi="Arial" w:cs="Arial"/>
        </w:rPr>
        <w:t>.</w:t>
      </w:r>
      <w:r w:rsidRPr="005B21FF">
        <w:rPr>
          <w:rFonts w:ascii="Arial" w:hAnsi="Arial" w:cs="Arial"/>
        </w:rPr>
        <w:t xml:space="preserve"> PMCID: PMC2888294.</w:t>
      </w:r>
    </w:p>
    <w:p w14:paraId="1AD9B301" w14:textId="77777777" w:rsidR="00DE1280" w:rsidRPr="00CF322B" w:rsidRDefault="00330094" w:rsidP="00CF322B">
      <w:pPr>
        <w:pStyle w:val="ListParagraph"/>
        <w:numPr>
          <w:ilvl w:val="0"/>
          <w:numId w:val="29"/>
        </w:numPr>
        <w:autoSpaceDE w:val="0"/>
        <w:autoSpaceDN w:val="0"/>
        <w:adjustRightInd w:val="0"/>
        <w:spacing w:after="0"/>
        <w:ind w:left="360"/>
        <w:rPr>
          <w:rFonts w:cs="Arial"/>
          <w:szCs w:val="24"/>
        </w:rPr>
      </w:pPr>
      <w:r w:rsidRPr="00DE1280">
        <w:rPr>
          <w:rFonts w:cs="Arial"/>
        </w:rPr>
        <w:t xml:space="preserve">Caughey AB, Sundaram V, Kaimal AJ, et al. Maternal and neonatal outcomes of elective induction of labor. </w:t>
      </w:r>
      <w:r w:rsidR="00B665E9" w:rsidRPr="00663416">
        <w:rPr>
          <w:rFonts w:cs="Arial"/>
        </w:rPr>
        <w:t xml:space="preserve">Evidence Report/Technology Assessment No. 176 (Prepared by </w:t>
      </w:r>
      <w:r w:rsidR="00DE1280" w:rsidRPr="00CF322B">
        <w:rPr>
          <w:rFonts w:cs="Arial"/>
          <w:szCs w:val="24"/>
        </w:rPr>
        <w:t>the Stanford University-UCSF Evidenced-based Practice</w:t>
      </w:r>
    </w:p>
    <w:p w14:paraId="2CB4EDA7" w14:textId="0A3F3CBF" w:rsidR="00330094" w:rsidRDefault="00DE1280" w:rsidP="00412BC1">
      <w:pPr>
        <w:autoSpaceDE w:val="0"/>
        <w:autoSpaceDN w:val="0"/>
        <w:adjustRightInd w:val="0"/>
        <w:spacing w:after="240"/>
        <w:ind w:left="360"/>
        <w:rPr>
          <w:rFonts w:cs="Arial"/>
        </w:rPr>
      </w:pPr>
      <w:r w:rsidRPr="00DE1280">
        <w:rPr>
          <w:rFonts w:cs="Arial"/>
          <w:szCs w:val="24"/>
        </w:rPr>
        <w:t>Center under contract No. 290-02-0017.) AHRQ Publication No. 09-E005. Rockville, MD:</w:t>
      </w:r>
      <w:r>
        <w:rPr>
          <w:rFonts w:cs="Arial"/>
          <w:szCs w:val="24"/>
        </w:rPr>
        <w:t xml:space="preserve"> </w:t>
      </w:r>
      <w:r w:rsidRPr="00DE1280">
        <w:rPr>
          <w:rFonts w:cs="Arial"/>
          <w:szCs w:val="24"/>
        </w:rPr>
        <w:t>Agency for Healthcare Research and Quality. March 2009.</w:t>
      </w:r>
      <w:r w:rsidRPr="005B21FF" w:rsidDel="00B665E9">
        <w:rPr>
          <w:rFonts w:cs="Arial"/>
        </w:rPr>
        <w:t xml:space="preserve"> </w:t>
      </w:r>
      <w:hyperlink r:id="rId10" w:history="1">
        <w:r w:rsidR="007B05B5" w:rsidRPr="007B05B5">
          <w:rPr>
            <w:rStyle w:val="Hyperlink"/>
            <w:rFonts w:cs="Arial"/>
          </w:rPr>
          <w:t>http://www.ahrq.gov/research/findings/evidence-based-reports/eiltp.html.</w:t>
        </w:r>
      </w:hyperlink>
      <w:r w:rsidR="00FE372C">
        <w:rPr>
          <w:rFonts w:cs="Arial"/>
        </w:rPr>
        <w:t xml:space="preserve"> Ac</w:t>
      </w:r>
      <w:r w:rsidR="00412BC1">
        <w:rPr>
          <w:rFonts w:cs="Arial"/>
        </w:rPr>
        <w:t>cessed May 2, 2016</w:t>
      </w:r>
      <w:r w:rsidR="00FE372C">
        <w:rPr>
          <w:rFonts w:cs="Arial"/>
        </w:rPr>
        <w:t>.</w:t>
      </w:r>
    </w:p>
    <w:p w14:paraId="16498BFD" w14:textId="77777777" w:rsidR="00330094" w:rsidRPr="005B21FF" w:rsidRDefault="00330094" w:rsidP="005B21FF">
      <w:pPr>
        <w:pStyle w:val="biblio"/>
        <w:numPr>
          <w:ilvl w:val="0"/>
          <w:numId w:val="29"/>
        </w:numPr>
        <w:spacing w:after="240"/>
        <w:ind w:left="360"/>
        <w:rPr>
          <w:rFonts w:ascii="Arial" w:hAnsi="Arial" w:cs="Arial"/>
        </w:rPr>
      </w:pPr>
      <w:r w:rsidRPr="005B21FF">
        <w:rPr>
          <w:rFonts w:ascii="Arial" w:hAnsi="Arial" w:cs="Arial"/>
        </w:rPr>
        <w:t>Simpson KR. Clinicians' guide to the use of oxytocin for labor induction and augmentation. J Midwifery Women’s Health. 2011 May-Jun;56(3):214-21.</w:t>
      </w:r>
    </w:p>
    <w:p w14:paraId="1E8C2A7A" w14:textId="188BF4A9" w:rsidR="00330094" w:rsidRPr="005B21FF" w:rsidRDefault="00330094" w:rsidP="00BC2353">
      <w:pPr>
        <w:pStyle w:val="biblio"/>
        <w:numPr>
          <w:ilvl w:val="0"/>
          <w:numId w:val="29"/>
        </w:numPr>
        <w:spacing w:after="240"/>
        <w:ind w:left="360"/>
        <w:rPr>
          <w:rFonts w:ascii="Arial" w:hAnsi="Arial" w:cs="Arial"/>
        </w:rPr>
      </w:pPr>
      <w:r w:rsidRPr="005B21FF">
        <w:rPr>
          <w:rFonts w:ascii="Arial" w:hAnsi="Arial" w:cs="Arial"/>
        </w:rPr>
        <w:t>ACOG Committee on Practice Bulletins — Obstetrics. ACOG Practice Bulletin No.107: Induction of labor. Obstet Gynecol. 2009 Aug</w:t>
      </w:r>
      <w:r w:rsidR="00181600" w:rsidRPr="00181600">
        <w:rPr>
          <w:rFonts w:ascii="Arial" w:hAnsi="Arial" w:cs="Arial"/>
        </w:rPr>
        <w:t>, reaffirmed 2015</w:t>
      </w:r>
      <w:r w:rsidRPr="005B21FF">
        <w:rPr>
          <w:rFonts w:ascii="Arial" w:hAnsi="Arial" w:cs="Arial"/>
        </w:rPr>
        <w:t>;114(2 Pt 1):386-97. doi:10.1097/AOG.0b013e3181b48ef5. Review. PMID: 19623003.</w:t>
      </w:r>
    </w:p>
    <w:p w14:paraId="02463B54" w14:textId="77777777" w:rsidR="00330094" w:rsidRPr="005B21FF" w:rsidRDefault="00330094" w:rsidP="005B21FF">
      <w:pPr>
        <w:pStyle w:val="biblio"/>
        <w:numPr>
          <w:ilvl w:val="0"/>
          <w:numId w:val="29"/>
        </w:numPr>
        <w:spacing w:after="240"/>
        <w:ind w:left="360"/>
        <w:rPr>
          <w:rFonts w:ascii="Arial" w:hAnsi="Arial" w:cs="Arial"/>
        </w:rPr>
      </w:pPr>
      <w:r w:rsidRPr="005B21FF">
        <w:rPr>
          <w:rFonts w:ascii="Arial" w:hAnsi="Arial" w:cs="Arial"/>
        </w:rPr>
        <w:t>WHO Recommendations for Induction of Labour. Geneva: World Health Organization; 2011. PMID: 23586118.</w:t>
      </w:r>
    </w:p>
    <w:p w14:paraId="5B5EB10C" w14:textId="77777777" w:rsidR="00330094" w:rsidRPr="005B21FF" w:rsidRDefault="00330094" w:rsidP="005B21FF">
      <w:pPr>
        <w:pStyle w:val="biblio"/>
        <w:numPr>
          <w:ilvl w:val="0"/>
          <w:numId w:val="29"/>
        </w:numPr>
        <w:spacing w:after="240"/>
        <w:ind w:left="360"/>
        <w:rPr>
          <w:rStyle w:val="CommentReference"/>
          <w:rFonts w:ascii="Arial" w:hAnsi="Arial" w:cs="Arial"/>
          <w:sz w:val="24"/>
          <w:szCs w:val="24"/>
        </w:rPr>
      </w:pPr>
      <w:r w:rsidRPr="005B21FF">
        <w:rPr>
          <w:rFonts w:ascii="Arial" w:hAnsi="Arial" w:cs="Arial"/>
          <w:lang w:val="pt-BR"/>
        </w:rPr>
        <w:t xml:space="preserve">Mozurkewich E, Chilimigras J, Koepke E, et al. </w:t>
      </w:r>
      <w:r w:rsidRPr="005B21FF">
        <w:rPr>
          <w:rFonts w:ascii="Arial" w:hAnsi="Arial" w:cs="Arial"/>
        </w:rPr>
        <w:t>Indications for induction of labour: a best-evidence review. BJOG. 2009 Apr;116(5):626-36. doi:10.1111/j.1471-0528.2008.02065.x. Epub 2009 Feb 4. Review. PMID: 19191776.</w:t>
      </w:r>
    </w:p>
    <w:p w14:paraId="5ABB07A8" w14:textId="77777777" w:rsidR="00330094" w:rsidRPr="005B21FF" w:rsidRDefault="00330094" w:rsidP="005B21FF">
      <w:pPr>
        <w:pStyle w:val="biblio"/>
        <w:numPr>
          <w:ilvl w:val="0"/>
          <w:numId w:val="29"/>
        </w:numPr>
        <w:spacing w:after="240"/>
        <w:ind w:left="360"/>
        <w:rPr>
          <w:rFonts w:ascii="Arial" w:hAnsi="Arial" w:cs="Arial"/>
        </w:rPr>
      </w:pPr>
      <w:r w:rsidRPr="005B21FF">
        <w:rPr>
          <w:rStyle w:val="CommentReference"/>
          <w:rFonts w:ascii="Arial" w:hAnsi="Arial" w:cs="Arial"/>
          <w:sz w:val="24"/>
          <w:szCs w:val="24"/>
        </w:rPr>
        <w:t>B</w:t>
      </w:r>
      <w:r w:rsidRPr="005B21FF">
        <w:rPr>
          <w:rFonts w:ascii="Arial" w:hAnsi="Arial" w:cs="Arial"/>
        </w:rPr>
        <w:t>ugg GJ, Siddiqui F, Thornton JG. Oxytocin versus no treatment or delayed treatment for slow progress in the first stage of spontaneous labour. Cochrane Database Syst Rev. 2013 Jun 23;6:CD007123. doi: 10.1002/14651858.CD007123.pub3. Review. PMID: 23794255.</w:t>
      </w:r>
    </w:p>
    <w:p w14:paraId="542190E5" w14:textId="77777777" w:rsidR="00330094" w:rsidRPr="005B21FF" w:rsidRDefault="00330094" w:rsidP="005B21FF">
      <w:pPr>
        <w:pStyle w:val="biblio"/>
        <w:numPr>
          <w:ilvl w:val="0"/>
          <w:numId w:val="29"/>
        </w:numPr>
        <w:spacing w:after="240"/>
        <w:ind w:left="360"/>
        <w:rPr>
          <w:rFonts w:ascii="Arial" w:hAnsi="Arial" w:cs="Arial"/>
          <w:color w:val="231F20"/>
        </w:rPr>
      </w:pPr>
      <w:r w:rsidRPr="005B21FF">
        <w:rPr>
          <w:rFonts w:ascii="Arial" w:hAnsi="Arial" w:cs="Arial"/>
          <w:color w:val="231F20"/>
        </w:rPr>
        <w:t>Clark SL, Simpson KR, Knox GE, et al. Oxytocin: new perspectives on an old drug. Am J Obstet Gynecol</w:t>
      </w:r>
      <w:r w:rsidRPr="005B21FF">
        <w:rPr>
          <w:rFonts w:ascii="Arial" w:hAnsi="Arial" w:cs="Arial"/>
          <w:i/>
          <w:iCs/>
          <w:color w:val="231F20"/>
        </w:rPr>
        <w:t>.</w:t>
      </w:r>
      <w:r w:rsidRPr="005B21FF">
        <w:rPr>
          <w:rFonts w:ascii="Arial" w:hAnsi="Arial" w:cs="Arial"/>
          <w:color w:val="231F20"/>
        </w:rPr>
        <w:t xml:space="preserve"> 2009;200:35.e1-35.e6.</w:t>
      </w:r>
      <w:r w:rsidR="00DE1280">
        <w:rPr>
          <w:rFonts w:ascii="Arial" w:hAnsi="Arial" w:cs="Arial"/>
          <w:color w:val="231F20"/>
        </w:rPr>
        <w:t xml:space="preserve"> PMID: 18667171.</w:t>
      </w:r>
    </w:p>
    <w:p w14:paraId="26C08B5E" w14:textId="265D18C6" w:rsidR="00330094" w:rsidRPr="005B21FF" w:rsidRDefault="00330094" w:rsidP="007B05B5">
      <w:pPr>
        <w:pStyle w:val="biblio"/>
        <w:numPr>
          <w:ilvl w:val="0"/>
          <w:numId w:val="29"/>
        </w:numPr>
        <w:spacing w:after="240"/>
        <w:ind w:left="450" w:hanging="450"/>
        <w:rPr>
          <w:rFonts w:ascii="Arial" w:hAnsi="Arial" w:cs="Arial"/>
        </w:rPr>
      </w:pPr>
      <w:r w:rsidRPr="005B21FF">
        <w:rPr>
          <w:rFonts w:ascii="Arial" w:hAnsi="Arial" w:cs="Arial"/>
        </w:rPr>
        <w:t xml:space="preserve">Pitocin Drug Label. </w:t>
      </w:r>
      <w:hyperlink r:id="rId11" w:history="1">
        <w:r w:rsidR="007B05B5">
          <w:rPr>
            <w:rStyle w:val="Hyperlink"/>
            <w:rFonts w:ascii="Arial" w:hAnsi="Arial" w:cs="Arial"/>
          </w:rPr>
          <w:t>http://www.accessdata.fda.gov/drugsatfda_docs/label/2007/018261s028lbl.pdf</w:t>
        </w:r>
      </w:hyperlink>
      <w:r w:rsidRPr="005B21FF">
        <w:rPr>
          <w:rFonts w:ascii="Arial" w:hAnsi="Arial" w:cs="Arial"/>
        </w:rPr>
        <w:t xml:space="preserve">. Accessed </w:t>
      </w:r>
      <w:r w:rsidR="00412BC1" w:rsidRPr="00412BC1">
        <w:rPr>
          <w:rFonts w:ascii="Arial" w:hAnsi="Arial" w:cs="Arial"/>
        </w:rPr>
        <w:t>May 2, 2016</w:t>
      </w:r>
      <w:r w:rsidRPr="005B21FF">
        <w:rPr>
          <w:rFonts w:ascii="Arial" w:hAnsi="Arial" w:cs="Arial"/>
        </w:rPr>
        <w:t xml:space="preserve">. </w:t>
      </w:r>
    </w:p>
    <w:p w14:paraId="43AF5763" w14:textId="77777777" w:rsidR="00330094" w:rsidRPr="005B21FF" w:rsidRDefault="00330094" w:rsidP="00CB56C6">
      <w:pPr>
        <w:pStyle w:val="biblio"/>
        <w:numPr>
          <w:ilvl w:val="0"/>
          <w:numId w:val="29"/>
        </w:numPr>
        <w:spacing w:after="240"/>
        <w:ind w:left="360"/>
        <w:rPr>
          <w:rFonts w:ascii="Arial" w:hAnsi="Arial" w:cs="Arial"/>
        </w:rPr>
      </w:pPr>
      <w:r w:rsidRPr="005B21FF">
        <w:rPr>
          <w:rFonts w:ascii="Arial" w:hAnsi="Arial" w:cs="Arial"/>
        </w:rPr>
        <w:lastRenderedPageBreak/>
        <w:t>Clark S, Belfort M, Saade G, et al. Implementation of a conservative checklist-based protocol for oxytocin administration: maternal and newborn outcomes.</w:t>
      </w:r>
      <w:r w:rsidRPr="005B21FF">
        <w:rPr>
          <w:rFonts w:ascii="Arial" w:hAnsi="Arial" w:cs="Arial"/>
          <w:i/>
          <w:iCs/>
        </w:rPr>
        <w:t xml:space="preserve"> </w:t>
      </w:r>
      <w:r w:rsidRPr="005B21FF">
        <w:rPr>
          <w:rFonts w:ascii="Arial" w:hAnsi="Arial" w:cs="Arial"/>
        </w:rPr>
        <w:t>Am J Obstet Gynecol</w:t>
      </w:r>
      <w:r w:rsidRPr="005B21FF">
        <w:rPr>
          <w:rFonts w:ascii="Arial" w:hAnsi="Arial" w:cs="Arial"/>
          <w:i/>
          <w:iCs/>
        </w:rPr>
        <w:t>.</w:t>
      </w:r>
      <w:r w:rsidRPr="005B21FF">
        <w:rPr>
          <w:rFonts w:ascii="Arial" w:hAnsi="Arial" w:cs="Arial"/>
        </w:rPr>
        <w:t xml:space="preserve"> 2007;197:480.e1-480.e5.</w:t>
      </w:r>
      <w:r w:rsidR="00CB56C6">
        <w:rPr>
          <w:rFonts w:ascii="Arial" w:hAnsi="Arial" w:cs="Arial"/>
        </w:rPr>
        <w:t xml:space="preserve"> </w:t>
      </w:r>
      <w:r w:rsidR="00CB56C6" w:rsidRPr="00CB56C6">
        <w:rPr>
          <w:rFonts w:ascii="Arial" w:hAnsi="Arial" w:cs="Arial"/>
        </w:rPr>
        <w:t>PMID: 17980181</w:t>
      </w:r>
      <w:r w:rsidR="00CB56C6">
        <w:rPr>
          <w:rFonts w:ascii="Arial" w:hAnsi="Arial" w:cs="Arial"/>
        </w:rPr>
        <w:t>.</w:t>
      </w:r>
    </w:p>
    <w:p w14:paraId="38B83A52" w14:textId="77777777" w:rsidR="00330094" w:rsidRPr="005B21FF" w:rsidRDefault="00330094" w:rsidP="005B21FF">
      <w:pPr>
        <w:pStyle w:val="biblio"/>
        <w:numPr>
          <w:ilvl w:val="0"/>
          <w:numId w:val="29"/>
        </w:numPr>
        <w:spacing w:after="240"/>
        <w:ind w:left="360"/>
        <w:rPr>
          <w:rFonts w:ascii="Arial" w:hAnsi="Arial" w:cs="Arial"/>
          <w:i/>
          <w:iCs/>
        </w:rPr>
      </w:pPr>
      <w:r w:rsidRPr="005B21FF">
        <w:rPr>
          <w:rFonts w:ascii="Arial" w:hAnsi="Arial" w:cs="Arial"/>
        </w:rPr>
        <w:t>Budden A,Henry A, Heatley E. Oxytocin infusion regimens for induction of labour. Cochrane Database Syst Rev</w:t>
      </w:r>
      <w:r w:rsidRPr="005B21FF">
        <w:rPr>
          <w:rFonts w:ascii="Arial" w:hAnsi="Arial" w:cs="Arial"/>
          <w:i/>
          <w:iCs/>
        </w:rPr>
        <w:t xml:space="preserve">. </w:t>
      </w:r>
      <w:r w:rsidRPr="005B21FF">
        <w:rPr>
          <w:rFonts w:ascii="Arial" w:hAnsi="Arial" w:cs="Arial"/>
        </w:rPr>
        <w:t>2012;3:CD009701. doi: 10.1002/14651858.CD009701.</w:t>
      </w:r>
    </w:p>
    <w:p w14:paraId="0EA22EF6" w14:textId="77777777" w:rsidR="00330094" w:rsidRPr="005B21FF" w:rsidRDefault="00330094" w:rsidP="005B21FF">
      <w:pPr>
        <w:pStyle w:val="biblio"/>
        <w:numPr>
          <w:ilvl w:val="0"/>
          <w:numId w:val="29"/>
        </w:numPr>
        <w:spacing w:after="240"/>
        <w:ind w:left="360"/>
        <w:rPr>
          <w:rFonts w:ascii="Arial" w:hAnsi="Arial" w:cs="Arial"/>
          <w:color w:val="231F20"/>
        </w:rPr>
      </w:pPr>
      <w:r w:rsidRPr="005B21FF">
        <w:rPr>
          <w:rFonts w:ascii="Arial" w:hAnsi="Arial" w:cs="Arial"/>
          <w:color w:val="231F20"/>
        </w:rPr>
        <w:t>Kenyon S, Tokumasu H, Dowswell T, et al. High-dose versus low-dose oxytocin for augmentation of delayed labour. Cochrane Database Syst Rev. 2013 Jul 13;7:CD007201. doi: 10.1002/14651858.CD007201.pub3. Review. PMID: 23853046.</w:t>
      </w:r>
    </w:p>
    <w:p w14:paraId="7EF05EAB" w14:textId="2D9ABE60" w:rsidR="00330094" w:rsidRPr="005B21FF" w:rsidRDefault="00330094" w:rsidP="007B05B5">
      <w:pPr>
        <w:pStyle w:val="biblio"/>
        <w:numPr>
          <w:ilvl w:val="0"/>
          <w:numId w:val="29"/>
        </w:numPr>
        <w:spacing w:after="240"/>
        <w:ind w:left="360"/>
        <w:rPr>
          <w:rFonts w:ascii="Arial" w:hAnsi="Arial" w:cs="Arial"/>
          <w:color w:val="231F20"/>
        </w:rPr>
      </w:pPr>
      <w:r w:rsidRPr="005B21FF">
        <w:rPr>
          <w:rFonts w:ascii="Arial" w:hAnsi="Arial" w:cs="Arial"/>
        </w:rPr>
        <w:t xml:space="preserve">American Congress of Obstetricians and Gynecologists (ACOG). Optimizing Protocols in Obstetrics. Oxytocin for Induction. 2011. </w:t>
      </w:r>
      <w:hyperlink r:id="rId12" w:history="1">
        <w:r w:rsidR="007B05B5">
          <w:rPr>
            <w:rStyle w:val="Hyperlink"/>
            <w:rFonts w:ascii="Arial" w:hAnsi="Arial" w:cs="Arial"/>
          </w:rPr>
          <w:t>http://mail.ny.acog.org/website/OxytocinForInduction.pdf</w:t>
        </w:r>
      </w:hyperlink>
      <w:r w:rsidR="003D4BE3">
        <w:rPr>
          <w:rFonts w:ascii="Arial" w:hAnsi="Arial" w:cs="Arial"/>
        </w:rPr>
        <w:t xml:space="preserve">. </w:t>
      </w:r>
      <w:r w:rsidRPr="005B21FF">
        <w:rPr>
          <w:rFonts w:ascii="Arial" w:hAnsi="Arial" w:cs="Arial"/>
        </w:rPr>
        <w:t xml:space="preserve">Accessed </w:t>
      </w:r>
      <w:r w:rsidR="00412BC1" w:rsidRPr="00412BC1">
        <w:rPr>
          <w:rFonts w:ascii="Arial" w:hAnsi="Arial" w:cs="Arial"/>
        </w:rPr>
        <w:t>May 2, 2016</w:t>
      </w:r>
      <w:r w:rsidRPr="005B21FF">
        <w:rPr>
          <w:rFonts w:ascii="Arial" w:hAnsi="Arial" w:cs="Arial"/>
        </w:rPr>
        <w:t>.</w:t>
      </w:r>
    </w:p>
    <w:p w14:paraId="666CB503" w14:textId="77777777" w:rsidR="00330094" w:rsidRPr="005B21FF" w:rsidRDefault="00330094" w:rsidP="00CB56C6">
      <w:pPr>
        <w:pStyle w:val="biblio"/>
        <w:numPr>
          <w:ilvl w:val="0"/>
          <w:numId w:val="29"/>
        </w:numPr>
        <w:spacing w:after="240"/>
        <w:ind w:left="360"/>
        <w:rPr>
          <w:rFonts w:ascii="Arial" w:hAnsi="Arial" w:cs="Arial"/>
          <w:color w:val="231F20"/>
        </w:rPr>
      </w:pPr>
      <w:r w:rsidRPr="005B21FF">
        <w:rPr>
          <w:rFonts w:ascii="Arial" w:hAnsi="Arial" w:cs="Arial"/>
        </w:rPr>
        <w:t>Hayes EJ, Weinstein L. Improving patient safety and uniformity of care by a standardized regimen for the use of oxytocin. Am J Obstet Gynecol. 2008 Jun;198(6):622.e1-7.</w:t>
      </w:r>
      <w:r w:rsidR="00CB56C6">
        <w:rPr>
          <w:rFonts w:ascii="Arial" w:hAnsi="Arial" w:cs="Arial"/>
        </w:rPr>
        <w:t xml:space="preserve"> </w:t>
      </w:r>
      <w:r w:rsidR="00CB56C6" w:rsidRPr="00CB56C6">
        <w:rPr>
          <w:rFonts w:ascii="Arial" w:hAnsi="Arial" w:cs="Arial"/>
        </w:rPr>
        <w:t>PMID: 18355786.</w:t>
      </w:r>
    </w:p>
    <w:p w14:paraId="73692DB2" w14:textId="77777777" w:rsidR="00330094" w:rsidRPr="005B21FF" w:rsidRDefault="00330094" w:rsidP="005B21FF">
      <w:pPr>
        <w:pStyle w:val="biblio"/>
        <w:numPr>
          <w:ilvl w:val="0"/>
          <w:numId w:val="29"/>
        </w:numPr>
        <w:spacing w:after="240"/>
        <w:ind w:left="360"/>
        <w:rPr>
          <w:rFonts w:ascii="Arial" w:hAnsi="Arial" w:cs="Arial"/>
          <w:color w:val="231F20"/>
        </w:rPr>
      </w:pPr>
      <w:r w:rsidRPr="005B21FF">
        <w:rPr>
          <w:rFonts w:ascii="Arial" w:hAnsi="Arial" w:cs="Arial"/>
        </w:rPr>
        <w:t>Macones GA, Hankins GD, Spong CY, et al. The 2008 National Institute of Child Health and Human Development workshop report on electronic fetal monitoring: update on definitions, interpretation, and research guidelines. J Obstet Gynecol Neonatal Nurs. 2008 Sep-Oct;37(5):510-5. doi:10.1111/j.1552-6909.2008.00284.x. PMID: 18761565.</w:t>
      </w:r>
    </w:p>
    <w:p w14:paraId="250AFE4D" w14:textId="77777777" w:rsidR="00330094" w:rsidRPr="005B21FF" w:rsidRDefault="00330094" w:rsidP="005B21FF">
      <w:pPr>
        <w:pStyle w:val="biblio"/>
        <w:numPr>
          <w:ilvl w:val="0"/>
          <w:numId w:val="29"/>
        </w:numPr>
        <w:spacing w:after="240"/>
        <w:ind w:left="360"/>
        <w:rPr>
          <w:rFonts w:ascii="Arial" w:hAnsi="Arial" w:cs="Arial"/>
        </w:rPr>
      </w:pPr>
      <w:r w:rsidRPr="005B21FF">
        <w:rPr>
          <w:rFonts w:ascii="Arial" w:hAnsi="Arial" w:cs="Arial"/>
        </w:rPr>
        <w:t>Macones GA, Hankins GD, Spong CY, et al. The 2008 National Institute of Child Health and Human Development workshop report on electronic fetal monitoring: update on definitions, interpretation, and research guidelines. Obstet Gynecol. 2008 Sep;112(3):661-6. PMID: 18757666.</w:t>
      </w:r>
    </w:p>
    <w:p w14:paraId="31CA9489" w14:textId="77777777" w:rsidR="00330094" w:rsidRPr="005B21FF" w:rsidRDefault="00330094" w:rsidP="005B21FF">
      <w:pPr>
        <w:pStyle w:val="biblio"/>
        <w:numPr>
          <w:ilvl w:val="0"/>
          <w:numId w:val="29"/>
        </w:numPr>
        <w:spacing w:after="240"/>
        <w:ind w:left="360"/>
        <w:rPr>
          <w:rFonts w:ascii="Arial" w:hAnsi="Arial" w:cs="Arial"/>
        </w:rPr>
      </w:pPr>
      <w:r w:rsidRPr="005B21FF">
        <w:rPr>
          <w:rFonts w:ascii="Arial" w:hAnsi="Arial" w:cs="Arial"/>
        </w:rPr>
        <w:t>Parer JT, Ikeda T, King TL. The 2008 National Institute of Child Health and Human Development report on fetal heart rate monitoring. Obstet Gynecol. 2009 Jul;114(1):136-8. doi: 10.1097/AOG.0b013e3181ab475f. PMID: 19546770.</w:t>
      </w:r>
    </w:p>
    <w:p w14:paraId="43B106F7" w14:textId="77777777" w:rsidR="00330094" w:rsidRDefault="00330094" w:rsidP="00330094">
      <w:pPr>
        <w:spacing w:after="0"/>
        <w:rPr>
          <w:rFonts w:asciiTheme="minorHAnsi" w:hAnsiTheme="minorHAnsi"/>
          <w:szCs w:val="24"/>
        </w:rPr>
      </w:pPr>
      <w:r>
        <w:rPr>
          <w:rFonts w:asciiTheme="minorHAnsi" w:hAnsiTheme="minorHAnsi"/>
          <w:szCs w:val="24"/>
        </w:rPr>
        <w:br w:type="page"/>
      </w:r>
    </w:p>
    <w:p w14:paraId="7964F83C" w14:textId="5AFA7124" w:rsidR="00330094" w:rsidRPr="00050641" w:rsidRDefault="00330094" w:rsidP="00330094">
      <w:pPr>
        <w:pStyle w:val="Title"/>
        <w:spacing w:before="0"/>
        <w:contextualSpacing w:val="0"/>
        <w:rPr>
          <w:sz w:val="28"/>
          <w:szCs w:val="28"/>
        </w:rPr>
      </w:pPr>
      <w:r w:rsidRPr="00050641">
        <w:rPr>
          <w:sz w:val="28"/>
          <w:szCs w:val="28"/>
        </w:rPr>
        <w:lastRenderedPageBreak/>
        <w:t>A</w:t>
      </w:r>
      <w:r w:rsidR="00144028" w:rsidRPr="00050641">
        <w:rPr>
          <w:sz w:val="28"/>
          <w:szCs w:val="28"/>
        </w:rPr>
        <w:t>ppendix</w:t>
      </w:r>
    </w:p>
    <w:p w14:paraId="31941314" w14:textId="77777777" w:rsidR="00330094" w:rsidRDefault="00330094" w:rsidP="00330094">
      <w:pPr>
        <w:pStyle w:val="Title"/>
        <w:spacing w:before="240"/>
        <w:contextualSpacing w:val="0"/>
        <w:jc w:val="left"/>
        <w:rPr>
          <w:b w:val="0"/>
          <w:i/>
          <w:iCs/>
          <w:noProof/>
          <w:sz w:val="22"/>
          <w:szCs w:val="22"/>
        </w:rPr>
      </w:pPr>
      <w:r>
        <w:rPr>
          <w:b w:val="0"/>
          <w:i/>
          <w:iCs/>
          <w:noProof/>
          <w:sz w:val="22"/>
          <w:szCs w:val="22"/>
          <w:lang w:bidi="en-US"/>
        </w:rPr>
        <w:t>Every effort was made to ensure the accuracy and completeness of this resource. However, the U.S. Department of Health and Human Services makes no warranties regarding errors or omissions and assumes no responsibility or liability for loss or damage resulting from the use of information contained within.</w:t>
      </w:r>
    </w:p>
    <w:p w14:paraId="18ACB4B8" w14:textId="77777777" w:rsidR="00330094" w:rsidRDefault="00330094" w:rsidP="00330094">
      <w:pPr>
        <w:pStyle w:val="Title"/>
        <w:spacing w:before="0"/>
      </w:pPr>
      <w:r>
        <w:t>SAMPLE Safe Medication Administration</w:t>
      </w:r>
    </w:p>
    <w:p w14:paraId="349DB124" w14:textId="5F9011A3" w:rsidR="00330094" w:rsidRDefault="00330094" w:rsidP="00330094">
      <w:pPr>
        <w:pStyle w:val="Title"/>
      </w:pPr>
      <w:r>
        <w:t xml:space="preserve">for Labor Induction </w:t>
      </w:r>
      <w:r w:rsidR="00B93326">
        <w:t xml:space="preserve">or </w:t>
      </w:r>
      <w:r>
        <w:t>Augmentation</w:t>
      </w:r>
      <w:r w:rsidR="00B93326">
        <w:t xml:space="preserve"> with Oxytocin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Description w:val="SAMPLE Safe Medication Administration for Labor Induction or Augmentation with Oxytocin&#10;"/>
      </w:tblPr>
      <w:tblGrid>
        <w:gridCol w:w="2275"/>
        <w:gridCol w:w="7315"/>
      </w:tblGrid>
      <w:tr w:rsidR="00330094" w:rsidRPr="00DE2694" w14:paraId="700821A7" w14:textId="77777777" w:rsidTr="00052E03">
        <w:trPr>
          <w:cantSplit/>
          <w:tblHeader/>
        </w:trPr>
        <w:tc>
          <w:tcPr>
            <w:tcW w:w="2275" w:type="dxa"/>
            <w:shd w:val="clear" w:color="auto" w:fill="92CDDC" w:themeFill="accent5" w:themeFillTint="99"/>
            <w:vAlign w:val="bottom"/>
          </w:tcPr>
          <w:p w14:paraId="20A171B2" w14:textId="77777777" w:rsidR="00330094" w:rsidRPr="00052E03" w:rsidRDefault="00330094" w:rsidP="00354BD4">
            <w:pPr>
              <w:pStyle w:val="FormText"/>
              <w:jc w:val="center"/>
              <w:rPr>
                <w:color w:val="auto"/>
                <w:sz w:val="24"/>
                <w:szCs w:val="24"/>
              </w:rPr>
            </w:pPr>
            <w:r w:rsidRPr="00052E03">
              <w:rPr>
                <w:color w:val="auto"/>
                <w:sz w:val="24"/>
                <w:szCs w:val="24"/>
              </w:rPr>
              <w:t>Category</w:t>
            </w:r>
          </w:p>
        </w:tc>
        <w:tc>
          <w:tcPr>
            <w:tcW w:w="7315" w:type="dxa"/>
            <w:shd w:val="clear" w:color="auto" w:fill="92CDDC" w:themeFill="accent5" w:themeFillTint="99"/>
            <w:vAlign w:val="bottom"/>
          </w:tcPr>
          <w:p w14:paraId="6C93754E" w14:textId="77777777" w:rsidR="00330094" w:rsidRPr="00052E03" w:rsidRDefault="00330094" w:rsidP="00354BD4">
            <w:pPr>
              <w:pStyle w:val="FormText"/>
              <w:jc w:val="center"/>
              <w:rPr>
                <w:color w:val="auto"/>
                <w:sz w:val="24"/>
                <w:szCs w:val="24"/>
              </w:rPr>
            </w:pPr>
            <w:r w:rsidRPr="00052E03">
              <w:rPr>
                <w:color w:val="auto"/>
                <w:sz w:val="24"/>
                <w:szCs w:val="24"/>
              </w:rPr>
              <w:t>Procedure</w:t>
            </w:r>
          </w:p>
        </w:tc>
      </w:tr>
      <w:tr w:rsidR="00330094" w:rsidRPr="00DE2694" w14:paraId="0E6745AE" w14:textId="77777777" w:rsidTr="00052E03">
        <w:trPr>
          <w:cantSplit/>
        </w:trPr>
        <w:tc>
          <w:tcPr>
            <w:tcW w:w="2275" w:type="dxa"/>
            <w:shd w:val="clear" w:color="auto" w:fill="auto"/>
          </w:tcPr>
          <w:p w14:paraId="02FFE84D" w14:textId="77777777" w:rsidR="00330094" w:rsidRPr="00DE2694" w:rsidRDefault="002C2B48" w:rsidP="002C2B48">
            <w:pPr>
              <w:pStyle w:val="FormText"/>
              <w:numPr>
                <w:ilvl w:val="0"/>
                <w:numId w:val="4"/>
              </w:numPr>
              <w:ind w:left="270" w:hanging="270"/>
              <w:rPr>
                <w:sz w:val="24"/>
                <w:szCs w:val="24"/>
              </w:rPr>
            </w:pPr>
            <w:r>
              <w:rPr>
                <w:sz w:val="24"/>
                <w:szCs w:val="24"/>
              </w:rPr>
              <w:t>Verifying</w:t>
            </w:r>
            <w:r w:rsidR="00330094" w:rsidRPr="00DE2694">
              <w:rPr>
                <w:sz w:val="24"/>
                <w:szCs w:val="24"/>
              </w:rPr>
              <w:t xml:space="preserve"> and document</w:t>
            </w:r>
            <w:r>
              <w:rPr>
                <w:sz w:val="24"/>
                <w:szCs w:val="24"/>
              </w:rPr>
              <w:t>ing indication for use</w:t>
            </w:r>
          </w:p>
        </w:tc>
        <w:tc>
          <w:tcPr>
            <w:tcW w:w="7315" w:type="dxa"/>
            <w:shd w:val="clear" w:color="auto" w:fill="auto"/>
          </w:tcPr>
          <w:p w14:paraId="2E7F835A" w14:textId="77777777" w:rsidR="00330094" w:rsidRPr="00DE2694" w:rsidRDefault="00330094" w:rsidP="00354BD4">
            <w:pPr>
              <w:pStyle w:val="Bullet-Blank"/>
              <w:numPr>
                <w:ilvl w:val="0"/>
                <w:numId w:val="6"/>
              </w:numPr>
              <w:ind w:left="310" w:hanging="270"/>
              <w:rPr>
                <w:sz w:val="24"/>
                <w:szCs w:val="24"/>
              </w:rPr>
            </w:pPr>
            <w:r w:rsidRPr="00DE2694">
              <w:rPr>
                <w:sz w:val="24"/>
                <w:szCs w:val="24"/>
              </w:rPr>
              <w:t>Verify and document absence of contraindications for use of oxytocin for induction (or augmentation). Contraindications include—</w:t>
            </w:r>
          </w:p>
          <w:p w14:paraId="6CDEE212" w14:textId="77777777" w:rsidR="00330094" w:rsidRPr="00DE2694" w:rsidRDefault="00DE1280" w:rsidP="00354BD4">
            <w:pPr>
              <w:pStyle w:val="Bullet-Blank-2"/>
              <w:numPr>
                <w:ilvl w:val="1"/>
                <w:numId w:val="1"/>
              </w:numPr>
              <w:ind w:left="533" w:hanging="202"/>
              <w:rPr>
                <w:rFonts w:eastAsia="Times New Roman"/>
                <w:sz w:val="24"/>
                <w:szCs w:val="24"/>
                <w:lang w:bidi="ar-SA"/>
              </w:rPr>
            </w:pPr>
            <w:r>
              <w:rPr>
                <w:rFonts w:eastAsia="Times New Roman"/>
                <w:sz w:val="24"/>
                <w:szCs w:val="24"/>
                <w:lang w:bidi="ar-SA"/>
              </w:rPr>
              <w:t>g</w:t>
            </w:r>
            <w:r w:rsidR="00330094" w:rsidRPr="00DE2694">
              <w:rPr>
                <w:rFonts w:eastAsia="Times New Roman"/>
                <w:sz w:val="24"/>
                <w:szCs w:val="24"/>
                <w:lang w:bidi="ar-SA"/>
              </w:rPr>
              <w:t xml:space="preserve">estational age less than 39 completed weeks without medication </w:t>
            </w:r>
            <w:r w:rsidR="00330094" w:rsidRPr="00DE2694">
              <w:rPr>
                <w:sz w:val="24"/>
                <w:szCs w:val="24"/>
              </w:rPr>
              <w:t>indication</w:t>
            </w:r>
            <w:r w:rsidR="00330094" w:rsidRPr="00DE2694">
              <w:rPr>
                <w:rFonts w:eastAsia="Times New Roman"/>
                <w:sz w:val="24"/>
                <w:szCs w:val="24"/>
                <w:lang w:bidi="ar-SA"/>
              </w:rPr>
              <w:t xml:space="preserve"> for induction (i.e., early elective induction)</w:t>
            </w:r>
          </w:p>
          <w:p w14:paraId="3D93BD3B" w14:textId="3CC61DE8" w:rsidR="00330094" w:rsidRPr="00DE2694" w:rsidRDefault="00DE1280" w:rsidP="00354BD4">
            <w:pPr>
              <w:pStyle w:val="Bullet-Blank-2"/>
              <w:numPr>
                <w:ilvl w:val="1"/>
                <w:numId w:val="1"/>
              </w:numPr>
              <w:ind w:left="533" w:hanging="202"/>
              <w:rPr>
                <w:rFonts w:eastAsia="Times New Roman"/>
                <w:sz w:val="24"/>
                <w:szCs w:val="24"/>
                <w:lang w:bidi="ar-SA"/>
              </w:rPr>
            </w:pPr>
            <w:r>
              <w:rPr>
                <w:sz w:val="24"/>
                <w:szCs w:val="24"/>
              </w:rPr>
              <w:t>f</w:t>
            </w:r>
            <w:r w:rsidR="00330094" w:rsidRPr="00DE2694">
              <w:rPr>
                <w:sz w:val="24"/>
                <w:szCs w:val="24"/>
              </w:rPr>
              <w:t>etal</w:t>
            </w:r>
            <w:r w:rsidR="00330094" w:rsidRPr="00DE2694">
              <w:rPr>
                <w:rFonts w:eastAsia="Times New Roman"/>
                <w:sz w:val="24"/>
                <w:szCs w:val="24"/>
                <w:lang w:bidi="ar-SA"/>
              </w:rPr>
              <w:t xml:space="preserve"> macrosomia (</w:t>
            </w:r>
            <w:r w:rsidR="00EA6414" w:rsidRPr="00DE2694">
              <w:rPr>
                <w:rFonts w:eastAsia="Times New Roman"/>
                <w:sz w:val="24"/>
                <w:szCs w:val="24"/>
                <w:lang w:bidi="ar-SA"/>
              </w:rPr>
              <w:t>estimated fetal weight</w:t>
            </w:r>
            <w:r w:rsidR="00330094" w:rsidRPr="00DE2694">
              <w:rPr>
                <w:rFonts w:eastAsia="Times New Roman"/>
                <w:sz w:val="24"/>
                <w:szCs w:val="24"/>
                <w:lang w:bidi="ar-SA"/>
              </w:rPr>
              <w:t>&gt; 4500 grams)</w:t>
            </w:r>
          </w:p>
          <w:p w14:paraId="67CF6177" w14:textId="77777777" w:rsidR="00330094" w:rsidRPr="00DE2694" w:rsidRDefault="00DE1280" w:rsidP="00354BD4">
            <w:pPr>
              <w:pStyle w:val="Bullet-Blank-2"/>
              <w:numPr>
                <w:ilvl w:val="1"/>
                <w:numId w:val="1"/>
              </w:numPr>
              <w:ind w:left="533" w:hanging="202"/>
              <w:rPr>
                <w:rFonts w:eastAsia="Times New Roman"/>
                <w:sz w:val="24"/>
                <w:szCs w:val="24"/>
                <w:lang w:bidi="ar-SA"/>
              </w:rPr>
            </w:pPr>
            <w:r>
              <w:rPr>
                <w:sz w:val="24"/>
                <w:szCs w:val="24"/>
              </w:rPr>
              <w:t>p</w:t>
            </w:r>
            <w:r w:rsidR="00330094" w:rsidRPr="00DE2694">
              <w:rPr>
                <w:sz w:val="24"/>
                <w:szCs w:val="24"/>
              </w:rPr>
              <w:t>lacenta</w:t>
            </w:r>
            <w:r w:rsidR="00330094" w:rsidRPr="00DE2694">
              <w:rPr>
                <w:rFonts w:eastAsia="Times New Roman"/>
                <w:sz w:val="24"/>
                <w:szCs w:val="24"/>
                <w:lang w:bidi="ar-SA"/>
              </w:rPr>
              <w:t xml:space="preserve"> or vasa previa</w:t>
            </w:r>
          </w:p>
          <w:p w14:paraId="19DAF4B0" w14:textId="77777777" w:rsidR="00330094" w:rsidRPr="00DE2694" w:rsidRDefault="00DE1280" w:rsidP="00354BD4">
            <w:pPr>
              <w:pStyle w:val="Bullet-Blank-2"/>
              <w:numPr>
                <w:ilvl w:val="1"/>
                <w:numId w:val="1"/>
              </w:numPr>
              <w:ind w:left="533" w:hanging="202"/>
              <w:rPr>
                <w:rFonts w:eastAsia="Times New Roman"/>
                <w:sz w:val="24"/>
                <w:szCs w:val="24"/>
                <w:lang w:bidi="ar-SA"/>
              </w:rPr>
            </w:pPr>
            <w:r>
              <w:rPr>
                <w:sz w:val="24"/>
                <w:szCs w:val="24"/>
              </w:rPr>
              <w:t>t</w:t>
            </w:r>
            <w:r w:rsidR="00330094" w:rsidRPr="00DE2694">
              <w:rPr>
                <w:sz w:val="24"/>
                <w:szCs w:val="24"/>
              </w:rPr>
              <w:t>ransverse</w:t>
            </w:r>
            <w:r w:rsidR="00330094" w:rsidRPr="00DE2694">
              <w:rPr>
                <w:rFonts w:eastAsia="Times New Roman"/>
                <w:sz w:val="24"/>
                <w:szCs w:val="24"/>
                <w:lang w:bidi="ar-SA"/>
              </w:rPr>
              <w:t xml:space="preserve"> lie or other malpresentation</w:t>
            </w:r>
          </w:p>
          <w:p w14:paraId="7FE9D156" w14:textId="77777777" w:rsidR="00330094" w:rsidRPr="00DE2694" w:rsidRDefault="00DE1280" w:rsidP="00354BD4">
            <w:pPr>
              <w:pStyle w:val="Bullet-Blank-2"/>
              <w:numPr>
                <w:ilvl w:val="1"/>
                <w:numId w:val="1"/>
              </w:numPr>
              <w:ind w:left="533" w:hanging="202"/>
              <w:rPr>
                <w:rFonts w:eastAsia="Times New Roman"/>
                <w:sz w:val="24"/>
                <w:szCs w:val="24"/>
                <w:lang w:bidi="ar-SA"/>
              </w:rPr>
            </w:pPr>
            <w:r>
              <w:rPr>
                <w:rFonts w:eastAsia="Times New Roman"/>
                <w:sz w:val="24"/>
                <w:szCs w:val="24"/>
                <w:lang w:bidi="ar-SA"/>
              </w:rPr>
              <w:t>c</w:t>
            </w:r>
            <w:r w:rsidR="00330094" w:rsidRPr="00DE2694">
              <w:rPr>
                <w:rFonts w:eastAsia="Times New Roman"/>
                <w:sz w:val="24"/>
                <w:szCs w:val="24"/>
                <w:lang w:bidi="ar-SA"/>
              </w:rPr>
              <w:t>ord prolapse</w:t>
            </w:r>
          </w:p>
          <w:p w14:paraId="4810C26F" w14:textId="77777777" w:rsidR="00330094" w:rsidRPr="00DE2694" w:rsidRDefault="00DE1280" w:rsidP="00354BD4">
            <w:pPr>
              <w:pStyle w:val="Bullet-Blank-2"/>
              <w:numPr>
                <w:ilvl w:val="1"/>
                <w:numId w:val="1"/>
              </w:numPr>
              <w:ind w:left="533" w:hanging="202"/>
              <w:rPr>
                <w:rFonts w:eastAsia="Times New Roman"/>
                <w:sz w:val="24"/>
                <w:szCs w:val="24"/>
                <w:lang w:bidi="ar-SA"/>
              </w:rPr>
            </w:pPr>
            <w:r>
              <w:rPr>
                <w:rFonts w:eastAsia="Times New Roman"/>
                <w:sz w:val="24"/>
                <w:szCs w:val="24"/>
                <w:lang w:bidi="ar-SA"/>
              </w:rPr>
              <w:t>p</w:t>
            </w:r>
            <w:r w:rsidR="00330094" w:rsidRPr="00DE2694">
              <w:rPr>
                <w:rFonts w:eastAsia="Times New Roman"/>
                <w:sz w:val="24"/>
                <w:szCs w:val="24"/>
                <w:lang w:bidi="ar-SA"/>
              </w:rPr>
              <w:t>rior classical uterine incision or previous transfundal uterine surgery</w:t>
            </w:r>
          </w:p>
          <w:p w14:paraId="45FFEF45" w14:textId="77777777" w:rsidR="00330094" w:rsidRPr="00DE2694" w:rsidRDefault="00DE1280" w:rsidP="00354BD4">
            <w:pPr>
              <w:pStyle w:val="Bullet-Blank-2"/>
              <w:numPr>
                <w:ilvl w:val="1"/>
                <w:numId w:val="1"/>
              </w:numPr>
              <w:ind w:left="533" w:hanging="202"/>
              <w:rPr>
                <w:rFonts w:eastAsia="Times New Roman"/>
                <w:sz w:val="24"/>
                <w:szCs w:val="24"/>
                <w:lang w:bidi="ar-SA"/>
              </w:rPr>
            </w:pPr>
            <w:r>
              <w:rPr>
                <w:sz w:val="24"/>
                <w:szCs w:val="24"/>
              </w:rPr>
              <w:t>a</w:t>
            </w:r>
            <w:r w:rsidR="00330094" w:rsidRPr="00DE2694">
              <w:rPr>
                <w:sz w:val="24"/>
                <w:szCs w:val="24"/>
              </w:rPr>
              <w:t>ctive</w:t>
            </w:r>
            <w:r w:rsidR="00330094" w:rsidRPr="00DE2694">
              <w:rPr>
                <w:rFonts w:eastAsia="Times New Roman"/>
                <w:sz w:val="24"/>
                <w:szCs w:val="24"/>
                <w:lang w:bidi="ar-SA"/>
              </w:rPr>
              <w:t xml:space="preserve"> genital herpes</w:t>
            </w:r>
          </w:p>
          <w:p w14:paraId="068B06D5" w14:textId="77777777" w:rsidR="00330094" w:rsidRPr="00DE2694" w:rsidRDefault="00DE1280" w:rsidP="00354BD4">
            <w:pPr>
              <w:pStyle w:val="Bullet-Blank-2"/>
              <w:numPr>
                <w:ilvl w:val="1"/>
                <w:numId w:val="1"/>
              </w:numPr>
              <w:ind w:left="533" w:hanging="202"/>
              <w:rPr>
                <w:rFonts w:eastAsia="Times New Roman"/>
                <w:sz w:val="24"/>
                <w:szCs w:val="24"/>
                <w:lang w:bidi="ar-SA"/>
              </w:rPr>
            </w:pPr>
            <w:r>
              <w:rPr>
                <w:rFonts w:eastAsia="Times New Roman"/>
                <w:sz w:val="24"/>
                <w:szCs w:val="24"/>
                <w:lang w:bidi="ar-SA"/>
              </w:rPr>
              <w:t>p</w:t>
            </w:r>
            <w:r w:rsidR="00330094" w:rsidRPr="00DE2694">
              <w:rPr>
                <w:rFonts w:eastAsia="Times New Roman"/>
                <w:sz w:val="24"/>
                <w:szCs w:val="24"/>
                <w:lang w:bidi="ar-SA"/>
              </w:rPr>
              <w:t>elvic structural deformities</w:t>
            </w:r>
          </w:p>
          <w:p w14:paraId="1E91C7E9" w14:textId="77777777" w:rsidR="00330094" w:rsidRPr="00DE2694" w:rsidRDefault="00DE1280" w:rsidP="00354BD4">
            <w:pPr>
              <w:pStyle w:val="Bullet-Blank-2"/>
              <w:numPr>
                <w:ilvl w:val="1"/>
                <w:numId w:val="1"/>
              </w:numPr>
              <w:ind w:left="533" w:hanging="202"/>
              <w:rPr>
                <w:rFonts w:eastAsia="Times New Roman"/>
                <w:sz w:val="24"/>
                <w:szCs w:val="24"/>
                <w:lang w:bidi="ar-SA"/>
              </w:rPr>
            </w:pPr>
            <w:r>
              <w:rPr>
                <w:sz w:val="24"/>
                <w:szCs w:val="24"/>
              </w:rPr>
              <w:t>i</w:t>
            </w:r>
            <w:r w:rsidR="00330094" w:rsidRPr="00DE2694">
              <w:rPr>
                <w:sz w:val="24"/>
                <w:szCs w:val="24"/>
              </w:rPr>
              <w:t>nvasive</w:t>
            </w:r>
            <w:r w:rsidR="00330094" w:rsidRPr="00DE2694">
              <w:rPr>
                <w:rFonts w:eastAsia="Times New Roman"/>
                <w:sz w:val="24"/>
                <w:szCs w:val="24"/>
                <w:lang w:bidi="ar-SA"/>
              </w:rPr>
              <w:t xml:space="preserve"> cervical carcinoma</w:t>
            </w:r>
          </w:p>
          <w:p w14:paraId="59AF07C4" w14:textId="2A9855D4" w:rsidR="00330094" w:rsidRPr="00DE2694" w:rsidRDefault="00330094" w:rsidP="00354BD4">
            <w:pPr>
              <w:pStyle w:val="Bullet-Blank"/>
              <w:numPr>
                <w:ilvl w:val="0"/>
                <w:numId w:val="6"/>
              </w:numPr>
              <w:ind w:left="310" w:hanging="270"/>
              <w:rPr>
                <w:sz w:val="24"/>
                <w:szCs w:val="24"/>
              </w:rPr>
            </w:pPr>
            <w:r w:rsidRPr="00DE2694">
              <w:rPr>
                <w:sz w:val="24"/>
                <w:szCs w:val="24"/>
              </w:rPr>
              <w:t>Verify and document that a phy</w:t>
            </w:r>
            <w:r w:rsidR="00EA6414">
              <w:rPr>
                <w:sz w:val="24"/>
                <w:szCs w:val="24"/>
              </w:rPr>
              <w:t>sician capable of performing a c</w:t>
            </w:r>
            <w:r w:rsidRPr="00DE2694">
              <w:rPr>
                <w:sz w:val="24"/>
                <w:szCs w:val="24"/>
              </w:rPr>
              <w:t>esarean delivery is readily available.</w:t>
            </w:r>
          </w:p>
          <w:p w14:paraId="2AC9C70A" w14:textId="77777777" w:rsidR="00330094" w:rsidRPr="00DE2694" w:rsidRDefault="00330094" w:rsidP="00354BD4">
            <w:pPr>
              <w:pStyle w:val="Bullet-Blank"/>
              <w:numPr>
                <w:ilvl w:val="0"/>
                <w:numId w:val="6"/>
              </w:numPr>
              <w:ind w:left="310" w:hanging="270"/>
              <w:rPr>
                <w:sz w:val="24"/>
                <w:szCs w:val="24"/>
              </w:rPr>
            </w:pPr>
            <w:r w:rsidRPr="00DE2694">
              <w:rPr>
                <w:sz w:val="24"/>
                <w:szCs w:val="24"/>
              </w:rPr>
              <w:t>Verify and document evidence of medical indication for induction or augmentation, regardless of gestational age, including discussion of risks and benefits of oxytocin use v</w:t>
            </w:r>
            <w:r w:rsidR="00DE1280">
              <w:rPr>
                <w:sz w:val="24"/>
                <w:szCs w:val="24"/>
              </w:rPr>
              <w:t>ersu</w:t>
            </w:r>
            <w:r w:rsidRPr="00DE2694">
              <w:rPr>
                <w:sz w:val="24"/>
                <w:szCs w:val="24"/>
              </w:rPr>
              <w:t>s nonuse with the patient and her family. Examples include but are not limited to—</w:t>
            </w:r>
          </w:p>
          <w:p w14:paraId="19E5A67F" w14:textId="77777777" w:rsidR="00330094" w:rsidRPr="00DE2694" w:rsidRDefault="00DE1280" w:rsidP="00354BD4">
            <w:pPr>
              <w:pStyle w:val="Bullet-Blank-2"/>
              <w:numPr>
                <w:ilvl w:val="1"/>
                <w:numId w:val="1"/>
              </w:numPr>
              <w:ind w:left="533" w:hanging="202"/>
              <w:rPr>
                <w:rFonts w:eastAsia="Times New Roman"/>
                <w:sz w:val="24"/>
                <w:szCs w:val="24"/>
                <w:lang w:bidi="ar-SA"/>
              </w:rPr>
            </w:pPr>
            <w:r>
              <w:rPr>
                <w:sz w:val="24"/>
                <w:szCs w:val="24"/>
              </w:rPr>
              <w:t>h</w:t>
            </w:r>
            <w:r w:rsidR="00330094" w:rsidRPr="00DE2694">
              <w:rPr>
                <w:sz w:val="24"/>
                <w:szCs w:val="24"/>
              </w:rPr>
              <w:t>ypertensive</w:t>
            </w:r>
            <w:r w:rsidR="00330094" w:rsidRPr="00DE2694">
              <w:rPr>
                <w:rFonts w:eastAsia="Times New Roman"/>
                <w:sz w:val="24"/>
                <w:szCs w:val="24"/>
                <w:lang w:bidi="ar-SA"/>
              </w:rPr>
              <w:t xml:space="preserve"> disorders of pregnancy</w:t>
            </w:r>
          </w:p>
          <w:p w14:paraId="1A312424" w14:textId="77777777" w:rsidR="00330094" w:rsidRPr="00DE2694" w:rsidRDefault="00DE1280" w:rsidP="00354BD4">
            <w:pPr>
              <w:pStyle w:val="Bullet-Blank-2"/>
              <w:numPr>
                <w:ilvl w:val="1"/>
                <w:numId w:val="1"/>
              </w:numPr>
              <w:ind w:left="533" w:hanging="202"/>
              <w:rPr>
                <w:rFonts w:eastAsia="Times New Roman"/>
                <w:sz w:val="24"/>
                <w:szCs w:val="24"/>
                <w:lang w:bidi="ar-SA"/>
              </w:rPr>
            </w:pPr>
            <w:r>
              <w:rPr>
                <w:sz w:val="24"/>
                <w:szCs w:val="24"/>
              </w:rPr>
              <w:t>c</w:t>
            </w:r>
            <w:r w:rsidR="00330094" w:rsidRPr="00DE2694">
              <w:rPr>
                <w:sz w:val="24"/>
                <w:szCs w:val="24"/>
              </w:rPr>
              <w:t>horioamnionitis</w:t>
            </w:r>
          </w:p>
          <w:p w14:paraId="0092FB73" w14:textId="537EA2D1" w:rsidR="00330094" w:rsidRPr="00DE2694" w:rsidRDefault="00DE1280" w:rsidP="00354BD4">
            <w:pPr>
              <w:pStyle w:val="Bullet-Blank-2"/>
              <w:numPr>
                <w:ilvl w:val="1"/>
                <w:numId w:val="1"/>
              </w:numPr>
              <w:ind w:left="533" w:hanging="202"/>
              <w:rPr>
                <w:rFonts w:eastAsia="Times New Roman"/>
                <w:sz w:val="24"/>
                <w:szCs w:val="24"/>
                <w:lang w:bidi="ar-SA"/>
              </w:rPr>
            </w:pPr>
            <w:r w:rsidRPr="003D4BE3">
              <w:rPr>
                <w:sz w:val="24"/>
                <w:szCs w:val="24"/>
              </w:rPr>
              <w:t>m</w:t>
            </w:r>
            <w:r w:rsidR="00330094" w:rsidRPr="003D4BE3">
              <w:rPr>
                <w:sz w:val="24"/>
                <w:szCs w:val="24"/>
              </w:rPr>
              <w:t>aternal</w:t>
            </w:r>
            <w:r w:rsidR="003D4BE3">
              <w:rPr>
                <w:rFonts w:eastAsia="Times New Roman"/>
                <w:sz w:val="24"/>
                <w:szCs w:val="24"/>
                <w:lang w:bidi="ar-SA"/>
              </w:rPr>
              <w:t xml:space="preserve"> medical condition</w:t>
            </w:r>
            <w:r w:rsidR="00412BC1">
              <w:rPr>
                <w:rFonts w:eastAsia="Times New Roman"/>
                <w:sz w:val="24"/>
                <w:szCs w:val="24"/>
                <w:lang w:bidi="ar-SA"/>
              </w:rPr>
              <w:t xml:space="preserve"> </w:t>
            </w:r>
            <w:r>
              <w:rPr>
                <w:rFonts w:eastAsia="Times New Roman"/>
                <w:sz w:val="24"/>
                <w:szCs w:val="24"/>
                <w:lang w:bidi="ar-SA"/>
              </w:rPr>
              <w:t>s</w:t>
            </w:r>
            <w:r w:rsidR="00330094" w:rsidRPr="00DE2694">
              <w:rPr>
                <w:rFonts w:eastAsia="Times New Roman"/>
                <w:sz w:val="24"/>
                <w:szCs w:val="24"/>
                <w:lang w:bidi="ar-SA"/>
              </w:rPr>
              <w:t xml:space="preserve">evere </w:t>
            </w:r>
            <w:r w:rsidR="00330094" w:rsidRPr="00DE2694">
              <w:rPr>
                <w:sz w:val="24"/>
                <w:szCs w:val="24"/>
              </w:rPr>
              <w:t>intrauterine</w:t>
            </w:r>
            <w:r w:rsidR="00330094" w:rsidRPr="00DE2694">
              <w:rPr>
                <w:rFonts w:eastAsia="Times New Roman"/>
                <w:sz w:val="24"/>
                <w:szCs w:val="24"/>
                <w:lang w:bidi="ar-SA"/>
              </w:rPr>
              <w:t xml:space="preserve"> fetal growth retardation</w:t>
            </w:r>
          </w:p>
          <w:p w14:paraId="21C52380" w14:textId="77777777" w:rsidR="00330094" w:rsidRDefault="00DE1280" w:rsidP="00354BD4">
            <w:pPr>
              <w:pStyle w:val="Bullet-Blank-2"/>
              <w:numPr>
                <w:ilvl w:val="1"/>
                <w:numId w:val="1"/>
              </w:numPr>
              <w:ind w:left="533" w:hanging="202"/>
              <w:rPr>
                <w:rFonts w:eastAsia="Times New Roman"/>
                <w:sz w:val="24"/>
                <w:szCs w:val="24"/>
                <w:lang w:bidi="ar-SA"/>
              </w:rPr>
            </w:pPr>
            <w:r>
              <w:rPr>
                <w:sz w:val="24"/>
                <w:szCs w:val="24"/>
              </w:rPr>
              <w:t>p</w:t>
            </w:r>
            <w:r w:rsidR="00330094" w:rsidRPr="00DE2694">
              <w:rPr>
                <w:sz w:val="24"/>
                <w:szCs w:val="24"/>
              </w:rPr>
              <w:t>regnancy</w:t>
            </w:r>
            <w:r w:rsidR="00330094" w:rsidRPr="00DE2694">
              <w:rPr>
                <w:rFonts w:eastAsia="Times New Roman"/>
                <w:sz w:val="24"/>
                <w:szCs w:val="24"/>
                <w:lang w:bidi="ar-SA"/>
              </w:rPr>
              <w:t xml:space="preserve"> exceeding 41 completed weeks</w:t>
            </w:r>
          </w:p>
          <w:p w14:paraId="541D49F9" w14:textId="54D36BD6" w:rsidR="00037D57" w:rsidRPr="00DE2694" w:rsidRDefault="00037D57" w:rsidP="00354BD4">
            <w:pPr>
              <w:pStyle w:val="Bullet-Blank-2"/>
              <w:numPr>
                <w:ilvl w:val="1"/>
                <w:numId w:val="1"/>
              </w:numPr>
              <w:ind w:left="533" w:hanging="202"/>
              <w:rPr>
                <w:rFonts w:eastAsia="Times New Roman"/>
                <w:sz w:val="24"/>
                <w:szCs w:val="24"/>
                <w:lang w:bidi="ar-SA"/>
              </w:rPr>
            </w:pPr>
            <w:r>
              <w:rPr>
                <w:rFonts w:eastAsia="Times New Roman"/>
                <w:sz w:val="24"/>
                <w:szCs w:val="24"/>
                <w:lang w:bidi="ar-SA"/>
              </w:rPr>
              <w:t xml:space="preserve">premature spontaneous rupture of membranes with absence of contractions </w:t>
            </w:r>
          </w:p>
          <w:p w14:paraId="7A75A5D1" w14:textId="7B523871" w:rsidR="00330094" w:rsidRPr="009A68CB" w:rsidRDefault="00330094" w:rsidP="00037D57">
            <w:pPr>
              <w:pStyle w:val="Bullet-Blank"/>
              <w:numPr>
                <w:ilvl w:val="0"/>
                <w:numId w:val="6"/>
              </w:numPr>
              <w:ind w:left="310" w:hanging="270"/>
              <w:rPr>
                <w:sz w:val="24"/>
                <w:szCs w:val="24"/>
              </w:rPr>
            </w:pPr>
            <w:r w:rsidRPr="00DE2694">
              <w:rPr>
                <w:sz w:val="24"/>
                <w:szCs w:val="24"/>
              </w:rPr>
              <w:t>For inductions that are scheduled for women at greater than 39 completed weeks without a medical indication (i.e., non</w:t>
            </w:r>
            <w:r w:rsidR="00DE1280">
              <w:rPr>
                <w:sz w:val="24"/>
                <w:szCs w:val="24"/>
              </w:rPr>
              <w:t>–</w:t>
            </w:r>
            <w:r w:rsidRPr="00DE2694">
              <w:rPr>
                <w:sz w:val="24"/>
                <w:szCs w:val="24"/>
              </w:rPr>
              <w:t xml:space="preserve">early elective inductions), document gestational dating and </w:t>
            </w:r>
          </w:p>
        </w:tc>
      </w:tr>
      <w:tr w:rsidR="009A68CB" w:rsidRPr="00DE2694" w14:paraId="68D9AF57" w14:textId="77777777" w:rsidTr="00052E03">
        <w:trPr>
          <w:cantSplit/>
          <w:trHeight w:val="8549"/>
        </w:trPr>
        <w:tc>
          <w:tcPr>
            <w:tcW w:w="2275" w:type="dxa"/>
            <w:shd w:val="clear" w:color="auto" w:fill="auto"/>
          </w:tcPr>
          <w:p w14:paraId="0C2B8E83" w14:textId="2D9313F0" w:rsidR="009A68CB" w:rsidRDefault="009A68CB" w:rsidP="002C2B48">
            <w:pPr>
              <w:pStyle w:val="FormText"/>
              <w:rPr>
                <w:sz w:val="24"/>
                <w:szCs w:val="24"/>
              </w:rPr>
            </w:pPr>
            <w:r w:rsidRPr="00DE2694">
              <w:rPr>
                <w:sz w:val="24"/>
                <w:szCs w:val="24"/>
              </w:rPr>
              <w:lastRenderedPageBreak/>
              <w:t>1.</w:t>
            </w:r>
            <w:r w:rsidRPr="00DE2694">
              <w:rPr>
                <w:sz w:val="24"/>
                <w:szCs w:val="24"/>
              </w:rPr>
              <w:tab/>
              <w:t>Verify</w:t>
            </w:r>
            <w:r>
              <w:rPr>
                <w:sz w:val="24"/>
                <w:szCs w:val="24"/>
              </w:rPr>
              <w:t>ing</w:t>
            </w:r>
            <w:r w:rsidRPr="00DE2694">
              <w:rPr>
                <w:sz w:val="24"/>
                <w:szCs w:val="24"/>
              </w:rPr>
              <w:t xml:space="preserve"> and document</w:t>
            </w:r>
            <w:r>
              <w:rPr>
                <w:sz w:val="24"/>
                <w:szCs w:val="24"/>
              </w:rPr>
              <w:t>ing indications for use</w:t>
            </w:r>
            <w:r w:rsidRPr="00DE2694">
              <w:rPr>
                <w:sz w:val="24"/>
                <w:szCs w:val="24"/>
              </w:rPr>
              <w:t xml:space="preserve"> (continued)</w:t>
            </w:r>
          </w:p>
        </w:tc>
        <w:tc>
          <w:tcPr>
            <w:tcW w:w="7315" w:type="dxa"/>
            <w:shd w:val="clear" w:color="auto" w:fill="auto"/>
          </w:tcPr>
          <w:p w14:paraId="709DCBD4" w14:textId="77777777" w:rsidR="00037D57" w:rsidRDefault="00037D57" w:rsidP="009A68CB">
            <w:pPr>
              <w:pStyle w:val="Bullet-Blank"/>
              <w:ind w:left="40"/>
              <w:rPr>
                <w:sz w:val="24"/>
                <w:szCs w:val="24"/>
              </w:rPr>
            </w:pPr>
            <w:r w:rsidRPr="00DE2694">
              <w:rPr>
                <w:sz w:val="24"/>
                <w:szCs w:val="24"/>
              </w:rPr>
              <w:t xml:space="preserve">discussion with patient of risks and benefits of elective induction, with consideration to parity and cervical status. </w:t>
            </w:r>
          </w:p>
          <w:p w14:paraId="5505205C" w14:textId="70A16951" w:rsidR="009A68CB" w:rsidRPr="00DE2694" w:rsidRDefault="009A68CB" w:rsidP="009A68CB">
            <w:pPr>
              <w:pStyle w:val="Bullet-Blank"/>
              <w:ind w:left="40"/>
              <w:rPr>
                <w:sz w:val="24"/>
                <w:szCs w:val="24"/>
              </w:rPr>
            </w:pPr>
            <w:r w:rsidRPr="00DE2694">
              <w:rPr>
                <w:sz w:val="24"/>
                <w:szCs w:val="24"/>
              </w:rPr>
              <w:t>Examples of gestational dating documentation include the following:</w:t>
            </w:r>
          </w:p>
          <w:p w14:paraId="40B75D1D" w14:textId="77777777" w:rsidR="009A68CB" w:rsidRPr="00DE2694" w:rsidRDefault="009A68CB" w:rsidP="009A68CB">
            <w:pPr>
              <w:pStyle w:val="Bullet-Blank-2"/>
              <w:numPr>
                <w:ilvl w:val="1"/>
                <w:numId w:val="1"/>
              </w:numPr>
              <w:ind w:left="533" w:hanging="202"/>
              <w:rPr>
                <w:rFonts w:eastAsia="Times New Roman"/>
                <w:sz w:val="24"/>
                <w:szCs w:val="24"/>
                <w:lang w:bidi="ar-SA"/>
              </w:rPr>
            </w:pPr>
            <w:r w:rsidRPr="00DE2694">
              <w:rPr>
                <w:sz w:val="24"/>
                <w:szCs w:val="24"/>
              </w:rPr>
              <w:t>Ultrasound</w:t>
            </w:r>
            <w:r w:rsidRPr="00DE2694">
              <w:rPr>
                <w:rFonts w:eastAsia="Times New Roman"/>
                <w:sz w:val="24"/>
                <w:szCs w:val="24"/>
                <w:lang w:bidi="ar-SA"/>
              </w:rPr>
              <w:t xml:space="preserve"> measurement of crown-rump length obtained between 6 and 12 weeks supports a gestational age of at least 39 completed weeks.</w:t>
            </w:r>
          </w:p>
          <w:p w14:paraId="557BE665" w14:textId="77777777" w:rsidR="009A68CB" w:rsidRPr="00DE2694" w:rsidRDefault="009A68CB" w:rsidP="009A68CB">
            <w:pPr>
              <w:pStyle w:val="Bullet-Blank-2"/>
              <w:numPr>
                <w:ilvl w:val="1"/>
                <w:numId w:val="1"/>
              </w:numPr>
              <w:ind w:left="533" w:hanging="202"/>
              <w:rPr>
                <w:rFonts w:eastAsia="Times New Roman"/>
                <w:sz w:val="24"/>
                <w:szCs w:val="24"/>
                <w:lang w:bidi="ar-SA"/>
              </w:rPr>
            </w:pPr>
            <w:r w:rsidRPr="00DE2694">
              <w:rPr>
                <w:sz w:val="24"/>
                <w:szCs w:val="24"/>
              </w:rPr>
              <w:t>Ultrasound</w:t>
            </w:r>
            <w:r w:rsidRPr="00DE2694">
              <w:rPr>
                <w:rFonts w:eastAsia="Times New Roman"/>
                <w:sz w:val="24"/>
                <w:szCs w:val="24"/>
                <w:lang w:bidi="ar-SA"/>
              </w:rPr>
              <w:t xml:space="preserve"> obtained at 13 to 20 weeks confirms gestational age of at least 39 completed weeks determined by clinical history and physical examination.</w:t>
            </w:r>
          </w:p>
          <w:p w14:paraId="0D4287C3" w14:textId="77777777" w:rsidR="009A68CB" w:rsidRPr="00DE2694" w:rsidRDefault="009A68CB" w:rsidP="009A68CB">
            <w:pPr>
              <w:pStyle w:val="Bullet-Blank-2"/>
              <w:numPr>
                <w:ilvl w:val="1"/>
                <w:numId w:val="1"/>
              </w:numPr>
              <w:ind w:left="533" w:hanging="202"/>
              <w:rPr>
                <w:rFonts w:eastAsia="Times New Roman"/>
                <w:sz w:val="24"/>
                <w:szCs w:val="24"/>
                <w:lang w:bidi="ar-SA"/>
              </w:rPr>
            </w:pPr>
            <w:r w:rsidRPr="00DE2694">
              <w:rPr>
                <w:rFonts w:eastAsia="Times New Roman"/>
                <w:sz w:val="24"/>
                <w:szCs w:val="24"/>
                <w:lang w:bidi="ar-SA"/>
              </w:rPr>
              <w:t>Fetal heart tones have been documented for at least 30 weeks by Doppler.</w:t>
            </w:r>
          </w:p>
          <w:p w14:paraId="69235F81" w14:textId="4104ADAE" w:rsidR="009A68CB" w:rsidRPr="00DE2694" w:rsidRDefault="009A68CB" w:rsidP="009A68CB">
            <w:pPr>
              <w:pStyle w:val="Bullet-Blank"/>
              <w:ind w:left="40"/>
              <w:rPr>
                <w:sz w:val="24"/>
                <w:szCs w:val="24"/>
              </w:rPr>
            </w:pPr>
            <w:r w:rsidRPr="00DE2694">
              <w:rPr>
                <w:sz w:val="24"/>
                <w:szCs w:val="24"/>
              </w:rPr>
              <w:t xml:space="preserve">It has been 36 weeks since a positive serum or urine </w:t>
            </w:r>
            <w:r w:rsidR="00EA6414" w:rsidRPr="00EA6414">
              <w:rPr>
                <w:sz w:val="24"/>
                <w:szCs w:val="24"/>
              </w:rPr>
              <w:t>human chorionic gonadotropin</w:t>
            </w:r>
            <w:r w:rsidR="00EA6414">
              <w:rPr>
                <w:sz w:val="24"/>
                <w:szCs w:val="24"/>
              </w:rPr>
              <w:t xml:space="preserve"> (</w:t>
            </w:r>
            <w:r w:rsidRPr="00DE2694">
              <w:rPr>
                <w:sz w:val="24"/>
                <w:szCs w:val="24"/>
              </w:rPr>
              <w:t>HCG</w:t>
            </w:r>
            <w:r w:rsidR="00EA6414">
              <w:rPr>
                <w:sz w:val="24"/>
                <w:szCs w:val="24"/>
              </w:rPr>
              <w:t>)</w:t>
            </w:r>
            <w:r w:rsidRPr="00DE2694">
              <w:rPr>
                <w:sz w:val="24"/>
                <w:szCs w:val="24"/>
              </w:rPr>
              <w:t xml:space="preserve"> pregnancy test.</w:t>
            </w:r>
          </w:p>
          <w:p w14:paraId="0D13C8A2" w14:textId="77777777" w:rsidR="009A68CB" w:rsidRPr="00DE2694" w:rsidRDefault="009A68CB" w:rsidP="00354BD4">
            <w:pPr>
              <w:pStyle w:val="Bullet-Blank"/>
              <w:numPr>
                <w:ilvl w:val="0"/>
                <w:numId w:val="6"/>
              </w:numPr>
              <w:ind w:left="310" w:hanging="270"/>
              <w:rPr>
                <w:sz w:val="24"/>
                <w:szCs w:val="24"/>
              </w:rPr>
            </w:pPr>
            <w:r w:rsidRPr="00DE2694">
              <w:rPr>
                <w:sz w:val="24"/>
                <w:szCs w:val="24"/>
              </w:rPr>
              <w:t xml:space="preserve">Verify and document Bishop </w:t>
            </w:r>
            <w:r>
              <w:rPr>
                <w:sz w:val="24"/>
                <w:szCs w:val="24"/>
              </w:rPr>
              <w:t>s</w:t>
            </w:r>
            <w:r w:rsidRPr="00DE2694">
              <w:rPr>
                <w:sz w:val="24"/>
                <w:szCs w:val="24"/>
              </w:rPr>
              <w:t>core (inductions only)</w:t>
            </w:r>
            <w:r>
              <w:rPr>
                <w:sz w:val="24"/>
                <w:szCs w:val="24"/>
              </w:rPr>
              <w:t>.</w:t>
            </w:r>
          </w:p>
          <w:p w14:paraId="4B04B07D" w14:textId="6B87C646" w:rsidR="009A68CB" w:rsidRPr="00DE2694" w:rsidRDefault="009A68CB" w:rsidP="00354BD4">
            <w:pPr>
              <w:pStyle w:val="Bullet-Blank-2"/>
              <w:numPr>
                <w:ilvl w:val="1"/>
                <w:numId w:val="1"/>
              </w:numPr>
              <w:ind w:left="533" w:hanging="202"/>
              <w:rPr>
                <w:sz w:val="24"/>
                <w:szCs w:val="24"/>
              </w:rPr>
            </w:pPr>
            <w:r w:rsidRPr="00DE2694">
              <w:rPr>
                <w:sz w:val="24"/>
                <w:szCs w:val="24"/>
              </w:rPr>
              <w:t xml:space="preserve">For all inductions, women with an unfavorable cervix (defined as a score of 6 or less) should be counseled on the possible need for repeat induction and roughly twofold increased risk of </w:t>
            </w:r>
            <w:r>
              <w:rPr>
                <w:sz w:val="24"/>
                <w:szCs w:val="24"/>
              </w:rPr>
              <w:t>c</w:t>
            </w:r>
            <w:r w:rsidRPr="00DE2694">
              <w:rPr>
                <w:sz w:val="24"/>
                <w:szCs w:val="24"/>
              </w:rPr>
              <w:t>esarean delivery.</w:t>
            </w:r>
            <w:r w:rsidRPr="00DE2694">
              <w:rPr>
                <w:sz w:val="24"/>
                <w:szCs w:val="24"/>
                <w:vertAlign w:val="superscript"/>
              </w:rPr>
              <w:t>1</w:t>
            </w:r>
            <w:r w:rsidRPr="00DE2694">
              <w:rPr>
                <w:sz w:val="24"/>
                <w:szCs w:val="24"/>
              </w:rPr>
              <w:t xml:space="preserve"> The risk and benefits of induction will vary based on indication for induction and documentation of the discussion about risks, benefits, and alternatives should be documented to the full</w:t>
            </w:r>
            <w:r w:rsidR="00EA6414">
              <w:rPr>
                <w:sz w:val="24"/>
                <w:szCs w:val="24"/>
              </w:rPr>
              <w:t>est</w:t>
            </w:r>
            <w:r w:rsidRPr="00DE2694">
              <w:rPr>
                <w:sz w:val="24"/>
                <w:szCs w:val="24"/>
              </w:rPr>
              <w:t xml:space="preserve"> extent possible.</w:t>
            </w:r>
            <w:r w:rsidRPr="00DE2694">
              <w:rPr>
                <w:sz w:val="24"/>
                <w:szCs w:val="24"/>
                <w:vertAlign w:val="superscript"/>
              </w:rPr>
              <w:t>2</w:t>
            </w:r>
            <w:r w:rsidRPr="00DE2694">
              <w:rPr>
                <w:sz w:val="24"/>
                <w:szCs w:val="24"/>
              </w:rPr>
              <w:t xml:space="preserve"> </w:t>
            </w:r>
          </w:p>
          <w:tbl>
            <w:tblPr>
              <w:tblStyle w:val="TableGrid"/>
              <w:tblW w:w="7110" w:type="dxa"/>
              <w:tblInd w:w="3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CellMar>
                <w:left w:w="115" w:type="dxa"/>
                <w:right w:w="115" w:type="dxa"/>
              </w:tblCellMar>
              <w:tblLook w:val="04A0" w:firstRow="1" w:lastRow="0" w:firstColumn="1" w:lastColumn="0" w:noHBand="0" w:noVBand="1"/>
              <w:tblDescription w:val="features and modified Bishop scores"/>
            </w:tblPr>
            <w:tblGrid>
              <w:gridCol w:w="2160"/>
              <w:gridCol w:w="1097"/>
              <w:gridCol w:w="1378"/>
              <w:gridCol w:w="1271"/>
              <w:gridCol w:w="424"/>
              <w:gridCol w:w="270"/>
              <w:gridCol w:w="255"/>
              <w:gridCol w:w="255"/>
            </w:tblGrid>
            <w:tr w:rsidR="005D3771" w:rsidRPr="00DE2694" w14:paraId="16A93D91" w14:textId="77777777" w:rsidTr="00664305">
              <w:trPr>
                <w:cantSplit/>
                <w:tblHeader/>
              </w:trPr>
              <w:tc>
                <w:tcPr>
                  <w:tcW w:w="2160" w:type="dxa"/>
                </w:tcPr>
                <w:p w14:paraId="0DF389C0" w14:textId="77777777" w:rsidR="005D3771" w:rsidRPr="00DE2694" w:rsidRDefault="005D3771" w:rsidP="00354BD4">
                  <w:pPr>
                    <w:spacing w:before="40" w:after="40"/>
                    <w:jc w:val="center"/>
                    <w:rPr>
                      <w:rFonts w:eastAsia="Times New Roman"/>
                      <w:b/>
                      <w:sz w:val="20"/>
                    </w:rPr>
                  </w:pPr>
                  <w:r w:rsidRPr="00DE2694">
                    <w:rPr>
                      <w:rFonts w:eastAsia="Times New Roman"/>
                      <w:b/>
                      <w:sz w:val="20"/>
                    </w:rPr>
                    <w:t>Feature</w:t>
                  </w:r>
                </w:p>
              </w:tc>
              <w:tc>
                <w:tcPr>
                  <w:tcW w:w="4170" w:type="dxa"/>
                  <w:gridSpan w:val="4"/>
                  <w:tcBorders>
                    <w:right w:val="nil"/>
                  </w:tcBorders>
                </w:tcPr>
                <w:p w14:paraId="465D47AC" w14:textId="6ECC1F71" w:rsidR="005D3771" w:rsidRPr="00DE2694" w:rsidRDefault="005D3771" w:rsidP="005D3771">
                  <w:pPr>
                    <w:spacing w:before="40" w:after="40"/>
                    <w:ind w:left="810"/>
                    <w:jc w:val="center"/>
                    <w:rPr>
                      <w:rFonts w:eastAsia="Times New Roman"/>
                      <w:b/>
                      <w:sz w:val="20"/>
                    </w:rPr>
                  </w:pPr>
                  <w:r w:rsidRPr="00DE2694">
                    <w:rPr>
                      <w:rFonts w:eastAsia="Times New Roman"/>
                      <w:b/>
                      <w:sz w:val="20"/>
                    </w:rPr>
                    <w:t>Modified Bishop Score</w:t>
                  </w:r>
                  <w:r w:rsidRPr="00DE2694">
                    <w:rPr>
                      <w:rFonts w:eastAsia="Times New Roman"/>
                      <w:b/>
                      <w:sz w:val="20"/>
                      <w:vertAlign w:val="superscript"/>
                    </w:rPr>
                    <w:t>3</w:t>
                  </w:r>
                </w:p>
              </w:tc>
              <w:tc>
                <w:tcPr>
                  <w:tcW w:w="270" w:type="dxa"/>
                  <w:tcBorders>
                    <w:left w:val="nil"/>
                    <w:right w:val="nil"/>
                  </w:tcBorders>
                </w:tcPr>
                <w:p w14:paraId="039360C3" w14:textId="77777777" w:rsidR="005D3771" w:rsidRPr="00DE2694" w:rsidRDefault="005D3771" w:rsidP="00354BD4">
                  <w:pPr>
                    <w:spacing w:before="40" w:after="40"/>
                    <w:jc w:val="center"/>
                    <w:rPr>
                      <w:rFonts w:eastAsia="Times New Roman"/>
                      <w:b/>
                      <w:sz w:val="20"/>
                    </w:rPr>
                  </w:pPr>
                </w:p>
              </w:tc>
              <w:tc>
                <w:tcPr>
                  <w:tcW w:w="255" w:type="dxa"/>
                  <w:tcBorders>
                    <w:left w:val="nil"/>
                    <w:right w:val="nil"/>
                  </w:tcBorders>
                </w:tcPr>
                <w:p w14:paraId="47F3D30F" w14:textId="77777777" w:rsidR="005D3771" w:rsidRPr="00DE2694" w:rsidRDefault="005D3771" w:rsidP="00354BD4">
                  <w:pPr>
                    <w:spacing w:before="40" w:after="40"/>
                    <w:jc w:val="center"/>
                    <w:rPr>
                      <w:rFonts w:eastAsia="Times New Roman"/>
                      <w:b/>
                      <w:sz w:val="20"/>
                    </w:rPr>
                  </w:pPr>
                </w:p>
              </w:tc>
              <w:tc>
                <w:tcPr>
                  <w:tcW w:w="255" w:type="dxa"/>
                  <w:tcBorders>
                    <w:left w:val="nil"/>
                  </w:tcBorders>
                </w:tcPr>
                <w:p w14:paraId="52F83229" w14:textId="7BD425F3" w:rsidR="005D3771" w:rsidRPr="00DE2694" w:rsidRDefault="005D3771" w:rsidP="00354BD4">
                  <w:pPr>
                    <w:spacing w:before="40" w:after="40"/>
                    <w:jc w:val="center"/>
                    <w:rPr>
                      <w:rFonts w:eastAsia="Times New Roman"/>
                      <w:b/>
                      <w:sz w:val="20"/>
                    </w:rPr>
                  </w:pPr>
                </w:p>
              </w:tc>
            </w:tr>
            <w:tr w:rsidR="009A68CB" w:rsidRPr="00DE2694" w14:paraId="78F1BDD2" w14:textId="77777777" w:rsidTr="00664305">
              <w:trPr>
                <w:cantSplit/>
              </w:trPr>
              <w:tc>
                <w:tcPr>
                  <w:tcW w:w="2160" w:type="dxa"/>
                </w:tcPr>
                <w:p w14:paraId="75ABA203" w14:textId="77777777" w:rsidR="009A68CB" w:rsidRPr="00DE2694" w:rsidRDefault="009A68CB" w:rsidP="00354BD4">
                  <w:pPr>
                    <w:spacing w:before="40" w:after="40"/>
                    <w:rPr>
                      <w:rFonts w:eastAsia="Times New Roman"/>
                      <w:sz w:val="20"/>
                    </w:rPr>
                  </w:pPr>
                </w:p>
              </w:tc>
              <w:tc>
                <w:tcPr>
                  <w:tcW w:w="1097" w:type="dxa"/>
                </w:tcPr>
                <w:p w14:paraId="54735216" w14:textId="77777777" w:rsidR="009A68CB" w:rsidRPr="00DE2694" w:rsidRDefault="009A68CB" w:rsidP="00354BD4">
                  <w:pPr>
                    <w:spacing w:before="40" w:after="40"/>
                    <w:jc w:val="center"/>
                    <w:rPr>
                      <w:rFonts w:eastAsia="Times New Roman"/>
                      <w:sz w:val="20"/>
                    </w:rPr>
                  </w:pPr>
                  <w:r w:rsidRPr="00DE2694">
                    <w:rPr>
                      <w:rFonts w:eastAsia="Times New Roman"/>
                      <w:sz w:val="20"/>
                    </w:rPr>
                    <w:t>0</w:t>
                  </w:r>
                </w:p>
              </w:tc>
              <w:tc>
                <w:tcPr>
                  <w:tcW w:w="1378" w:type="dxa"/>
                </w:tcPr>
                <w:p w14:paraId="6720FFB7" w14:textId="77777777" w:rsidR="009A68CB" w:rsidRPr="00DE2694" w:rsidRDefault="009A68CB" w:rsidP="00354BD4">
                  <w:pPr>
                    <w:spacing w:before="40" w:after="40"/>
                    <w:jc w:val="center"/>
                    <w:rPr>
                      <w:rFonts w:eastAsia="Times New Roman"/>
                      <w:sz w:val="20"/>
                    </w:rPr>
                  </w:pPr>
                  <w:r w:rsidRPr="00DE2694">
                    <w:rPr>
                      <w:rFonts w:eastAsia="Times New Roman"/>
                      <w:sz w:val="20"/>
                    </w:rPr>
                    <w:t>1</w:t>
                  </w:r>
                </w:p>
              </w:tc>
              <w:tc>
                <w:tcPr>
                  <w:tcW w:w="1271" w:type="dxa"/>
                </w:tcPr>
                <w:p w14:paraId="77FEF4A1" w14:textId="77777777" w:rsidR="009A68CB" w:rsidRPr="00DE2694" w:rsidRDefault="009A68CB" w:rsidP="00354BD4">
                  <w:pPr>
                    <w:spacing w:before="40" w:after="40"/>
                    <w:jc w:val="center"/>
                    <w:rPr>
                      <w:rFonts w:eastAsia="Times New Roman"/>
                      <w:sz w:val="20"/>
                    </w:rPr>
                  </w:pPr>
                  <w:r w:rsidRPr="00DE2694">
                    <w:rPr>
                      <w:rFonts w:eastAsia="Times New Roman"/>
                      <w:sz w:val="20"/>
                    </w:rPr>
                    <w:t>2</w:t>
                  </w:r>
                </w:p>
              </w:tc>
              <w:tc>
                <w:tcPr>
                  <w:tcW w:w="1204" w:type="dxa"/>
                  <w:gridSpan w:val="4"/>
                </w:tcPr>
                <w:p w14:paraId="0AFBCCF0" w14:textId="77777777" w:rsidR="009A68CB" w:rsidRPr="00DE2694" w:rsidRDefault="009A68CB" w:rsidP="00354BD4">
                  <w:pPr>
                    <w:spacing w:before="40" w:after="40"/>
                    <w:jc w:val="center"/>
                    <w:rPr>
                      <w:rFonts w:eastAsia="Times New Roman"/>
                      <w:sz w:val="20"/>
                    </w:rPr>
                  </w:pPr>
                  <w:r w:rsidRPr="00DE2694">
                    <w:rPr>
                      <w:rFonts w:eastAsia="Times New Roman"/>
                      <w:sz w:val="20"/>
                    </w:rPr>
                    <w:t>3</w:t>
                  </w:r>
                </w:p>
              </w:tc>
            </w:tr>
            <w:tr w:rsidR="009A68CB" w:rsidRPr="00DE2694" w14:paraId="6659C51E" w14:textId="77777777" w:rsidTr="00354BD4">
              <w:trPr>
                <w:cantSplit/>
              </w:trPr>
              <w:tc>
                <w:tcPr>
                  <w:tcW w:w="2160" w:type="dxa"/>
                </w:tcPr>
                <w:p w14:paraId="6D0C08B0" w14:textId="77777777" w:rsidR="009A68CB" w:rsidRPr="00DE2694" w:rsidRDefault="009A68CB" w:rsidP="00354BD4">
                  <w:pPr>
                    <w:spacing w:before="40" w:after="40"/>
                    <w:rPr>
                      <w:rFonts w:eastAsia="Times New Roman"/>
                      <w:b/>
                      <w:sz w:val="20"/>
                    </w:rPr>
                  </w:pPr>
                  <w:r w:rsidRPr="00DE2694">
                    <w:rPr>
                      <w:rFonts w:eastAsia="Times New Roman"/>
                      <w:b/>
                      <w:sz w:val="20"/>
                    </w:rPr>
                    <w:t>Dilation (cm)</w:t>
                  </w:r>
                </w:p>
              </w:tc>
              <w:tc>
                <w:tcPr>
                  <w:tcW w:w="1097" w:type="dxa"/>
                </w:tcPr>
                <w:p w14:paraId="01B63B42" w14:textId="77777777" w:rsidR="009A68CB" w:rsidRPr="00DE2694" w:rsidRDefault="009A68CB" w:rsidP="00354BD4">
                  <w:pPr>
                    <w:spacing w:before="40" w:after="40"/>
                    <w:jc w:val="center"/>
                    <w:rPr>
                      <w:rFonts w:eastAsia="Times New Roman"/>
                      <w:sz w:val="20"/>
                    </w:rPr>
                  </w:pPr>
                  <w:r w:rsidRPr="00DE2694">
                    <w:rPr>
                      <w:rFonts w:eastAsia="Times New Roman"/>
                      <w:sz w:val="20"/>
                    </w:rPr>
                    <w:t>&lt;1</w:t>
                  </w:r>
                </w:p>
              </w:tc>
              <w:tc>
                <w:tcPr>
                  <w:tcW w:w="1378" w:type="dxa"/>
                </w:tcPr>
                <w:p w14:paraId="470BF512" w14:textId="77777777" w:rsidR="009A68CB" w:rsidRPr="00DE2694" w:rsidRDefault="009A68CB" w:rsidP="00354BD4">
                  <w:pPr>
                    <w:spacing w:before="40" w:after="40"/>
                    <w:jc w:val="center"/>
                    <w:rPr>
                      <w:rFonts w:eastAsia="Times New Roman"/>
                      <w:sz w:val="20"/>
                    </w:rPr>
                  </w:pPr>
                  <w:r w:rsidRPr="00DE2694">
                    <w:rPr>
                      <w:rFonts w:eastAsia="Times New Roman"/>
                      <w:sz w:val="20"/>
                    </w:rPr>
                    <w:t>1–2</w:t>
                  </w:r>
                </w:p>
              </w:tc>
              <w:tc>
                <w:tcPr>
                  <w:tcW w:w="1271" w:type="dxa"/>
                </w:tcPr>
                <w:p w14:paraId="30C57FD2" w14:textId="77777777" w:rsidR="009A68CB" w:rsidRPr="00DE2694" w:rsidRDefault="009A68CB" w:rsidP="00354BD4">
                  <w:pPr>
                    <w:spacing w:before="40" w:after="40"/>
                    <w:jc w:val="center"/>
                    <w:rPr>
                      <w:rFonts w:eastAsia="Times New Roman"/>
                      <w:sz w:val="20"/>
                    </w:rPr>
                  </w:pPr>
                  <w:r w:rsidRPr="00DE2694">
                    <w:rPr>
                      <w:rFonts w:eastAsia="Times New Roman"/>
                      <w:sz w:val="20"/>
                    </w:rPr>
                    <w:t>3–4</w:t>
                  </w:r>
                </w:p>
              </w:tc>
              <w:tc>
                <w:tcPr>
                  <w:tcW w:w="1204" w:type="dxa"/>
                  <w:gridSpan w:val="4"/>
                </w:tcPr>
                <w:p w14:paraId="23C56253" w14:textId="77777777" w:rsidR="009A68CB" w:rsidRPr="00DE2694" w:rsidRDefault="009A68CB" w:rsidP="00354BD4">
                  <w:pPr>
                    <w:spacing w:before="40" w:after="40"/>
                    <w:jc w:val="center"/>
                    <w:rPr>
                      <w:rFonts w:eastAsia="Times New Roman"/>
                      <w:sz w:val="20"/>
                    </w:rPr>
                  </w:pPr>
                  <w:r w:rsidRPr="00DE2694">
                    <w:rPr>
                      <w:rFonts w:eastAsia="Times New Roman"/>
                      <w:sz w:val="20"/>
                    </w:rPr>
                    <w:t>&gt;4</w:t>
                  </w:r>
                </w:p>
              </w:tc>
            </w:tr>
            <w:tr w:rsidR="009A68CB" w:rsidRPr="00DE2694" w14:paraId="79696C69" w14:textId="77777777" w:rsidTr="00354BD4">
              <w:trPr>
                <w:cantSplit/>
              </w:trPr>
              <w:tc>
                <w:tcPr>
                  <w:tcW w:w="2160" w:type="dxa"/>
                </w:tcPr>
                <w:p w14:paraId="1CEC0E3B" w14:textId="77777777" w:rsidR="009A68CB" w:rsidRPr="00DE2694" w:rsidRDefault="009A68CB" w:rsidP="00354BD4">
                  <w:pPr>
                    <w:spacing w:before="40" w:after="40"/>
                    <w:rPr>
                      <w:rFonts w:eastAsia="Times New Roman"/>
                      <w:b/>
                      <w:sz w:val="20"/>
                    </w:rPr>
                  </w:pPr>
                  <w:r w:rsidRPr="00DE2694">
                    <w:rPr>
                      <w:rFonts w:eastAsia="Times New Roman"/>
                      <w:b/>
                      <w:sz w:val="20"/>
                    </w:rPr>
                    <w:t>Length (cm) or Effacement (%)</w:t>
                  </w:r>
                </w:p>
              </w:tc>
              <w:tc>
                <w:tcPr>
                  <w:tcW w:w="1097" w:type="dxa"/>
                </w:tcPr>
                <w:p w14:paraId="26EAAA5A" w14:textId="77777777" w:rsidR="009A68CB" w:rsidRPr="00DE2694" w:rsidRDefault="009A68CB" w:rsidP="00354BD4">
                  <w:pPr>
                    <w:spacing w:before="40" w:after="40"/>
                    <w:jc w:val="center"/>
                    <w:rPr>
                      <w:rFonts w:eastAsia="Times New Roman"/>
                      <w:sz w:val="20"/>
                    </w:rPr>
                  </w:pPr>
                  <w:r w:rsidRPr="00DE2694">
                    <w:rPr>
                      <w:rFonts w:eastAsia="Times New Roman"/>
                      <w:sz w:val="20"/>
                    </w:rPr>
                    <w:t>&gt;4</w:t>
                  </w:r>
                  <w:r w:rsidRPr="00DE2694">
                    <w:rPr>
                      <w:rFonts w:eastAsia="Times New Roman"/>
                      <w:sz w:val="20"/>
                    </w:rPr>
                    <w:br/>
                    <w:t>0–30</w:t>
                  </w:r>
                </w:p>
              </w:tc>
              <w:tc>
                <w:tcPr>
                  <w:tcW w:w="1378" w:type="dxa"/>
                </w:tcPr>
                <w:p w14:paraId="13960C06" w14:textId="77777777" w:rsidR="009A68CB" w:rsidRPr="00DE2694" w:rsidRDefault="009A68CB" w:rsidP="00354BD4">
                  <w:pPr>
                    <w:spacing w:before="40" w:after="40"/>
                    <w:jc w:val="center"/>
                    <w:rPr>
                      <w:rFonts w:eastAsia="Times New Roman"/>
                      <w:sz w:val="20"/>
                    </w:rPr>
                  </w:pPr>
                  <w:r w:rsidRPr="00DE2694">
                    <w:rPr>
                      <w:rFonts w:eastAsia="Times New Roman"/>
                      <w:sz w:val="20"/>
                    </w:rPr>
                    <w:t>2–4</w:t>
                  </w:r>
                  <w:r w:rsidRPr="00DE2694">
                    <w:rPr>
                      <w:rFonts w:eastAsia="Times New Roman"/>
                      <w:sz w:val="20"/>
                    </w:rPr>
                    <w:br/>
                    <w:t>40–50</w:t>
                  </w:r>
                </w:p>
              </w:tc>
              <w:tc>
                <w:tcPr>
                  <w:tcW w:w="1271" w:type="dxa"/>
                </w:tcPr>
                <w:p w14:paraId="7E580709" w14:textId="77777777" w:rsidR="009A68CB" w:rsidRPr="00DE2694" w:rsidRDefault="009A68CB" w:rsidP="00354BD4">
                  <w:pPr>
                    <w:spacing w:before="40" w:after="40"/>
                    <w:jc w:val="center"/>
                    <w:rPr>
                      <w:rFonts w:eastAsia="Times New Roman"/>
                      <w:sz w:val="20"/>
                    </w:rPr>
                  </w:pPr>
                  <w:r w:rsidRPr="00DE2694">
                    <w:rPr>
                      <w:rFonts w:eastAsia="Times New Roman"/>
                      <w:sz w:val="20"/>
                    </w:rPr>
                    <w:t>1–2</w:t>
                  </w:r>
                  <w:r w:rsidRPr="00DE2694">
                    <w:rPr>
                      <w:rFonts w:eastAsia="Times New Roman"/>
                      <w:sz w:val="20"/>
                    </w:rPr>
                    <w:br/>
                    <w:t>60–70</w:t>
                  </w:r>
                </w:p>
              </w:tc>
              <w:tc>
                <w:tcPr>
                  <w:tcW w:w="1204" w:type="dxa"/>
                  <w:gridSpan w:val="4"/>
                </w:tcPr>
                <w:p w14:paraId="1212E1B4" w14:textId="77777777" w:rsidR="009A68CB" w:rsidRPr="00DE2694" w:rsidRDefault="009A68CB" w:rsidP="00354BD4">
                  <w:pPr>
                    <w:spacing w:before="40" w:after="40"/>
                    <w:jc w:val="center"/>
                    <w:rPr>
                      <w:rFonts w:eastAsia="Times New Roman"/>
                      <w:sz w:val="20"/>
                    </w:rPr>
                  </w:pPr>
                  <w:r w:rsidRPr="00DE2694">
                    <w:rPr>
                      <w:rFonts w:eastAsia="Times New Roman"/>
                      <w:sz w:val="20"/>
                    </w:rPr>
                    <w:t>&lt;1</w:t>
                  </w:r>
                  <w:r w:rsidRPr="00DE2694">
                    <w:rPr>
                      <w:rFonts w:eastAsia="Times New Roman"/>
                      <w:sz w:val="20"/>
                    </w:rPr>
                    <w:br/>
                    <w:t>&gt;80</w:t>
                  </w:r>
                </w:p>
              </w:tc>
            </w:tr>
            <w:tr w:rsidR="009A68CB" w:rsidRPr="00DE2694" w14:paraId="6E3A442D" w14:textId="77777777" w:rsidTr="00354BD4">
              <w:trPr>
                <w:cantSplit/>
              </w:trPr>
              <w:tc>
                <w:tcPr>
                  <w:tcW w:w="2160" w:type="dxa"/>
                </w:tcPr>
                <w:p w14:paraId="5C70F6EC" w14:textId="77777777" w:rsidR="009A68CB" w:rsidRPr="00DE2694" w:rsidRDefault="009A68CB" w:rsidP="00354BD4">
                  <w:pPr>
                    <w:spacing w:before="40" w:after="40"/>
                    <w:rPr>
                      <w:rFonts w:eastAsia="Times New Roman"/>
                      <w:b/>
                      <w:sz w:val="20"/>
                    </w:rPr>
                  </w:pPr>
                  <w:r w:rsidRPr="00DE2694">
                    <w:rPr>
                      <w:rFonts w:eastAsia="Times New Roman"/>
                      <w:b/>
                      <w:sz w:val="20"/>
                    </w:rPr>
                    <w:t>Station</w:t>
                  </w:r>
                </w:p>
              </w:tc>
              <w:tc>
                <w:tcPr>
                  <w:tcW w:w="1097" w:type="dxa"/>
                </w:tcPr>
                <w:p w14:paraId="74BDA275" w14:textId="77777777" w:rsidR="009A68CB" w:rsidRPr="00DE2694" w:rsidRDefault="009A68CB" w:rsidP="00354BD4">
                  <w:pPr>
                    <w:spacing w:before="40" w:after="40"/>
                    <w:jc w:val="center"/>
                    <w:rPr>
                      <w:rFonts w:eastAsia="Times New Roman"/>
                      <w:sz w:val="20"/>
                    </w:rPr>
                  </w:pPr>
                  <w:r w:rsidRPr="00DE2694">
                    <w:rPr>
                      <w:rFonts w:eastAsia="Times New Roman"/>
                      <w:sz w:val="20"/>
                    </w:rPr>
                    <w:t>-3</w:t>
                  </w:r>
                </w:p>
              </w:tc>
              <w:tc>
                <w:tcPr>
                  <w:tcW w:w="1378" w:type="dxa"/>
                </w:tcPr>
                <w:p w14:paraId="2A0E63D5" w14:textId="77777777" w:rsidR="009A68CB" w:rsidRPr="00DE2694" w:rsidRDefault="009A68CB" w:rsidP="00354BD4">
                  <w:pPr>
                    <w:spacing w:before="40" w:after="40"/>
                    <w:jc w:val="center"/>
                    <w:rPr>
                      <w:rFonts w:eastAsia="Times New Roman"/>
                      <w:sz w:val="20"/>
                    </w:rPr>
                  </w:pPr>
                  <w:r w:rsidRPr="00DE2694">
                    <w:rPr>
                      <w:rFonts w:eastAsia="Times New Roman"/>
                      <w:sz w:val="20"/>
                    </w:rPr>
                    <w:t>-2</w:t>
                  </w:r>
                </w:p>
              </w:tc>
              <w:tc>
                <w:tcPr>
                  <w:tcW w:w="1271" w:type="dxa"/>
                </w:tcPr>
                <w:p w14:paraId="0518A97D" w14:textId="77777777" w:rsidR="009A68CB" w:rsidRPr="00DE2694" w:rsidRDefault="009A68CB" w:rsidP="00354BD4">
                  <w:pPr>
                    <w:spacing w:before="40" w:after="40"/>
                    <w:jc w:val="center"/>
                    <w:rPr>
                      <w:rFonts w:eastAsia="Times New Roman"/>
                      <w:sz w:val="20"/>
                    </w:rPr>
                  </w:pPr>
                  <w:r w:rsidRPr="00DE2694">
                    <w:rPr>
                      <w:rFonts w:eastAsia="Times New Roman"/>
                      <w:sz w:val="20"/>
                    </w:rPr>
                    <w:t>-1 or 0</w:t>
                  </w:r>
                </w:p>
              </w:tc>
              <w:tc>
                <w:tcPr>
                  <w:tcW w:w="1204" w:type="dxa"/>
                  <w:gridSpan w:val="4"/>
                </w:tcPr>
                <w:p w14:paraId="1E2AE259" w14:textId="77777777" w:rsidR="009A68CB" w:rsidRPr="00DE2694" w:rsidRDefault="009A68CB" w:rsidP="00354BD4">
                  <w:pPr>
                    <w:spacing w:before="40" w:after="40"/>
                    <w:jc w:val="center"/>
                    <w:rPr>
                      <w:rFonts w:eastAsia="Times New Roman"/>
                      <w:sz w:val="20"/>
                    </w:rPr>
                  </w:pPr>
                  <w:r w:rsidRPr="00DE2694">
                    <w:rPr>
                      <w:rFonts w:eastAsia="Times New Roman"/>
                      <w:sz w:val="20"/>
                    </w:rPr>
                    <w:t>+1 or +2</w:t>
                  </w:r>
                </w:p>
              </w:tc>
            </w:tr>
            <w:tr w:rsidR="009A68CB" w:rsidRPr="00DE2694" w14:paraId="6E27FA2F" w14:textId="77777777" w:rsidTr="00354BD4">
              <w:trPr>
                <w:cantSplit/>
              </w:trPr>
              <w:tc>
                <w:tcPr>
                  <w:tcW w:w="2160" w:type="dxa"/>
                </w:tcPr>
                <w:p w14:paraId="4C565600" w14:textId="77777777" w:rsidR="009A68CB" w:rsidRPr="00DE2694" w:rsidRDefault="009A68CB" w:rsidP="00354BD4">
                  <w:pPr>
                    <w:spacing w:before="40" w:after="40"/>
                    <w:rPr>
                      <w:rFonts w:eastAsia="Times New Roman"/>
                      <w:b/>
                      <w:sz w:val="20"/>
                    </w:rPr>
                  </w:pPr>
                  <w:r w:rsidRPr="00DE2694">
                    <w:rPr>
                      <w:rFonts w:eastAsia="Times New Roman"/>
                      <w:b/>
                      <w:sz w:val="20"/>
                    </w:rPr>
                    <w:t>Consistency</w:t>
                  </w:r>
                </w:p>
              </w:tc>
              <w:tc>
                <w:tcPr>
                  <w:tcW w:w="1097" w:type="dxa"/>
                </w:tcPr>
                <w:p w14:paraId="272E2E2B" w14:textId="77777777" w:rsidR="009A68CB" w:rsidRPr="00DE2694" w:rsidRDefault="009A68CB" w:rsidP="00354BD4">
                  <w:pPr>
                    <w:spacing w:before="40" w:after="40"/>
                    <w:jc w:val="center"/>
                    <w:rPr>
                      <w:rFonts w:eastAsia="Times New Roman"/>
                      <w:sz w:val="20"/>
                    </w:rPr>
                  </w:pPr>
                  <w:r w:rsidRPr="00DE2694">
                    <w:rPr>
                      <w:rFonts w:eastAsia="Times New Roman"/>
                      <w:sz w:val="20"/>
                    </w:rPr>
                    <w:t>Firm</w:t>
                  </w:r>
                </w:p>
              </w:tc>
              <w:tc>
                <w:tcPr>
                  <w:tcW w:w="1378" w:type="dxa"/>
                </w:tcPr>
                <w:p w14:paraId="31ADFE3D" w14:textId="77777777" w:rsidR="009A68CB" w:rsidRPr="00DE2694" w:rsidRDefault="009A68CB" w:rsidP="00354BD4">
                  <w:pPr>
                    <w:spacing w:before="40" w:after="40"/>
                    <w:jc w:val="center"/>
                    <w:rPr>
                      <w:rFonts w:eastAsia="Times New Roman"/>
                      <w:sz w:val="20"/>
                    </w:rPr>
                  </w:pPr>
                  <w:r w:rsidRPr="00DE2694">
                    <w:rPr>
                      <w:rFonts w:eastAsia="Times New Roman"/>
                      <w:sz w:val="20"/>
                    </w:rPr>
                    <w:t>Medium</w:t>
                  </w:r>
                </w:p>
              </w:tc>
              <w:tc>
                <w:tcPr>
                  <w:tcW w:w="1271" w:type="dxa"/>
                </w:tcPr>
                <w:p w14:paraId="7AFF4319" w14:textId="77777777" w:rsidR="009A68CB" w:rsidRPr="00DE2694" w:rsidRDefault="009A68CB" w:rsidP="00354BD4">
                  <w:pPr>
                    <w:spacing w:before="40" w:after="40"/>
                    <w:jc w:val="center"/>
                    <w:rPr>
                      <w:rFonts w:eastAsia="Times New Roman"/>
                      <w:sz w:val="20"/>
                    </w:rPr>
                  </w:pPr>
                  <w:r w:rsidRPr="00DE2694">
                    <w:rPr>
                      <w:rFonts w:eastAsia="Times New Roman"/>
                      <w:sz w:val="20"/>
                    </w:rPr>
                    <w:t>Soft</w:t>
                  </w:r>
                </w:p>
              </w:tc>
              <w:tc>
                <w:tcPr>
                  <w:tcW w:w="1204" w:type="dxa"/>
                  <w:gridSpan w:val="4"/>
                </w:tcPr>
                <w:p w14:paraId="2DBE073A" w14:textId="77777777" w:rsidR="009A68CB" w:rsidRPr="00DE2694" w:rsidRDefault="009A68CB" w:rsidP="00354BD4">
                  <w:pPr>
                    <w:spacing w:before="40" w:after="40"/>
                    <w:jc w:val="center"/>
                    <w:rPr>
                      <w:rFonts w:eastAsia="Times New Roman"/>
                      <w:sz w:val="20"/>
                    </w:rPr>
                  </w:pPr>
                  <w:r w:rsidRPr="00DE2694">
                    <w:rPr>
                      <w:rFonts w:eastAsia="Times New Roman"/>
                      <w:sz w:val="20"/>
                    </w:rPr>
                    <w:t>-</w:t>
                  </w:r>
                </w:p>
              </w:tc>
            </w:tr>
            <w:tr w:rsidR="009A68CB" w:rsidRPr="00DE2694" w14:paraId="2999C2DA" w14:textId="77777777" w:rsidTr="00354BD4">
              <w:trPr>
                <w:cantSplit/>
              </w:trPr>
              <w:tc>
                <w:tcPr>
                  <w:tcW w:w="2160" w:type="dxa"/>
                </w:tcPr>
                <w:p w14:paraId="0EB5CD2C" w14:textId="77777777" w:rsidR="009A68CB" w:rsidRPr="00DE2694" w:rsidRDefault="009A68CB" w:rsidP="00354BD4">
                  <w:pPr>
                    <w:spacing w:before="40" w:after="40"/>
                    <w:rPr>
                      <w:rFonts w:eastAsia="Times New Roman"/>
                      <w:b/>
                      <w:sz w:val="20"/>
                    </w:rPr>
                  </w:pPr>
                  <w:r w:rsidRPr="00DE2694">
                    <w:rPr>
                      <w:rFonts w:eastAsia="Times New Roman"/>
                      <w:b/>
                      <w:sz w:val="20"/>
                    </w:rPr>
                    <w:t>Position</w:t>
                  </w:r>
                </w:p>
              </w:tc>
              <w:tc>
                <w:tcPr>
                  <w:tcW w:w="1097" w:type="dxa"/>
                </w:tcPr>
                <w:p w14:paraId="6F8CBA44" w14:textId="77777777" w:rsidR="009A68CB" w:rsidRPr="00DE2694" w:rsidRDefault="009A68CB" w:rsidP="00354BD4">
                  <w:pPr>
                    <w:spacing w:before="40" w:after="40"/>
                    <w:jc w:val="center"/>
                    <w:rPr>
                      <w:rFonts w:eastAsia="Times New Roman"/>
                      <w:sz w:val="20"/>
                    </w:rPr>
                  </w:pPr>
                  <w:r w:rsidRPr="00DE2694">
                    <w:rPr>
                      <w:rFonts w:eastAsia="Times New Roman"/>
                      <w:sz w:val="20"/>
                    </w:rPr>
                    <w:t>Posterior</w:t>
                  </w:r>
                </w:p>
              </w:tc>
              <w:tc>
                <w:tcPr>
                  <w:tcW w:w="1378" w:type="dxa"/>
                </w:tcPr>
                <w:p w14:paraId="04D2C622" w14:textId="77777777" w:rsidR="009A68CB" w:rsidRPr="00DE2694" w:rsidRDefault="009A68CB" w:rsidP="00354BD4">
                  <w:pPr>
                    <w:spacing w:before="40" w:after="40"/>
                    <w:jc w:val="center"/>
                    <w:rPr>
                      <w:rFonts w:eastAsia="Times New Roman"/>
                      <w:sz w:val="20"/>
                    </w:rPr>
                  </w:pPr>
                  <w:r w:rsidRPr="00DE2694">
                    <w:rPr>
                      <w:rFonts w:eastAsia="Times New Roman"/>
                      <w:sz w:val="20"/>
                    </w:rPr>
                    <w:t>Midposition</w:t>
                  </w:r>
                </w:p>
              </w:tc>
              <w:tc>
                <w:tcPr>
                  <w:tcW w:w="1271" w:type="dxa"/>
                </w:tcPr>
                <w:p w14:paraId="2507AA65" w14:textId="77777777" w:rsidR="009A68CB" w:rsidRPr="00DE2694" w:rsidRDefault="009A68CB" w:rsidP="00354BD4">
                  <w:pPr>
                    <w:spacing w:before="40" w:after="40"/>
                    <w:jc w:val="center"/>
                    <w:rPr>
                      <w:rFonts w:eastAsia="Times New Roman"/>
                      <w:sz w:val="20"/>
                    </w:rPr>
                  </w:pPr>
                  <w:r w:rsidRPr="00DE2694">
                    <w:rPr>
                      <w:rFonts w:eastAsia="Times New Roman"/>
                      <w:sz w:val="20"/>
                    </w:rPr>
                    <w:t>Anterior</w:t>
                  </w:r>
                </w:p>
              </w:tc>
              <w:tc>
                <w:tcPr>
                  <w:tcW w:w="1204" w:type="dxa"/>
                  <w:gridSpan w:val="4"/>
                </w:tcPr>
                <w:p w14:paraId="3220A654" w14:textId="77777777" w:rsidR="009A68CB" w:rsidRPr="00DE2694" w:rsidRDefault="009A68CB" w:rsidP="00354BD4">
                  <w:pPr>
                    <w:spacing w:before="40" w:after="40"/>
                    <w:jc w:val="center"/>
                    <w:rPr>
                      <w:rFonts w:eastAsia="Times New Roman"/>
                      <w:sz w:val="20"/>
                    </w:rPr>
                  </w:pPr>
                  <w:r w:rsidRPr="00DE2694">
                    <w:rPr>
                      <w:rFonts w:eastAsia="Times New Roman"/>
                      <w:sz w:val="20"/>
                    </w:rPr>
                    <w:t>-</w:t>
                  </w:r>
                </w:p>
              </w:tc>
            </w:tr>
          </w:tbl>
          <w:p w14:paraId="7E06E059" w14:textId="4C5EF9DD" w:rsidR="009A68CB" w:rsidRPr="00DE2694" w:rsidRDefault="009A68CB" w:rsidP="00354BD4">
            <w:pPr>
              <w:pStyle w:val="Bullet-Blank"/>
              <w:ind w:left="432"/>
              <w:rPr>
                <w:sz w:val="24"/>
                <w:szCs w:val="24"/>
              </w:rPr>
            </w:pPr>
          </w:p>
        </w:tc>
      </w:tr>
      <w:tr w:rsidR="00330094" w:rsidRPr="00DE2694" w14:paraId="19260C59" w14:textId="77777777" w:rsidTr="00052E03">
        <w:trPr>
          <w:cantSplit/>
        </w:trPr>
        <w:tc>
          <w:tcPr>
            <w:tcW w:w="2275" w:type="dxa"/>
            <w:shd w:val="clear" w:color="auto" w:fill="auto"/>
            <w:vAlign w:val="center"/>
          </w:tcPr>
          <w:p w14:paraId="4F285A8D" w14:textId="77777777" w:rsidR="00330094" w:rsidRPr="00DE2694" w:rsidRDefault="00330094" w:rsidP="00354BD4">
            <w:pPr>
              <w:pStyle w:val="FormText"/>
              <w:rPr>
                <w:sz w:val="24"/>
                <w:szCs w:val="24"/>
              </w:rPr>
            </w:pPr>
            <w:r w:rsidRPr="00DE2694">
              <w:rPr>
                <w:sz w:val="24"/>
                <w:szCs w:val="24"/>
              </w:rPr>
              <w:t>2.</w:t>
            </w:r>
            <w:r w:rsidRPr="00DE2694">
              <w:rPr>
                <w:sz w:val="24"/>
                <w:szCs w:val="24"/>
              </w:rPr>
              <w:tab/>
              <w:t>Assessment</w:t>
            </w:r>
          </w:p>
        </w:tc>
        <w:tc>
          <w:tcPr>
            <w:tcW w:w="7315" w:type="dxa"/>
            <w:shd w:val="clear" w:color="auto" w:fill="auto"/>
            <w:vAlign w:val="center"/>
          </w:tcPr>
          <w:p w14:paraId="5A26AF75" w14:textId="77777777" w:rsidR="00330094" w:rsidRPr="00DE2694" w:rsidRDefault="00330094" w:rsidP="00354BD4">
            <w:pPr>
              <w:spacing w:before="120" w:after="120"/>
              <w:jc w:val="center"/>
              <w:rPr>
                <w:rFonts w:eastAsia="Times New Roman" w:cs="Arial"/>
                <w:b/>
                <w:szCs w:val="24"/>
              </w:rPr>
            </w:pPr>
          </w:p>
        </w:tc>
      </w:tr>
      <w:tr w:rsidR="00330094" w:rsidRPr="00DE2694" w14:paraId="2879ED56" w14:textId="77777777" w:rsidTr="00052E03">
        <w:trPr>
          <w:cantSplit/>
        </w:trPr>
        <w:tc>
          <w:tcPr>
            <w:tcW w:w="2275" w:type="dxa"/>
            <w:shd w:val="clear" w:color="auto" w:fill="auto"/>
          </w:tcPr>
          <w:p w14:paraId="63B47AF0" w14:textId="77777777" w:rsidR="00330094" w:rsidRPr="00DE2694" w:rsidRDefault="002C2B48" w:rsidP="00354BD4">
            <w:pPr>
              <w:pStyle w:val="FormText"/>
              <w:ind w:firstLine="0"/>
              <w:rPr>
                <w:b w:val="0"/>
                <w:sz w:val="24"/>
                <w:szCs w:val="24"/>
              </w:rPr>
            </w:pPr>
            <w:r>
              <w:rPr>
                <w:b w:val="0"/>
                <w:sz w:val="24"/>
                <w:szCs w:val="24"/>
              </w:rPr>
              <w:t>Fetal a</w:t>
            </w:r>
            <w:r w:rsidR="00330094" w:rsidRPr="00DE2694">
              <w:rPr>
                <w:b w:val="0"/>
                <w:sz w:val="24"/>
                <w:szCs w:val="24"/>
              </w:rPr>
              <w:t>ssessment</w:t>
            </w:r>
          </w:p>
        </w:tc>
        <w:tc>
          <w:tcPr>
            <w:tcW w:w="7315" w:type="dxa"/>
            <w:shd w:val="clear" w:color="auto" w:fill="auto"/>
          </w:tcPr>
          <w:p w14:paraId="1DDD2367" w14:textId="77777777" w:rsidR="00330094" w:rsidRPr="00DE2694" w:rsidRDefault="00330094" w:rsidP="00354BD4">
            <w:pPr>
              <w:pStyle w:val="Bullet-Blank"/>
              <w:numPr>
                <w:ilvl w:val="0"/>
                <w:numId w:val="6"/>
              </w:numPr>
              <w:ind w:left="310" w:hanging="270"/>
              <w:rPr>
                <w:sz w:val="24"/>
                <w:szCs w:val="24"/>
              </w:rPr>
            </w:pPr>
            <w:r w:rsidRPr="00DE2694">
              <w:rPr>
                <w:sz w:val="24"/>
                <w:szCs w:val="24"/>
              </w:rPr>
              <w:t>Assess a 20-minute electronic fetal monitoring EFM tracing strip prior to the administration of oxytocin.</w:t>
            </w:r>
          </w:p>
          <w:p w14:paraId="47A3F491" w14:textId="77777777" w:rsidR="00330094" w:rsidRPr="00DE2694" w:rsidRDefault="00330094" w:rsidP="00354BD4">
            <w:pPr>
              <w:pStyle w:val="Bullet-Blank"/>
              <w:numPr>
                <w:ilvl w:val="0"/>
                <w:numId w:val="6"/>
              </w:numPr>
              <w:ind w:left="310" w:hanging="270"/>
              <w:rPr>
                <w:sz w:val="24"/>
                <w:szCs w:val="24"/>
              </w:rPr>
            </w:pPr>
            <w:r w:rsidRPr="00DE2694">
              <w:rPr>
                <w:sz w:val="24"/>
                <w:szCs w:val="24"/>
              </w:rPr>
              <w:t>Assess fetal presentation and station (fetal descent) prior to the administration of oxytocin.</w:t>
            </w:r>
          </w:p>
          <w:p w14:paraId="77EA49D2" w14:textId="77777777" w:rsidR="00330094" w:rsidRPr="00DE2694" w:rsidRDefault="00330094" w:rsidP="00354BD4">
            <w:pPr>
              <w:pStyle w:val="Bullet-Blank"/>
              <w:numPr>
                <w:ilvl w:val="0"/>
                <w:numId w:val="6"/>
              </w:numPr>
              <w:ind w:left="310" w:hanging="270"/>
              <w:rPr>
                <w:sz w:val="24"/>
                <w:szCs w:val="24"/>
              </w:rPr>
            </w:pPr>
            <w:r w:rsidRPr="00DE2694">
              <w:rPr>
                <w:sz w:val="24"/>
                <w:szCs w:val="24"/>
              </w:rPr>
              <w:t>During oxytocin infusion titration, assess fetal heart rate (FHR), contraction pattern, and intensity every 15 minutes.</w:t>
            </w:r>
          </w:p>
          <w:p w14:paraId="267A02C4" w14:textId="237B7B69" w:rsidR="009A68CB" w:rsidRPr="004A6DEF" w:rsidRDefault="00330094" w:rsidP="009A68CB">
            <w:pPr>
              <w:pStyle w:val="Bullet-Blank"/>
              <w:numPr>
                <w:ilvl w:val="0"/>
                <w:numId w:val="6"/>
              </w:numPr>
              <w:ind w:left="310" w:hanging="270"/>
              <w:rPr>
                <w:sz w:val="24"/>
                <w:szCs w:val="24"/>
              </w:rPr>
            </w:pPr>
            <w:r w:rsidRPr="00DE2694">
              <w:rPr>
                <w:sz w:val="24"/>
                <w:szCs w:val="24"/>
              </w:rPr>
              <w:t>Once an adequate contraction pattern is reached, assess FHR and contraction pattern and intensity every 30 minutes.</w:t>
            </w:r>
          </w:p>
          <w:p w14:paraId="721EF3BF" w14:textId="77777777" w:rsidR="009A68CB" w:rsidRPr="00DE2694" w:rsidRDefault="009A68CB" w:rsidP="009A68CB">
            <w:pPr>
              <w:pStyle w:val="Bullet-Blank"/>
              <w:rPr>
                <w:sz w:val="24"/>
                <w:szCs w:val="24"/>
              </w:rPr>
            </w:pPr>
          </w:p>
        </w:tc>
      </w:tr>
      <w:tr w:rsidR="009A68CB" w:rsidRPr="00DE2694" w14:paraId="39ECA88C" w14:textId="77777777" w:rsidTr="00052E03">
        <w:trPr>
          <w:cantSplit/>
          <w:trHeight w:val="8493"/>
        </w:trPr>
        <w:tc>
          <w:tcPr>
            <w:tcW w:w="2275" w:type="dxa"/>
            <w:shd w:val="clear" w:color="auto" w:fill="auto"/>
          </w:tcPr>
          <w:p w14:paraId="6892B4F6" w14:textId="320C4170" w:rsidR="009A68CB" w:rsidRPr="00DE2694" w:rsidRDefault="009A68CB" w:rsidP="009A68CB">
            <w:pPr>
              <w:pStyle w:val="FormText"/>
              <w:ind w:firstLine="0"/>
              <w:rPr>
                <w:b w:val="0"/>
                <w:sz w:val="24"/>
                <w:szCs w:val="24"/>
              </w:rPr>
            </w:pPr>
            <w:r w:rsidRPr="00DE2694">
              <w:rPr>
                <w:b w:val="0"/>
                <w:sz w:val="24"/>
                <w:szCs w:val="24"/>
              </w:rPr>
              <w:lastRenderedPageBreak/>
              <w:t xml:space="preserve">Maternal </w:t>
            </w:r>
            <w:r>
              <w:rPr>
                <w:b w:val="0"/>
                <w:sz w:val="24"/>
                <w:szCs w:val="24"/>
              </w:rPr>
              <w:t>a</w:t>
            </w:r>
            <w:r w:rsidRPr="00DE2694">
              <w:rPr>
                <w:b w:val="0"/>
                <w:sz w:val="24"/>
                <w:szCs w:val="24"/>
              </w:rPr>
              <w:t>ssessment</w:t>
            </w:r>
          </w:p>
        </w:tc>
        <w:tc>
          <w:tcPr>
            <w:tcW w:w="7315" w:type="dxa"/>
            <w:shd w:val="clear" w:color="auto" w:fill="auto"/>
          </w:tcPr>
          <w:p w14:paraId="5F352E76" w14:textId="77777777" w:rsidR="009A68CB" w:rsidRPr="00DE2694" w:rsidRDefault="009A68CB" w:rsidP="00354BD4">
            <w:pPr>
              <w:pStyle w:val="Bullet-Blank"/>
              <w:numPr>
                <w:ilvl w:val="0"/>
                <w:numId w:val="6"/>
              </w:numPr>
              <w:ind w:left="310" w:hanging="270"/>
              <w:rPr>
                <w:sz w:val="24"/>
                <w:szCs w:val="24"/>
              </w:rPr>
            </w:pPr>
            <w:r w:rsidRPr="00DE2694">
              <w:rPr>
                <w:sz w:val="24"/>
                <w:szCs w:val="24"/>
              </w:rPr>
              <w:t>Assess cervical status prior to the administration of oxytocin, noting—</w:t>
            </w:r>
          </w:p>
          <w:p w14:paraId="164450B1" w14:textId="77777777" w:rsidR="009A68CB" w:rsidRPr="00DE2694" w:rsidRDefault="009A68CB" w:rsidP="00354BD4">
            <w:pPr>
              <w:pStyle w:val="Bullet-Blank-2"/>
              <w:numPr>
                <w:ilvl w:val="1"/>
                <w:numId w:val="1"/>
              </w:numPr>
              <w:spacing w:after="120"/>
              <w:ind w:left="535" w:hanging="202"/>
              <w:rPr>
                <w:sz w:val="24"/>
                <w:szCs w:val="24"/>
                <w:lang w:bidi="ar-SA"/>
              </w:rPr>
            </w:pPr>
            <w:r w:rsidRPr="00DE2694">
              <w:rPr>
                <w:sz w:val="24"/>
                <w:szCs w:val="24"/>
              </w:rPr>
              <w:t>effacement</w:t>
            </w:r>
            <w:r w:rsidRPr="00DE2694">
              <w:rPr>
                <w:sz w:val="24"/>
                <w:szCs w:val="24"/>
                <w:lang w:bidi="ar-SA"/>
              </w:rPr>
              <w:t>,</w:t>
            </w:r>
          </w:p>
          <w:p w14:paraId="55D85863" w14:textId="77777777" w:rsidR="009A68CB" w:rsidRPr="00DE2694" w:rsidRDefault="009A68CB" w:rsidP="00354BD4">
            <w:pPr>
              <w:pStyle w:val="Bullet-Blank-2"/>
              <w:numPr>
                <w:ilvl w:val="1"/>
                <w:numId w:val="1"/>
              </w:numPr>
              <w:spacing w:after="120"/>
              <w:ind w:left="535" w:hanging="202"/>
              <w:rPr>
                <w:sz w:val="24"/>
                <w:szCs w:val="24"/>
              </w:rPr>
            </w:pPr>
            <w:r w:rsidRPr="00DE2694">
              <w:rPr>
                <w:sz w:val="24"/>
                <w:szCs w:val="24"/>
              </w:rPr>
              <w:t>dilation, and</w:t>
            </w:r>
          </w:p>
          <w:p w14:paraId="67C3AFBF" w14:textId="77777777" w:rsidR="009A68CB" w:rsidRPr="00DE2694" w:rsidRDefault="009A68CB" w:rsidP="00354BD4">
            <w:pPr>
              <w:pStyle w:val="Bullet-Blank-2"/>
              <w:numPr>
                <w:ilvl w:val="1"/>
                <w:numId w:val="1"/>
              </w:numPr>
              <w:spacing w:after="120"/>
              <w:ind w:left="535" w:hanging="202"/>
              <w:rPr>
                <w:sz w:val="24"/>
                <w:szCs w:val="24"/>
              </w:rPr>
            </w:pPr>
            <w:r w:rsidRPr="00DE2694">
              <w:rPr>
                <w:sz w:val="24"/>
                <w:szCs w:val="24"/>
              </w:rPr>
              <w:t>removal of cervical ripening devices</w:t>
            </w:r>
          </w:p>
          <w:p w14:paraId="593A0DCC" w14:textId="77777777" w:rsidR="009A68CB" w:rsidRPr="00DE2694" w:rsidRDefault="009A68CB" w:rsidP="00354BD4">
            <w:pPr>
              <w:pStyle w:val="Bullet-Blank"/>
              <w:numPr>
                <w:ilvl w:val="0"/>
                <w:numId w:val="6"/>
              </w:numPr>
              <w:ind w:left="310" w:hanging="270"/>
              <w:rPr>
                <w:sz w:val="24"/>
                <w:szCs w:val="24"/>
              </w:rPr>
            </w:pPr>
            <w:r w:rsidRPr="00DE2694">
              <w:rPr>
                <w:sz w:val="24"/>
                <w:szCs w:val="24"/>
              </w:rPr>
              <w:t>Assess blood pressure, pulse, respiratory rate every hour.</w:t>
            </w:r>
          </w:p>
          <w:p w14:paraId="23303C07" w14:textId="77777777" w:rsidR="009A68CB" w:rsidRPr="00DE2694" w:rsidRDefault="009A68CB" w:rsidP="00354BD4">
            <w:pPr>
              <w:pStyle w:val="Bullet-Blank"/>
              <w:numPr>
                <w:ilvl w:val="0"/>
                <w:numId w:val="6"/>
              </w:numPr>
              <w:ind w:left="310" w:hanging="270"/>
              <w:rPr>
                <w:sz w:val="24"/>
                <w:szCs w:val="24"/>
              </w:rPr>
            </w:pPr>
            <w:r w:rsidRPr="00DE2694">
              <w:rPr>
                <w:sz w:val="24"/>
                <w:szCs w:val="24"/>
              </w:rPr>
              <w:t>Assess intake and output every 4 hours.</w:t>
            </w:r>
          </w:p>
          <w:p w14:paraId="0C7BA81F" w14:textId="77777777" w:rsidR="009A68CB" w:rsidRPr="00DE2694" w:rsidRDefault="009A68CB" w:rsidP="00354BD4">
            <w:pPr>
              <w:pStyle w:val="Bullet-Blank"/>
              <w:numPr>
                <w:ilvl w:val="0"/>
                <w:numId w:val="6"/>
              </w:numPr>
              <w:ind w:left="310" w:hanging="270"/>
              <w:rPr>
                <w:sz w:val="24"/>
                <w:szCs w:val="24"/>
              </w:rPr>
            </w:pPr>
            <w:r w:rsidRPr="00DE2694">
              <w:rPr>
                <w:sz w:val="24"/>
                <w:szCs w:val="24"/>
              </w:rPr>
              <w:t>Monitor for signs of uterine hypertonus, tachysystole, and uterine rupture: tachysystole (more than five contractions in a 10-minute window, averaged over 30 minutes)</w:t>
            </w:r>
            <w:r w:rsidRPr="00DE2694">
              <w:rPr>
                <w:rFonts w:ascii="MS Gothic" w:eastAsia="MS Gothic" w:hAnsi="MS Gothic" w:cs="MS Gothic" w:hint="eastAsia"/>
                <w:sz w:val="24"/>
                <w:szCs w:val="24"/>
              </w:rPr>
              <w:t> </w:t>
            </w:r>
          </w:p>
          <w:p w14:paraId="7EED5CFD" w14:textId="77777777" w:rsidR="009A68CB" w:rsidRPr="00DE2694" w:rsidRDefault="009A68CB" w:rsidP="00354BD4">
            <w:pPr>
              <w:pStyle w:val="Bullet-Blank-2"/>
              <w:numPr>
                <w:ilvl w:val="1"/>
                <w:numId w:val="1"/>
              </w:numPr>
              <w:spacing w:after="120"/>
              <w:ind w:left="535" w:hanging="202"/>
              <w:rPr>
                <w:sz w:val="24"/>
                <w:szCs w:val="24"/>
                <w:lang w:bidi="ar-SA"/>
              </w:rPr>
            </w:pPr>
            <w:r>
              <w:rPr>
                <w:sz w:val="24"/>
                <w:szCs w:val="24"/>
                <w:lang w:bidi="ar-SA"/>
              </w:rPr>
              <w:t>u</w:t>
            </w:r>
            <w:r w:rsidRPr="00DE2694">
              <w:rPr>
                <w:sz w:val="24"/>
                <w:szCs w:val="24"/>
                <w:lang w:bidi="ar-SA"/>
              </w:rPr>
              <w:t xml:space="preserve">terine hypertonus (resting tone greater than 20mmHg; verify with </w:t>
            </w:r>
            <w:r w:rsidRPr="00DE2694">
              <w:rPr>
                <w:sz w:val="24"/>
                <w:szCs w:val="24"/>
              </w:rPr>
              <w:t>internal</w:t>
            </w:r>
            <w:r w:rsidRPr="00DE2694">
              <w:rPr>
                <w:sz w:val="24"/>
                <w:szCs w:val="24"/>
                <w:lang w:bidi="ar-SA"/>
              </w:rPr>
              <w:t xml:space="preserve"> monitor)</w:t>
            </w:r>
          </w:p>
          <w:p w14:paraId="73154ACC" w14:textId="77777777" w:rsidR="009A68CB" w:rsidRPr="00DE2694" w:rsidRDefault="009A68CB" w:rsidP="00354BD4">
            <w:pPr>
              <w:pStyle w:val="Bullet-Blank-2"/>
              <w:numPr>
                <w:ilvl w:val="1"/>
                <w:numId w:val="1"/>
              </w:numPr>
              <w:spacing w:after="120"/>
              <w:ind w:left="535" w:hanging="202"/>
              <w:rPr>
                <w:sz w:val="24"/>
                <w:szCs w:val="24"/>
                <w:lang w:bidi="ar-SA"/>
              </w:rPr>
            </w:pPr>
            <w:r>
              <w:rPr>
                <w:sz w:val="24"/>
                <w:szCs w:val="24"/>
              </w:rPr>
              <w:t>a</w:t>
            </w:r>
            <w:r w:rsidRPr="00DE2694">
              <w:rPr>
                <w:sz w:val="24"/>
                <w:szCs w:val="24"/>
              </w:rPr>
              <w:t>bdominal</w:t>
            </w:r>
            <w:r w:rsidRPr="00DE2694">
              <w:rPr>
                <w:sz w:val="24"/>
                <w:szCs w:val="24"/>
                <w:lang w:bidi="ar-SA"/>
              </w:rPr>
              <w:t xml:space="preserve"> rigidity and pain</w:t>
            </w:r>
          </w:p>
          <w:p w14:paraId="12E35BBD" w14:textId="77777777" w:rsidR="009A68CB" w:rsidRPr="00DE2694" w:rsidRDefault="009A68CB" w:rsidP="00354BD4">
            <w:pPr>
              <w:pStyle w:val="Bullet-Blank-2"/>
              <w:numPr>
                <w:ilvl w:val="1"/>
                <w:numId w:val="1"/>
              </w:numPr>
              <w:spacing w:after="120"/>
              <w:ind w:left="535" w:hanging="202"/>
              <w:rPr>
                <w:sz w:val="24"/>
                <w:szCs w:val="24"/>
                <w:lang w:bidi="ar-SA"/>
              </w:rPr>
            </w:pPr>
            <w:r>
              <w:rPr>
                <w:sz w:val="24"/>
                <w:szCs w:val="24"/>
              </w:rPr>
              <w:t>h</w:t>
            </w:r>
            <w:r w:rsidRPr="00DE2694">
              <w:rPr>
                <w:sz w:val="24"/>
                <w:szCs w:val="24"/>
              </w:rPr>
              <w:t>ypotension</w:t>
            </w:r>
          </w:p>
          <w:p w14:paraId="37431D3B" w14:textId="77777777" w:rsidR="009A68CB" w:rsidRPr="00DE2694" w:rsidRDefault="009A68CB" w:rsidP="00354BD4">
            <w:pPr>
              <w:pStyle w:val="Bullet-Blank-2"/>
              <w:numPr>
                <w:ilvl w:val="1"/>
                <w:numId w:val="1"/>
              </w:numPr>
              <w:spacing w:after="120"/>
              <w:ind w:left="535" w:hanging="202"/>
              <w:rPr>
                <w:sz w:val="24"/>
                <w:szCs w:val="24"/>
                <w:lang w:bidi="ar-SA"/>
              </w:rPr>
            </w:pPr>
            <w:r>
              <w:rPr>
                <w:sz w:val="24"/>
                <w:szCs w:val="24"/>
              </w:rPr>
              <w:t>t</w:t>
            </w:r>
            <w:r w:rsidRPr="00DE2694">
              <w:rPr>
                <w:sz w:val="24"/>
                <w:szCs w:val="24"/>
              </w:rPr>
              <w:t>achycardia</w:t>
            </w:r>
          </w:p>
          <w:p w14:paraId="4C52397B" w14:textId="77777777" w:rsidR="009A68CB" w:rsidRPr="00DE2694" w:rsidRDefault="009A68CB" w:rsidP="00354BD4">
            <w:pPr>
              <w:pStyle w:val="Bullet-Blank-2"/>
              <w:numPr>
                <w:ilvl w:val="1"/>
                <w:numId w:val="1"/>
              </w:numPr>
              <w:spacing w:after="120"/>
              <w:ind w:left="535" w:hanging="202"/>
              <w:rPr>
                <w:sz w:val="24"/>
                <w:szCs w:val="24"/>
                <w:lang w:bidi="ar-SA"/>
              </w:rPr>
            </w:pPr>
            <w:r>
              <w:rPr>
                <w:sz w:val="24"/>
                <w:szCs w:val="24"/>
              </w:rPr>
              <w:t>v</w:t>
            </w:r>
            <w:r w:rsidRPr="00DE2694">
              <w:rPr>
                <w:sz w:val="24"/>
                <w:szCs w:val="24"/>
              </w:rPr>
              <w:t>aginal</w:t>
            </w:r>
            <w:r w:rsidRPr="00DE2694">
              <w:rPr>
                <w:sz w:val="24"/>
                <w:szCs w:val="24"/>
                <w:lang w:bidi="ar-SA"/>
              </w:rPr>
              <w:t xml:space="preserve"> bleeding </w:t>
            </w:r>
          </w:p>
          <w:p w14:paraId="09741055" w14:textId="77777777" w:rsidR="009A68CB" w:rsidRPr="00DE2694" w:rsidRDefault="009A68CB" w:rsidP="00354BD4">
            <w:pPr>
              <w:pStyle w:val="Bullet-Blank"/>
              <w:numPr>
                <w:ilvl w:val="0"/>
                <w:numId w:val="6"/>
              </w:numPr>
              <w:ind w:left="310" w:hanging="270"/>
              <w:rPr>
                <w:sz w:val="24"/>
                <w:szCs w:val="24"/>
              </w:rPr>
            </w:pPr>
            <w:r w:rsidRPr="00DE2694">
              <w:rPr>
                <w:sz w:val="24"/>
                <w:szCs w:val="24"/>
              </w:rPr>
              <w:t>Monitor for signs of water intoxication:</w:t>
            </w:r>
          </w:p>
          <w:p w14:paraId="44A34EE4" w14:textId="77777777" w:rsidR="009A68CB" w:rsidRPr="00DE2694" w:rsidRDefault="009A68CB" w:rsidP="00354BD4">
            <w:pPr>
              <w:pStyle w:val="Bullet-Blank-2"/>
              <w:numPr>
                <w:ilvl w:val="1"/>
                <w:numId w:val="1"/>
              </w:numPr>
              <w:spacing w:after="120"/>
              <w:ind w:left="535" w:hanging="202"/>
              <w:rPr>
                <w:sz w:val="24"/>
                <w:szCs w:val="24"/>
              </w:rPr>
            </w:pPr>
            <w:r>
              <w:rPr>
                <w:sz w:val="24"/>
                <w:szCs w:val="24"/>
              </w:rPr>
              <w:t>h</w:t>
            </w:r>
            <w:r w:rsidRPr="00DE2694">
              <w:rPr>
                <w:sz w:val="24"/>
                <w:szCs w:val="24"/>
              </w:rPr>
              <w:t>eadache</w:t>
            </w:r>
          </w:p>
          <w:p w14:paraId="48165BA4" w14:textId="77777777" w:rsidR="009A68CB" w:rsidRPr="00DE2694" w:rsidRDefault="009A68CB" w:rsidP="00354BD4">
            <w:pPr>
              <w:pStyle w:val="Bullet-Blank-2"/>
              <w:numPr>
                <w:ilvl w:val="1"/>
                <w:numId w:val="1"/>
              </w:numPr>
              <w:spacing w:after="120"/>
              <w:ind w:left="535" w:hanging="202"/>
              <w:rPr>
                <w:sz w:val="24"/>
                <w:szCs w:val="24"/>
              </w:rPr>
            </w:pPr>
            <w:r>
              <w:rPr>
                <w:sz w:val="24"/>
                <w:szCs w:val="24"/>
              </w:rPr>
              <w:t>n</w:t>
            </w:r>
            <w:r w:rsidRPr="00DE2694">
              <w:rPr>
                <w:sz w:val="24"/>
                <w:szCs w:val="24"/>
              </w:rPr>
              <w:t>ausea and vomiting</w:t>
            </w:r>
          </w:p>
          <w:p w14:paraId="1CC6821D" w14:textId="77777777" w:rsidR="009A68CB" w:rsidRPr="00DE2694" w:rsidRDefault="009A68CB" w:rsidP="00354BD4">
            <w:pPr>
              <w:pStyle w:val="Bullet-Blank-2"/>
              <w:numPr>
                <w:ilvl w:val="1"/>
                <w:numId w:val="1"/>
              </w:numPr>
              <w:spacing w:after="120"/>
              <w:ind w:left="535" w:hanging="202"/>
              <w:rPr>
                <w:sz w:val="24"/>
                <w:szCs w:val="24"/>
              </w:rPr>
            </w:pPr>
            <w:r>
              <w:rPr>
                <w:sz w:val="24"/>
                <w:szCs w:val="24"/>
              </w:rPr>
              <w:t>c</w:t>
            </w:r>
            <w:r w:rsidRPr="00DE2694">
              <w:rPr>
                <w:sz w:val="24"/>
                <w:szCs w:val="24"/>
              </w:rPr>
              <w:t>onfusion</w:t>
            </w:r>
          </w:p>
          <w:p w14:paraId="067A5CB8" w14:textId="77777777" w:rsidR="009A68CB" w:rsidRPr="00DE2694" w:rsidRDefault="009A68CB" w:rsidP="00354BD4">
            <w:pPr>
              <w:pStyle w:val="Bullet-Blank-2"/>
              <w:numPr>
                <w:ilvl w:val="1"/>
                <w:numId w:val="1"/>
              </w:numPr>
              <w:spacing w:after="120"/>
              <w:ind w:left="535" w:hanging="202"/>
              <w:rPr>
                <w:sz w:val="24"/>
                <w:szCs w:val="24"/>
              </w:rPr>
            </w:pPr>
            <w:r>
              <w:rPr>
                <w:sz w:val="24"/>
                <w:szCs w:val="24"/>
              </w:rPr>
              <w:t>d</w:t>
            </w:r>
            <w:r w:rsidRPr="00DE2694">
              <w:rPr>
                <w:sz w:val="24"/>
                <w:szCs w:val="24"/>
              </w:rPr>
              <w:t>ecreased urine output (&lt;30mL/hr)</w:t>
            </w:r>
          </w:p>
          <w:p w14:paraId="1F43AB94" w14:textId="77777777" w:rsidR="009A68CB" w:rsidRPr="00DE2694" w:rsidRDefault="009A68CB" w:rsidP="00354BD4">
            <w:pPr>
              <w:pStyle w:val="Bullet-Blank-2"/>
              <w:numPr>
                <w:ilvl w:val="1"/>
                <w:numId w:val="1"/>
              </w:numPr>
              <w:spacing w:after="120"/>
              <w:ind w:left="535" w:hanging="202"/>
              <w:rPr>
                <w:sz w:val="24"/>
                <w:szCs w:val="24"/>
              </w:rPr>
            </w:pPr>
            <w:r>
              <w:rPr>
                <w:sz w:val="24"/>
                <w:szCs w:val="24"/>
              </w:rPr>
              <w:t>h</w:t>
            </w:r>
            <w:r w:rsidRPr="00DE2694">
              <w:rPr>
                <w:sz w:val="24"/>
                <w:szCs w:val="24"/>
              </w:rPr>
              <w:t>ypotension</w:t>
            </w:r>
          </w:p>
          <w:p w14:paraId="24C5236C" w14:textId="021A111B" w:rsidR="009A68CB" w:rsidRPr="00DE2694" w:rsidRDefault="009A68CB" w:rsidP="00354BD4">
            <w:pPr>
              <w:pStyle w:val="Bullet-Blank-2"/>
              <w:numPr>
                <w:ilvl w:val="1"/>
                <w:numId w:val="1"/>
              </w:numPr>
              <w:spacing w:after="120"/>
              <w:ind w:left="535" w:hanging="202"/>
              <w:rPr>
                <w:sz w:val="24"/>
                <w:szCs w:val="24"/>
                <w:lang w:bidi="ar-SA"/>
              </w:rPr>
            </w:pPr>
            <w:r>
              <w:rPr>
                <w:sz w:val="24"/>
                <w:szCs w:val="24"/>
              </w:rPr>
              <w:t>t</w:t>
            </w:r>
            <w:r w:rsidRPr="00DE2694">
              <w:rPr>
                <w:sz w:val="24"/>
                <w:szCs w:val="24"/>
              </w:rPr>
              <w:t>achycardia, cardiac arrhythmias</w:t>
            </w:r>
          </w:p>
        </w:tc>
      </w:tr>
      <w:tr w:rsidR="00330094" w:rsidRPr="00DE2694" w14:paraId="0FC75AA6" w14:textId="77777777" w:rsidTr="00052E03">
        <w:trPr>
          <w:cantSplit/>
        </w:trPr>
        <w:tc>
          <w:tcPr>
            <w:tcW w:w="2275" w:type="dxa"/>
            <w:shd w:val="clear" w:color="auto" w:fill="auto"/>
          </w:tcPr>
          <w:p w14:paraId="67A93FE7" w14:textId="77777777" w:rsidR="00330094" w:rsidRPr="00DE2694" w:rsidRDefault="00330094" w:rsidP="00354BD4">
            <w:pPr>
              <w:pStyle w:val="FormText"/>
              <w:rPr>
                <w:sz w:val="24"/>
                <w:szCs w:val="24"/>
              </w:rPr>
            </w:pPr>
            <w:r w:rsidRPr="00DE2694">
              <w:rPr>
                <w:sz w:val="24"/>
                <w:szCs w:val="24"/>
              </w:rPr>
              <w:t>3.</w:t>
            </w:r>
            <w:r w:rsidRPr="00DE2694">
              <w:rPr>
                <w:sz w:val="24"/>
                <w:szCs w:val="24"/>
              </w:rPr>
              <w:tab/>
              <w:t>Provider notification parameters and standing orders for response to complications</w:t>
            </w:r>
          </w:p>
        </w:tc>
        <w:tc>
          <w:tcPr>
            <w:tcW w:w="7315" w:type="dxa"/>
            <w:shd w:val="clear" w:color="auto" w:fill="auto"/>
          </w:tcPr>
          <w:p w14:paraId="630568D7" w14:textId="77777777" w:rsidR="00EA3188" w:rsidRPr="002C2B48" w:rsidRDefault="00EA3188" w:rsidP="002C2B48">
            <w:pPr>
              <w:pStyle w:val="Bullet-Blank"/>
              <w:rPr>
                <w:sz w:val="24"/>
                <w:szCs w:val="24"/>
                <w:u w:val="single"/>
              </w:rPr>
            </w:pPr>
            <w:r w:rsidRPr="002C2B48">
              <w:rPr>
                <w:sz w:val="24"/>
                <w:szCs w:val="24"/>
                <w:u w:val="single"/>
              </w:rPr>
              <w:t xml:space="preserve">Provider </w:t>
            </w:r>
            <w:r>
              <w:rPr>
                <w:sz w:val="24"/>
                <w:szCs w:val="24"/>
                <w:u w:val="single"/>
              </w:rPr>
              <w:t>N</w:t>
            </w:r>
            <w:r w:rsidRPr="002C2B48">
              <w:rPr>
                <w:sz w:val="24"/>
                <w:szCs w:val="24"/>
                <w:u w:val="single"/>
              </w:rPr>
              <w:t xml:space="preserve">otification </w:t>
            </w:r>
            <w:r>
              <w:rPr>
                <w:sz w:val="24"/>
                <w:szCs w:val="24"/>
                <w:u w:val="single"/>
              </w:rPr>
              <w:t>P</w:t>
            </w:r>
            <w:r w:rsidRPr="002C2B48">
              <w:rPr>
                <w:sz w:val="24"/>
                <w:szCs w:val="24"/>
                <w:u w:val="single"/>
              </w:rPr>
              <w:t>arameters</w:t>
            </w:r>
          </w:p>
          <w:p w14:paraId="6193FDD5" w14:textId="77777777" w:rsidR="00330094" w:rsidRPr="00DE2694" w:rsidRDefault="00EA3188" w:rsidP="00354BD4">
            <w:pPr>
              <w:pStyle w:val="Bullet-Blank"/>
              <w:numPr>
                <w:ilvl w:val="0"/>
                <w:numId w:val="6"/>
              </w:numPr>
              <w:ind w:left="580" w:hanging="270"/>
              <w:rPr>
                <w:sz w:val="24"/>
                <w:szCs w:val="24"/>
              </w:rPr>
            </w:pPr>
            <w:r>
              <w:rPr>
                <w:sz w:val="24"/>
                <w:szCs w:val="24"/>
              </w:rPr>
              <w:t>t</w:t>
            </w:r>
            <w:r w:rsidR="00330094" w:rsidRPr="00DE2694">
              <w:rPr>
                <w:sz w:val="24"/>
                <w:szCs w:val="24"/>
              </w:rPr>
              <w:t>achysystole</w:t>
            </w:r>
            <w:r>
              <w:rPr>
                <w:sz w:val="24"/>
                <w:szCs w:val="24"/>
              </w:rPr>
              <w:t xml:space="preserve"> (</w:t>
            </w:r>
            <w:r w:rsidR="00330094" w:rsidRPr="00DE2694">
              <w:rPr>
                <w:sz w:val="24"/>
                <w:szCs w:val="24"/>
              </w:rPr>
              <w:t>more than five contractions within 10 minutes, averaged over a 30-minute window</w:t>
            </w:r>
            <w:r>
              <w:rPr>
                <w:sz w:val="24"/>
                <w:szCs w:val="24"/>
              </w:rPr>
              <w:t>)</w:t>
            </w:r>
          </w:p>
          <w:p w14:paraId="057DCCA5" w14:textId="77777777" w:rsidR="00330094" w:rsidRPr="00DE2694" w:rsidRDefault="00330094" w:rsidP="00354BD4">
            <w:pPr>
              <w:pStyle w:val="Bullet-Blank"/>
              <w:numPr>
                <w:ilvl w:val="0"/>
                <w:numId w:val="6"/>
              </w:numPr>
              <w:ind w:left="580" w:hanging="270"/>
              <w:rPr>
                <w:sz w:val="24"/>
                <w:szCs w:val="24"/>
              </w:rPr>
            </w:pPr>
            <w:r w:rsidRPr="00DE2694">
              <w:rPr>
                <w:sz w:val="24"/>
                <w:szCs w:val="24"/>
              </w:rPr>
              <w:t>contractions lasting 2 minutes or more</w:t>
            </w:r>
          </w:p>
          <w:p w14:paraId="46207782" w14:textId="77777777" w:rsidR="00330094" w:rsidRPr="00DE2694" w:rsidRDefault="00330094" w:rsidP="00354BD4">
            <w:pPr>
              <w:pStyle w:val="Bullet-Blank"/>
              <w:numPr>
                <w:ilvl w:val="0"/>
                <w:numId w:val="6"/>
              </w:numPr>
              <w:ind w:left="580" w:hanging="270"/>
              <w:rPr>
                <w:sz w:val="24"/>
                <w:szCs w:val="24"/>
              </w:rPr>
            </w:pPr>
            <w:r w:rsidRPr="00DE2694">
              <w:rPr>
                <w:sz w:val="24"/>
                <w:szCs w:val="24"/>
              </w:rPr>
              <w:t>contractions of normal duration occurring within 1 minute of one another</w:t>
            </w:r>
          </w:p>
          <w:p w14:paraId="66959E73" w14:textId="77777777" w:rsidR="00330094" w:rsidRPr="00DE2694" w:rsidRDefault="00330094" w:rsidP="00354BD4">
            <w:pPr>
              <w:pStyle w:val="Bullet-Blank"/>
              <w:numPr>
                <w:ilvl w:val="0"/>
                <w:numId w:val="6"/>
              </w:numPr>
              <w:ind w:left="580" w:hanging="270"/>
              <w:rPr>
                <w:sz w:val="24"/>
                <w:szCs w:val="24"/>
              </w:rPr>
            </w:pPr>
            <w:r w:rsidRPr="00DE2694">
              <w:rPr>
                <w:sz w:val="24"/>
                <w:szCs w:val="24"/>
              </w:rPr>
              <w:t>insufficient return of uterine resting tone between contractions or via palpation</w:t>
            </w:r>
          </w:p>
          <w:p w14:paraId="14EC9505" w14:textId="77777777" w:rsidR="00330094" w:rsidRDefault="00330094" w:rsidP="00354BD4">
            <w:pPr>
              <w:pStyle w:val="Bullet-Blank"/>
              <w:numPr>
                <w:ilvl w:val="0"/>
                <w:numId w:val="6"/>
              </w:numPr>
              <w:ind w:left="580" w:hanging="270"/>
              <w:rPr>
                <w:sz w:val="24"/>
                <w:szCs w:val="24"/>
              </w:rPr>
            </w:pPr>
            <w:r w:rsidRPr="00DE2694">
              <w:rPr>
                <w:sz w:val="24"/>
                <w:szCs w:val="24"/>
              </w:rPr>
              <w:t xml:space="preserve">intraamniotic pressure above 25 mmHg between contractions via </w:t>
            </w:r>
            <w:r w:rsidR="00EA3188">
              <w:rPr>
                <w:sz w:val="24"/>
                <w:szCs w:val="24"/>
              </w:rPr>
              <w:t>i</w:t>
            </w:r>
            <w:r w:rsidRPr="00DE2694">
              <w:rPr>
                <w:sz w:val="24"/>
                <w:szCs w:val="24"/>
              </w:rPr>
              <w:t xml:space="preserve">ntrauterine </w:t>
            </w:r>
            <w:r w:rsidR="00EA3188">
              <w:rPr>
                <w:sz w:val="24"/>
                <w:szCs w:val="24"/>
              </w:rPr>
              <w:t>p</w:t>
            </w:r>
            <w:r w:rsidRPr="00DE2694">
              <w:rPr>
                <w:sz w:val="24"/>
                <w:szCs w:val="24"/>
              </w:rPr>
              <w:t xml:space="preserve">ressure </w:t>
            </w:r>
            <w:r w:rsidR="00EA3188">
              <w:rPr>
                <w:sz w:val="24"/>
                <w:szCs w:val="24"/>
              </w:rPr>
              <w:t>c</w:t>
            </w:r>
            <w:r w:rsidRPr="00DE2694">
              <w:rPr>
                <w:sz w:val="24"/>
                <w:szCs w:val="24"/>
              </w:rPr>
              <w:t>atheter</w:t>
            </w:r>
          </w:p>
          <w:p w14:paraId="034EDE99" w14:textId="77777777" w:rsidR="00377F5F" w:rsidRDefault="00377F5F" w:rsidP="00377F5F">
            <w:pPr>
              <w:pStyle w:val="Bullet-Blank"/>
              <w:rPr>
                <w:sz w:val="24"/>
                <w:szCs w:val="24"/>
              </w:rPr>
            </w:pPr>
          </w:p>
          <w:p w14:paraId="1EDFEE58" w14:textId="2D76D40A" w:rsidR="00330094" w:rsidRPr="00DE2694" w:rsidRDefault="00330094" w:rsidP="00377F5F">
            <w:pPr>
              <w:pStyle w:val="Bullet-Blank"/>
              <w:rPr>
                <w:sz w:val="24"/>
                <w:szCs w:val="24"/>
              </w:rPr>
            </w:pPr>
          </w:p>
        </w:tc>
      </w:tr>
      <w:tr w:rsidR="00377F5F" w:rsidRPr="00DE2694" w14:paraId="7655917D" w14:textId="77777777" w:rsidTr="00052E03">
        <w:trPr>
          <w:cantSplit/>
        </w:trPr>
        <w:tc>
          <w:tcPr>
            <w:tcW w:w="2275" w:type="dxa"/>
            <w:shd w:val="clear" w:color="auto" w:fill="auto"/>
          </w:tcPr>
          <w:p w14:paraId="2E578E8D" w14:textId="3A6BC601" w:rsidR="00377F5F" w:rsidRPr="00DE2694" w:rsidRDefault="00377F5F" w:rsidP="00354BD4">
            <w:pPr>
              <w:pStyle w:val="FormText"/>
              <w:rPr>
                <w:sz w:val="24"/>
                <w:szCs w:val="24"/>
              </w:rPr>
            </w:pPr>
            <w:r w:rsidRPr="00DE2694">
              <w:rPr>
                <w:sz w:val="24"/>
                <w:szCs w:val="24"/>
              </w:rPr>
              <w:lastRenderedPageBreak/>
              <w:t>3.</w:t>
            </w:r>
            <w:r w:rsidRPr="00DE2694">
              <w:rPr>
                <w:sz w:val="24"/>
                <w:szCs w:val="24"/>
              </w:rPr>
              <w:tab/>
              <w:t>Provider notification parameters and standing orders for response to complications</w:t>
            </w:r>
            <w:r>
              <w:rPr>
                <w:sz w:val="24"/>
                <w:szCs w:val="24"/>
              </w:rPr>
              <w:t xml:space="preserve"> (continued)</w:t>
            </w:r>
          </w:p>
        </w:tc>
        <w:tc>
          <w:tcPr>
            <w:tcW w:w="7315" w:type="dxa"/>
            <w:shd w:val="clear" w:color="auto" w:fill="auto"/>
          </w:tcPr>
          <w:p w14:paraId="42B152C2" w14:textId="77777777" w:rsidR="00377F5F" w:rsidRPr="002C2B48" w:rsidRDefault="00377F5F" w:rsidP="00377F5F">
            <w:pPr>
              <w:pStyle w:val="Bullet-Blank"/>
              <w:rPr>
                <w:sz w:val="24"/>
                <w:szCs w:val="24"/>
                <w:u w:val="single"/>
              </w:rPr>
            </w:pPr>
            <w:r>
              <w:rPr>
                <w:sz w:val="24"/>
                <w:szCs w:val="24"/>
                <w:u w:val="single"/>
              </w:rPr>
              <w:t>Standing Orders for Response to Complications</w:t>
            </w:r>
          </w:p>
          <w:p w14:paraId="27C0AF20" w14:textId="77777777" w:rsidR="00377F5F" w:rsidRPr="00DE2694" w:rsidRDefault="00377F5F" w:rsidP="00377F5F">
            <w:pPr>
              <w:pStyle w:val="Bullet-Blank"/>
              <w:rPr>
                <w:sz w:val="24"/>
                <w:szCs w:val="24"/>
              </w:rPr>
            </w:pPr>
            <w:r w:rsidRPr="00DE2694">
              <w:rPr>
                <w:sz w:val="24"/>
                <w:szCs w:val="24"/>
              </w:rPr>
              <w:t>For tachysystole, the following should be implemented as standing physician orders so that nurses can implement without delay:</w:t>
            </w:r>
          </w:p>
          <w:p w14:paraId="260B1F84" w14:textId="77777777" w:rsidR="00377F5F" w:rsidRPr="00DE2694" w:rsidRDefault="00377F5F" w:rsidP="00377F5F">
            <w:pPr>
              <w:pStyle w:val="FormTextNoBold"/>
              <w:spacing w:before="120"/>
              <w:ind w:left="40" w:firstLine="0"/>
              <w:rPr>
                <w:i/>
                <w:sz w:val="24"/>
                <w:szCs w:val="24"/>
              </w:rPr>
            </w:pPr>
            <w:r w:rsidRPr="00DE2694">
              <w:rPr>
                <w:i/>
                <w:sz w:val="24"/>
                <w:szCs w:val="24"/>
              </w:rPr>
              <w:t>For Category I FHR pattern and tachysystole:</w:t>
            </w:r>
          </w:p>
          <w:p w14:paraId="13C4C9F9" w14:textId="77777777" w:rsidR="00377F5F" w:rsidRPr="00DE2694" w:rsidRDefault="00377F5F" w:rsidP="00377F5F">
            <w:pPr>
              <w:pStyle w:val="Bullet-Blank"/>
              <w:numPr>
                <w:ilvl w:val="0"/>
                <w:numId w:val="6"/>
              </w:numPr>
              <w:ind w:left="580" w:hanging="270"/>
              <w:rPr>
                <w:sz w:val="24"/>
                <w:szCs w:val="24"/>
              </w:rPr>
            </w:pPr>
            <w:r w:rsidRPr="00DE2694">
              <w:rPr>
                <w:sz w:val="24"/>
                <w:szCs w:val="24"/>
              </w:rPr>
              <w:t>Turn patient to left (preferable) or right lateral position.</w:t>
            </w:r>
            <w:r w:rsidRPr="00DE2694">
              <w:rPr>
                <w:rFonts w:ascii="MS Gothic" w:eastAsia="MS Gothic" w:hAnsi="MS Gothic" w:cs="MS Gothic" w:hint="eastAsia"/>
                <w:sz w:val="24"/>
                <w:szCs w:val="24"/>
              </w:rPr>
              <w:t> </w:t>
            </w:r>
          </w:p>
          <w:p w14:paraId="7F84FFB7" w14:textId="77777777" w:rsidR="00377F5F" w:rsidRPr="00DE2694" w:rsidRDefault="00377F5F" w:rsidP="00377F5F">
            <w:pPr>
              <w:pStyle w:val="Bullet-Blank"/>
              <w:numPr>
                <w:ilvl w:val="0"/>
                <w:numId w:val="6"/>
              </w:numPr>
              <w:ind w:left="580" w:hanging="270"/>
              <w:rPr>
                <w:sz w:val="24"/>
                <w:szCs w:val="24"/>
              </w:rPr>
            </w:pPr>
            <w:r w:rsidRPr="00DE2694">
              <w:rPr>
                <w:sz w:val="24"/>
                <w:szCs w:val="24"/>
              </w:rPr>
              <w:t>Increase maintenance IV rate or administer 500 cc LR IV bolus.</w:t>
            </w:r>
          </w:p>
          <w:p w14:paraId="2C52FA68" w14:textId="77777777" w:rsidR="00377F5F" w:rsidRPr="00DE2694" w:rsidRDefault="00377F5F" w:rsidP="00377F5F">
            <w:pPr>
              <w:pStyle w:val="FormTextNoBold"/>
              <w:spacing w:before="120" w:after="120"/>
              <w:ind w:left="43" w:firstLine="0"/>
              <w:rPr>
                <w:sz w:val="24"/>
                <w:szCs w:val="24"/>
              </w:rPr>
            </w:pPr>
            <w:r w:rsidRPr="00DE2694">
              <w:rPr>
                <w:b/>
                <w:sz w:val="24"/>
                <w:szCs w:val="24"/>
              </w:rPr>
              <w:t>Note:</w:t>
            </w:r>
            <w:r w:rsidRPr="00DE2694">
              <w:rPr>
                <w:sz w:val="24"/>
                <w:szCs w:val="24"/>
              </w:rPr>
              <w:t xml:space="preserve"> Consider any fluid restrictions the patient may have.</w:t>
            </w:r>
          </w:p>
          <w:p w14:paraId="065D230E" w14:textId="77777777" w:rsidR="00377F5F" w:rsidRPr="00DE2694" w:rsidRDefault="00377F5F" w:rsidP="00377F5F">
            <w:pPr>
              <w:pStyle w:val="FormTextNoBold"/>
              <w:spacing w:before="120" w:after="120"/>
              <w:ind w:left="43" w:firstLine="0"/>
              <w:rPr>
                <w:sz w:val="24"/>
                <w:szCs w:val="24"/>
              </w:rPr>
            </w:pPr>
            <w:r w:rsidRPr="00DE2694">
              <w:rPr>
                <w:sz w:val="24"/>
                <w:szCs w:val="24"/>
              </w:rPr>
              <w:t>If uterine activity does not return to normal after 10 minutes, decrease the oxytocin rate by at least half; if uterine activity has not returned to normal after 10 more minutes, discontinue the oxytocin until uterine activity is less than five contractions in 10 minutes.</w:t>
            </w:r>
          </w:p>
          <w:p w14:paraId="3E167733" w14:textId="77777777" w:rsidR="00377F5F" w:rsidRPr="00DE2694" w:rsidRDefault="00377F5F" w:rsidP="00377F5F">
            <w:pPr>
              <w:pStyle w:val="FormTextNoBold"/>
              <w:spacing w:before="120"/>
              <w:ind w:left="40" w:firstLine="0"/>
              <w:rPr>
                <w:i/>
                <w:sz w:val="24"/>
                <w:szCs w:val="24"/>
              </w:rPr>
            </w:pPr>
            <w:r w:rsidRPr="00DE2694">
              <w:rPr>
                <w:i/>
                <w:sz w:val="24"/>
                <w:szCs w:val="24"/>
              </w:rPr>
              <w:t>For Category II and III FHR and tachysystole:</w:t>
            </w:r>
          </w:p>
          <w:p w14:paraId="7EE7B252" w14:textId="77777777" w:rsidR="00377F5F" w:rsidRPr="00DE2694" w:rsidRDefault="00377F5F" w:rsidP="00377F5F">
            <w:pPr>
              <w:pStyle w:val="Bullet-Blank"/>
              <w:numPr>
                <w:ilvl w:val="0"/>
                <w:numId w:val="6"/>
              </w:numPr>
              <w:ind w:left="580" w:hanging="270"/>
              <w:rPr>
                <w:sz w:val="24"/>
                <w:szCs w:val="24"/>
              </w:rPr>
            </w:pPr>
            <w:r w:rsidRPr="00DE2694">
              <w:rPr>
                <w:sz w:val="24"/>
                <w:szCs w:val="24"/>
              </w:rPr>
              <w:t>Discontinue oxytocin.</w:t>
            </w:r>
          </w:p>
          <w:p w14:paraId="19B0E8FB" w14:textId="77777777" w:rsidR="00377F5F" w:rsidRPr="00DE2694" w:rsidRDefault="00377F5F" w:rsidP="00377F5F">
            <w:pPr>
              <w:pStyle w:val="Bullet-Blank"/>
              <w:numPr>
                <w:ilvl w:val="0"/>
                <w:numId w:val="6"/>
              </w:numPr>
              <w:ind w:left="580" w:hanging="270"/>
              <w:rPr>
                <w:sz w:val="24"/>
                <w:szCs w:val="24"/>
              </w:rPr>
            </w:pPr>
            <w:r w:rsidRPr="00DE2694">
              <w:rPr>
                <w:sz w:val="24"/>
                <w:szCs w:val="24"/>
              </w:rPr>
              <w:t>Turn patient to left (preferable) or right lateral position.</w:t>
            </w:r>
            <w:r w:rsidRPr="00DE2694">
              <w:rPr>
                <w:rFonts w:ascii="MS Gothic" w:eastAsia="MS Gothic" w:hAnsi="MS Gothic" w:cs="MS Gothic" w:hint="eastAsia"/>
                <w:sz w:val="24"/>
                <w:szCs w:val="24"/>
              </w:rPr>
              <w:t> </w:t>
            </w:r>
          </w:p>
          <w:p w14:paraId="32E69BF5" w14:textId="77777777" w:rsidR="00377F5F" w:rsidRPr="00DE2694" w:rsidRDefault="00377F5F" w:rsidP="00377F5F">
            <w:pPr>
              <w:pStyle w:val="Bullet-Blank"/>
              <w:numPr>
                <w:ilvl w:val="0"/>
                <w:numId w:val="6"/>
              </w:numPr>
              <w:ind w:left="580" w:hanging="270"/>
              <w:rPr>
                <w:sz w:val="24"/>
                <w:szCs w:val="24"/>
              </w:rPr>
            </w:pPr>
            <w:r w:rsidRPr="00DE2694">
              <w:rPr>
                <w:sz w:val="24"/>
                <w:szCs w:val="24"/>
              </w:rPr>
              <w:t>Increase maintenance IV rate or administer 500 cc LR IV bolus.</w:t>
            </w:r>
          </w:p>
          <w:p w14:paraId="53F9D760" w14:textId="77777777" w:rsidR="00377F5F" w:rsidRPr="00DE2694" w:rsidRDefault="00377F5F" w:rsidP="00377F5F">
            <w:pPr>
              <w:pStyle w:val="FormTextNoBold"/>
              <w:spacing w:before="120" w:after="120"/>
              <w:ind w:left="43" w:firstLine="0"/>
              <w:rPr>
                <w:sz w:val="24"/>
                <w:szCs w:val="24"/>
              </w:rPr>
            </w:pPr>
            <w:r w:rsidRPr="00DE2694">
              <w:rPr>
                <w:b/>
                <w:sz w:val="24"/>
                <w:szCs w:val="24"/>
              </w:rPr>
              <w:t>Note:</w:t>
            </w:r>
            <w:r w:rsidRPr="00DE2694">
              <w:rPr>
                <w:sz w:val="24"/>
                <w:szCs w:val="24"/>
              </w:rPr>
              <w:t xml:space="preserve"> Consider any fluid restrictions the patient may have.</w:t>
            </w:r>
          </w:p>
          <w:p w14:paraId="32C861C1" w14:textId="77777777" w:rsidR="00377F5F" w:rsidRPr="00DE2694" w:rsidRDefault="00377F5F" w:rsidP="00377F5F">
            <w:pPr>
              <w:pStyle w:val="Bullet-Blank"/>
              <w:numPr>
                <w:ilvl w:val="0"/>
                <w:numId w:val="6"/>
              </w:numPr>
              <w:ind w:left="580" w:hanging="270"/>
              <w:rPr>
                <w:sz w:val="24"/>
                <w:szCs w:val="24"/>
              </w:rPr>
            </w:pPr>
            <w:r w:rsidRPr="00DE2694">
              <w:rPr>
                <w:sz w:val="24"/>
                <w:szCs w:val="24"/>
              </w:rPr>
              <w:t>Administer oxygen at 8 to 15 L/min. via nonrebreather face mask if the first interventions do not resolve the abnormal FHR pattern. Discontinue oxygen as soon as possible.</w:t>
            </w:r>
          </w:p>
          <w:p w14:paraId="5397EFA0" w14:textId="77777777" w:rsidR="00377F5F" w:rsidRDefault="00377F5F" w:rsidP="00377F5F">
            <w:pPr>
              <w:pStyle w:val="Bullet-Blank"/>
              <w:spacing w:after="240"/>
              <w:rPr>
                <w:sz w:val="24"/>
                <w:szCs w:val="24"/>
              </w:rPr>
            </w:pPr>
            <w:r w:rsidRPr="00DE2694">
              <w:rPr>
                <w:sz w:val="24"/>
                <w:szCs w:val="24"/>
              </w:rPr>
              <w:t>If no response, administer terbutaline 0.25 mg SC.</w:t>
            </w:r>
          </w:p>
          <w:p w14:paraId="18129937" w14:textId="4B3BB44F" w:rsidR="00377F5F" w:rsidRPr="00DE2694" w:rsidRDefault="00377F5F" w:rsidP="00377F5F">
            <w:pPr>
              <w:pStyle w:val="Bullet-Blank"/>
              <w:keepNext/>
              <w:rPr>
                <w:sz w:val="24"/>
                <w:szCs w:val="24"/>
              </w:rPr>
            </w:pPr>
            <w:r w:rsidRPr="00DE2694">
              <w:rPr>
                <w:sz w:val="24"/>
                <w:szCs w:val="24"/>
              </w:rPr>
              <w:t>Discontinu</w:t>
            </w:r>
            <w:r>
              <w:rPr>
                <w:sz w:val="24"/>
                <w:szCs w:val="24"/>
              </w:rPr>
              <w:t>e</w:t>
            </w:r>
            <w:r w:rsidRPr="00DE2694">
              <w:rPr>
                <w:sz w:val="24"/>
                <w:szCs w:val="24"/>
              </w:rPr>
              <w:t xml:space="preserve"> oxytocin infusion and notify provider for—</w:t>
            </w:r>
          </w:p>
          <w:p w14:paraId="1C8C814A" w14:textId="77777777" w:rsidR="00377F5F" w:rsidRPr="00DE2694" w:rsidRDefault="00377F5F" w:rsidP="00377F5F">
            <w:pPr>
              <w:pStyle w:val="Bullet-Blank"/>
              <w:keepNext/>
              <w:numPr>
                <w:ilvl w:val="0"/>
                <w:numId w:val="6"/>
              </w:numPr>
              <w:ind w:left="580" w:hanging="270"/>
              <w:rPr>
                <w:sz w:val="24"/>
                <w:szCs w:val="24"/>
              </w:rPr>
            </w:pPr>
            <w:r w:rsidRPr="00DE2694">
              <w:rPr>
                <w:sz w:val="24"/>
                <w:szCs w:val="24"/>
              </w:rPr>
              <w:t>Abnormal FHR patterns (categories II and III)</w:t>
            </w:r>
          </w:p>
          <w:p w14:paraId="5548B119" w14:textId="77777777" w:rsidR="00377F5F" w:rsidRPr="00DE2694" w:rsidRDefault="00377F5F" w:rsidP="00377F5F">
            <w:pPr>
              <w:pStyle w:val="Bullet-Blank"/>
              <w:keepNext/>
              <w:numPr>
                <w:ilvl w:val="0"/>
                <w:numId w:val="6"/>
              </w:numPr>
              <w:ind w:left="580" w:hanging="270"/>
              <w:rPr>
                <w:sz w:val="24"/>
                <w:szCs w:val="24"/>
              </w:rPr>
            </w:pPr>
            <w:r w:rsidRPr="00DE2694">
              <w:rPr>
                <w:sz w:val="24"/>
                <w:szCs w:val="24"/>
              </w:rPr>
              <w:t>Urine output &lt;30 mL/hr or maternal hypotension</w:t>
            </w:r>
          </w:p>
          <w:p w14:paraId="60BEF548" w14:textId="77777777" w:rsidR="00377F5F" w:rsidRPr="00DE2694" w:rsidRDefault="00377F5F" w:rsidP="00377F5F">
            <w:pPr>
              <w:pStyle w:val="Bullet-Blank"/>
              <w:keepNext/>
              <w:numPr>
                <w:ilvl w:val="0"/>
                <w:numId w:val="6"/>
              </w:numPr>
              <w:ind w:left="580" w:hanging="270"/>
              <w:rPr>
                <w:sz w:val="24"/>
                <w:szCs w:val="24"/>
              </w:rPr>
            </w:pPr>
            <w:r w:rsidRPr="00DE2694">
              <w:rPr>
                <w:sz w:val="24"/>
                <w:szCs w:val="24"/>
              </w:rPr>
              <w:t>Signs of uterine rupture (increased uterine tone, abdominal rigidity, tearing pain reported by patient, hypotension, tachycardia, vaginal bleeding)</w:t>
            </w:r>
          </w:p>
          <w:p w14:paraId="18D4A5E6" w14:textId="77777777" w:rsidR="00377F5F" w:rsidRPr="00DE2694" w:rsidRDefault="00377F5F" w:rsidP="00377F5F">
            <w:pPr>
              <w:pStyle w:val="Bullet-Blank"/>
              <w:keepNext/>
              <w:numPr>
                <w:ilvl w:val="0"/>
                <w:numId w:val="6"/>
              </w:numPr>
              <w:ind w:left="580" w:hanging="270"/>
              <w:rPr>
                <w:sz w:val="24"/>
                <w:szCs w:val="24"/>
              </w:rPr>
            </w:pPr>
            <w:r w:rsidRPr="00DE2694">
              <w:rPr>
                <w:sz w:val="24"/>
                <w:szCs w:val="24"/>
              </w:rPr>
              <w:t>Signs of water intoxication</w:t>
            </w:r>
          </w:p>
          <w:p w14:paraId="700476FC" w14:textId="4C5B07D2" w:rsidR="00377F5F" w:rsidRPr="002C2B48" w:rsidRDefault="00377F5F" w:rsidP="00377F5F">
            <w:pPr>
              <w:pStyle w:val="Bullet-Blank"/>
              <w:rPr>
                <w:sz w:val="24"/>
                <w:szCs w:val="24"/>
                <w:u w:val="single"/>
              </w:rPr>
            </w:pPr>
          </w:p>
        </w:tc>
      </w:tr>
      <w:tr w:rsidR="00330094" w:rsidRPr="00DE2694" w14:paraId="49E4BD74" w14:textId="77777777" w:rsidTr="00052E03">
        <w:trPr>
          <w:cantSplit/>
        </w:trPr>
        <w:tc>
          <w:tcPr>
            <w:tcW w:w="2275" w:type="dxa"/>
            <w:shd w:val="clear" w:color="auto" w:fill="auto"/>
          </w:tcPr>
          <w:p w14:paraId="6DED3A04" w14:textId="77777777" w:rsidR="00330094" w:rsidRPr="00DE2694" w:rsidRDefault="002C2B48" w:rsidP="00354BD4">
            <w:pPr>
              <w:pStyle w:val="FormText"/>
              <w:keepNext/>
              <w:rPr>
                <w:sz w:val="24"/>
                <w:szCs w:val="24"/>
              </w:rPr>
            </w:pPr>
            <w:r>
              <w:rPr>
                <w:sz w:val="24"/>
                <w:szCs w:val="24"/>
              </w:rPr>
              <w:lastRenderedPageBreak/>
              <w:t>3.</w:t>
            </w:r>
            <w:r>
              <w:rPr>
                <w:sz w:val="24"/>
                <w:szCs w:val="24"/>
              </w:rPr>
              <w:tab/>
              <w:t>Provider notification parameters and standing o</w:t>
            </w:r>
            <w:r w:rsidR="00330094" w:rsidRPr="00DE2694">
              <w:rPr>
                <w:sz w:val="24"/>
                <w:szCs w:val="24"/>
              </w:rPr>
              <w:t>rders for response to complications (continued)</w:t>
            </w:r>
          </w:p>
        </w:tc>
        <w:tc>
          <w:tcPr>
            <w:tcW w:w="7315" w:type="dxa"/>
            <w:shd w:val="clear" w:color="auto" w:fill="auto"/>
          </w:tcPr>
          <w:p w14:paraId="5C8057E5" w14:textId="77777777" w:rsidR="00330094" w:rsidRPr="00DE2694" w:rsidRDefault="00330094" w:rsidP="00354BD4">
            <w:pPr>
              <w:pStyle w:val="Bullet-Blank"/>
              <w:keepNext/>
              <w:rPr>
                <w:sz w:val="24"/>
                <w:szCs w:val="24"/>
              </w:rPr>
            </w:pPr>
            <w:r w:rsidRPr="00DE2694">
              <w:rPr>
                <w:sz w:val="24"/>
                <w:szCs w:val="24"/>
              </w:rPr>
              <w:t>For decreased urine output or maternal hypotension, administer 500 cc of LR by IV bolus, and notify provider of response to bolus.</w:t>
            </w:r>
          </w:p>
          <w:p w14:paraId="42B8D4CB" w14:textId="77777777" w:rsidR="00330094" w:rsidRPr="00DE2694" w:rsidRDefault="00330094" w:rsidP="00354BD4">
            <w:pPr>
              <w:pStyle w:val="Bullet-Blank"/>
              <w:keepNext/>
              <w:numPr>
                <w:ilvl w:val="0"/>
                <w:numId w:val="6"/>
              </w:numPr>
              <w:ind w:left="580" w:hanging="270"/>
              <w:rPr>
                <w:sz w:val="24"/>
                <w:szCs w:val="24"/>
              </w:rPr>
            </w:pPr>
            <w:r w:rsidRPr="00DE2694">
              <w:rPr>
                <w:sz w:val="24"/>
                <w:szCs w:val="24"/>
              </w:rPr>
              <w:t>Notify provider of actions taken and maternal-fetal response.</w:t>
            </w:r>
          </w:p>
          <w:p w14:paraId="47C8391A" w14:textId="77777777" w:rsidR="00330094" w:rsidRPr="00DE2694" w:rsidRDefault="00330094" w:rsidP="00354BD4">
            <w:pPr>
              <w:pStyle w:val="FormTextNoBold"/>
              <w:keepNext/>
              <w:spacing w:before="120"/>
              <w:ind w:left="40" w:firstLine="0"/>
              <w:rPr>
                <w:i/>
                <w:sz w:val="24"/>
                <w:szCs w:val="24"/>
              </w:rPr>
            </w:pPr>
            <w:r w:rsidRPr="00DE2694">
              <w:rPr>
                <w:i/>
                <w:sz w:val="24"/>
                <w:szCs w:val="24"/>
              </w:rPr>
              <w:t>Resumption of oxytocin after discontinuation:</w:t>
            </w:r>
          </w:p>
          <w:p w14:paraId="67436D9D" w14:textId="77777777" w:rsidR="00330094" w:rsidRPr="00DE2694" w:rsidRDefault="00330094" w:rsidP="00354BD4">
            <w:pPr>
              <w:pStyle w:val="FormTextNoBold"/>
              <w:keepNext/>
              <w:spacing w:before="120"/>
              <w:ind w:left="40" w:firstLine="0"/>
              <w:rPr>
                <w:i/>
                <w:sz w:val="24"/>
                <w:szCs w:val="24"/>
              </w:rPr>
            </w:pPr>
            <w:r w:rsidRPr="00DE2694">
              <w:rPr>
                <w:i/>
                <w:sz w:val="24"/>
                <w:szCs w:val="24"/>
              </w:rPr>
              <w:t xml:space="preserve">[Note: </w:t>
            </w:r>
            <w:r w:rsidRPr="00DE2694">
              <w:rPr>
                <w:i/>
                <w:iCs/>
                <w:sz w:val="24"/>
                <w:szCs w:val="24"/>
              </w:rPr>
              <w:t>some</w:t>
            </w:r>
            <w:r w:rsidRPr="00DE2694">
              <w:rPr>
                <w:i/>
                <w:sz w:val="24"/>
                <w:szCs w:val="24"/>
              </w:rPr>
              <w:t xml:space="preserve"> facilities choose to require a provider order to restart oxytocin]</w:t>
            </w:r>
          </w:p>
          <w:p w14:paraId="20D111B4" w14:textId="77777777" w:rsidR="00330094" w:rsidRPr="00DE2694" w:rsidRDefault="00330094" w:rsidP="00354BD4">
            <w:pPr>
              <w:pStyle w:val="Bullet-Blank"/>
              <w:keepNext/>
              <w:rPr>
                <w:sz w:val="24"/>
                <w:szCs w:val="24"/>
              </w:rPr>
            </w:pPr>
            <w:r w:rsidRPr="00DE2694">
              <w:rPr>
                <w:sz w:val="24"/>
                <w:szCs w:val="24"/>
              </w:rPr>
              <w:t>If oxytocin has been discontinued for less than 30 min</w:t>
            </w:r>
            <w:r w:rsidR="009060BE">
              <w:rPr>
                <w:sz w:val="24"/>
                <w:szCs w:val="24"/>
              </w:rPr>
              <w:t>utes—</w:t>
            </w:r>
          </w:p>
          <w:p w14:paraId="0FA0EEED" w14:textId="77777777" w:rsidR="00330094" w:rsidRPr="00DE2694" w:rsidRDefault="009060BE" w:rsidP="00354BD4">
            <w:pPr>
              <w:pStyle w:val="Bullet-Blank"/>
              <w:keepNext/>
              <w:numPr>
                <w:ilvl w:val="0"/>
                <w:numId w:val="6"/>
              </w:numPr>
              <w:ind w:left="580" w:hanging="270"/>
              <w:rPr>
                <w:sz w:val="24"/>
                <w:szCs w:val="24"/>
              </w:rPr>
            </w:pPr>
            <w:r>
              <w:rPr>
                <w:sz w:val="24"/>
                <w:szCs w:val="24"/>
              </w:rPr>
              <w:t>If t</w:t>
            </w:r>
            <w:r w:rsidR="00330094" w:rsidRPr="00DE2694">
              <w:rPr>
                <w:sz w:val="24"/>
                <w:szCs w:val="24"/>
              </w:rPr>
              <w:t>he FHR is normal and contraction frequency, intensity, and duration are normal</w:t>
            </w:r>
            <w:r>
              <w:rPr>
                <w:sz w:val="24"/>
                <w:szCs w:val="24"/>
              </w:rPr>
              <w:t>,</w:t>
            </w:r>
            <w:r w:rsidR="00330094" w:rsidRPr="00DE2694">
              <w:rPr>
                <w:sz w:val="24"/>
                <w:szCs w:val="24"/>
              </w:rPr>
              <w:t xml:space="preserve"> resume oxytocin at no more than half the rate that caused the tachysystole, and gradually increase the rate as appropriate based on unit protocol and maternal-fetal status.</w:t>
            </w:r>
          </w:p>
          <w:p w14:paraId="2BFAA6FB" w14:textId="77777777" w:rsidR="00330094" w:rsidRPr="00DE2694" w:rsidRDefault="00330094" w:rsidP="00354BD4">
            <w:pPr>
              <w:pStyle w:val="Bullet-Blank"/>
              <w:keepNext/>
              <w:numPr>
                <w:ilvl w:val="0"/>
                <w:numId w:val="6"/>
              </w:numPr>
              <w:ind w:left="580" w:hanging="270"/>
              <w:rPr>
                <w:sz w:val="24"/>
                <w:szCs w:val="24"/>
              </w:rPr>
            </w:pPr>
            <w:r w:rsidRPr="00DE2694">
              <w:rPr>
                <w:sz w:val="24"/>
                <w:szCs w:val="24"/>
              </w:rPr>
              <w:t>If oxytocin was discontinued for more than 30 minutes, resume oxytocin at 1 mU/min.</w:t>
            </w:r>
          </w:p>
        </w:tc>
      </w:tr>
      <w:tr w:rsidR="00330094" w:rsidRPr="00DE2694" w14:paraId="1A9C0A2D" w14:textId="77777777" w:rsidTr="00052E03">
        <w:trPr>
          <w:cantSplit/>
        </w:trPr>
        <w:tc>
          <w:tcPr>
            <w:tcW w:w="2275" w:type="dxa"/>
            <w:shd w:val="clear" w:color="auto" w:fill="auto"/>
          </w:tcPr>
          <w:p w14:paraId="6744F5E9" w14:textId="61FB4E44" w:rsidR="00330094" w:rsidRPr="00DE2694" w:rsidRDefault="00330094" w:rsidP="00B865F5">
            <w:pPr>
              <w:pStyle w:val="FormText"/>
              <w:rPr>
                <w:sz w:val="24"/>
                <w:szCs w:val="24"/>
              </w:rPr>
            </w:pPr>
            <w:r w:rsidRPr="00DE2694">
              <w:rPr>
                <w:sz w:val="24"/>
                <w:szCs w:val="24"/>
              </w:rPr>
              <w:t>4.</w:t>
            </w:r>
            <w:r w:rsidRPr="00DE2694">
              <w:rPr>
                <w:sz w:val="24"/>
                <w:szCs w:val="24"/>
              </w:rPr>
              <w:tab/>
              <w:t>Low</w:t>
            </w:r>
            <w:r w:rsidR="00144028">
              <w:rPr>
                <w:sz w:val="24"/>
                <w:szCs w:val="24"/>
              </w:rPr>
              <w:t>-</w:t>
            </w:r>
            <w:r w:rsidR="00B865F5">
              <w:rPr>
                <w:sz w:val="24"/>
                <w:szCs w:val="24"/>
              </w:rPr>
              <w:t>d</w:t>
            </w:r>
            <w:r w:rsidRPr="00DE2694">
              <w:rPr>
                <w:sz w:val="24"/>
                <w:szCs w:val="24"/>
              </w:rPr>
              <w:t xml:space="preserve">ose </w:t>
            </w:r>
            <w:r w:rsidR="00B865F5">
              <w:rPr>
                <w:sz w:val="24"/>
                <w:szCs w:val="24"/>
              </w:rPr>
              <w:t>o</w:t>
            </w:r>
            <w:r w:rsidRPr="00DE2694">
              <w:rPr>
                <w:sz w:val="24"/>
                <w:szCs w:val="24"/>
              </w:rPr>
              <w:t xml:space="preserve">xytocin </w:t>
            </w:r>
            <w:r w:rsidR="00B865F5">
              <w:rPr>
                <w:sz w:val="24"/>
                <w:szCs w:val="24"/>
              </w:rPr>
              <w:t>a</w:t>
            </w:r>
            <w:r w:rsidRPr="00DE2694">
              <w:rPr>
                <w:sz w:val="24"/>
                <w:szCs w:val="24"/>
              </w:rPr>
              <w:t>dministra</w:t>
            </w:r>
            <w:r w:rsidR="00DE2694">
              <w:rPr>
                <w:sz w:val="24"/>
                <w:szCs w:val="24"/>
              </w:rPr>
              <w:t>-</w:t>
            </w:r>
            <w:r w:rsidRPr="00DE2694">
              <w:rPr>
                <w:sz w:val="24"/>
                <w:szCs w:val="24"/>
              </w:rPr>
              <w:t>tion</w:t>
            </w:r>
            <w:r w:rsidRPr="00DE2694">
              <w:rPr>
                <w:sz w:val="24"/>
                <w:szCs w:val="24"/>
              </w:rPr>
              <w:br/>
            </w:r>
            <w:r w:rsidRPr="00DE2694">
              <w:rPr>
                <w:b w:val="0"/>
                <w:i/>
                <w:sz w:val="24"/>
                <w:szCs w:val="24"/>
              </w:rPr>
              <w:t>(this is one example of a low</w:t>
            </w:r>
            <w:r w:rsidR="009060BE">
              <w:rPr>
                <w:b w:val="0"/>
                <w:i/>
                <w:sz w:val="24"/>
                <w:szCs w:val="24"/>
              </w:rPr>
              <w:t>-</w:t>
            </w:r>
            <w:r w:rsidRPr="00DE2694">
              <w:rPr>
                <w:b w:val="0"/>
                <w:i/>
                <w:sz w:val="24"/>
                <w:szCs w:val="24"/>
              </w:rPr>
              <w:t>dose protocol</w:t>
            </w:r>
            <w:r w:rsidR="009060BE">
              <w:rPr>
                <w:b w:val="0"/>
                <w:i/>
                <w:sz w:val="24"/>
                <w:szCs w:val="24"/>
              </w:rPr>
              <w:t>;</w:t>
            </w:r>
            <w:r w:rsidRPr="00DE2694">
              <w:rPr>
                <w:b w:val="0"/>
                <w:i/>
                <w:sz w:val="24"/>
                <w:szCs w:val="24"/>
              </w:rPr>
              <w:t xml:space="preserve"> other examples may use different starting doses, titration intervals, and titration dose increases)</w:t>
            </w:r>
          </w:p>
        </w:tc>
        <w:tc>
          <w:tcPr>
            <w:tcW w:w="7315" w:type="dxa"/>
            <w:shd w:val="clear" w:color="auto" w:fill="auto"/>
          </w:tcPr>
          <w:p w14:paraId="5B9AE5A0" w14:textId="254BC592" w:rsidR="00330094" w:rsidRPr="00DE2694" w:rsidRDefault="00330094" w:rsidP="00354BD4">
            <w:pPr>
              <w:pStyle w:val="Bullet-Blank"/>
              <w:numPr>
                <w:ilvl w:val="0"/>
                <w:numId w:val="6"/>
              </w:numPr>
              <w:ind w:left="310" w:hanging="270"/>
              <w:rPr>
                <w:sz w:val="24"/>
                <w:szCs w:val="24"/>
              </w:rPr>
            </w:pPr>
            <w:r w:rsidRPr="00DE2694">
              <w:rPr>
                <w:sz w:val="24"/>
                <w:szCs w:val="24"/>
              </w:rPr>
              <w:t xml:space="preserve">Obtain oxytocin in your institution’s standard dilution (e.g., 10 </w:t>
            </w:r>
            <w:r w:rsidR="00144028">
              <w:rPr>
                <w:sz w:val="24"/>
                <w:szCs w:val="24"/>
              </w:rPr>
              <w:t>u</w:t>
            </w:r>
            <w:r w:rsidRPr="00DE2694">
              <w:rPr>
                <w:sz w:val="24"/>
                <w:szCs w:val="24"/>
              </w:rPr>
              <w:t xml:space="preserve">nits/L or 20 </w:t>
            </w:r>
            <w:r w:rsidR="00144028">
              <w:rPr>
                <w:sz w:val="24"/>
                <w:szCs w:val="24"/>
              </w:rPr>
              <w:t>u</w:t>
            </w:r>
            <w:r w:rsidRPr="00DE2694">
              <w:rPr>
                <w:sz w:val="24"/>
                <w:szCs w:val="24"/>
              </w:rPr>
              <w:t>nits/L)</w:t>
            </w:r>
          </w:p>
          <w:p w14:paraId="6068203C" w14:textId="77777777" w:rsidR="00330094" w:rsidRPr="00DE2694" w:rsidRDefault="00330094" w:rsidP="00354BD4">
            <w:pPr>
              <w:pStyle w:val="Bullet-Blank"/>
              <w:numPr>
                <w:ilvl w:val="0"/>
                <w:numId w:val="6"/>
              </w:numPr>
              <w:ind w:left="310" w:hanging="270"/>
              <w:rPr>
                <w:sz w:val="24"/>
                <w:szCs w:val="24"/>
              </w:rPr>
            </w:pPr>
            <w:r w:rsidRPr="00DE2694">
              <w:rPr>
                <w:sz w:val="24"/>
                <w:szCs w:val="24"/>
              </w:rPr>
              <w:t>Label IV bag, IV tubing, and infusion pump.</w:t>
            </w:r>
          </w:p>
          <w:p w14:paraId="15A99A55" w14:textId="77777777" w:rsidR="00330094" w:rsidRPr="00DE2694" w:rsidRDefault="00330094" w:rsidP="00354BD4">
            <w:pPr>
              <w:pStyle w:val="Bullet-Blank"/>
              <w:numPr>
                <w:ilvl w:val="0"/>
                <w:numId w:val="6"/>
              </w:numPr>
              <w:ind w:left="310" w:hanging="270"/>
              <w:rPr>
                <w:sz w:val="24"/>
                <w:szCs w:val="24"/>
              </w:rPr>
            </w:pPr>
            <w:r w:rsidRPr="00DE2694">
              <w:rPr>
                <w:sz w:val="24"/>
                <w:szCs w:val="24"/>
              </w:rPr>
              <w:t>Attach oxytocin line via calibrated infusion pump into the proximal port of the mainline IV.</w:t>
            </w:r>
          </w:p>
          <w:p w14:paraId="26925E03" w14:textId="77777777" w:rsidR="00330094" w:rsidRPr="00DE2694" w:rsidRDefault="00330094" w:rsidP="00354BD4">
            <w:pPr>
              <w:pStyle w:val="Bullet-Blank"/>
              <w:numPr>
                <w:ilvl w:val="0"/>
                <w:numId w:val="6"/>
              </w:numPr>
              <w:ind w:left="310" w:hanging="270"/>
              <w:rPr>
                <w:sz w:val="24"/>
                <w:szCs w:val="24"/>
              </w:rPr>
            </w:pPr>
            <w:r w:rsidRPr="00DE2694">
              <w:rPr>
                <w:sz w:val="24"/>
                <w:szCs w:val="24"/>
              </w:rPr>
              <w:t>Begin oxytocin infusion at 1–2 milliunits/min.</w:t>
            </w:r>
          </w:p>
          <w:p w14:paraId="582D563B" w14:textId="77777777" w:rsidR="00330094" w:rsidRPr="00DE2694" w:rsidRDefault="00330094" w:rsidP="00354BD4">
            <w:pPr>
              <w:pStyle w:val="FormTextNoBold"/>
              <w:spacing w:before="120" w:after="120"/>
              <w:ind w:left="43" w:firstLine="0"/>
              <w:rPr>
                <w:sz w:val="24"/>
                <w:szCs w:val="24"/>
              </w:rPr>
            </w:pPr>
            <w:r w:rsidRPr="00DE2694">
              <w:rPr>
                <w:rFonts w:eastAsia="Times New Roman"/>
                <w:b/>
                <w:sz w:val="24"/>
                <w:szCs w:val="24"/>
              </w:rPr>
              <w:t xml:space="preserve">Note: </w:t>
            </w:r>
            <w:r w:rsidRPr="00DE2694">
              <w:rPr>
                <w:rFonts w:eastAsia="Times New Roman"/>
                <w:sz w:val="24"/>
                <w:szCs w:val="24"/>
              </w:rPr>
              <w:t>Do not start oxytocin on patients who are &lt; 4 hours post-insertion of misoprostol.</w:t>
            </w:r>
          </w:p>
          <w:p w14:paraId="5E51F7AA" w14:textId="77777777" w:rsidR="00330094" w:rsidRPr="00DE2694" w:rsidRDefault="00330094" w:rsidP="00354BD4">
            <w:pPr>
              <w:pStyle w:val="Bullet-Blank"/>
              <w:numPr>
                <w:ilvl w:val="0"/>
                <w:numId w:val="6"/>
              </w:numPr>
              <w:ind w:left="310" w:hanging="270"/>
              <w:rPr>
                <w:sz w:val="24"/>
                <w:szCs w:val="24"/>
              </w:rPr>
            </w:pPr>
            <w:r w:rsidRPr="00DE2694">
              <w:rPr>
                <w:sz w:val="24"/>
                <w:szCs w:val="24"/>
              </w:rPr>
              <w:t>Increase infusion rate 1-2 milliunits /min. every 30–45 minutes until—</w:t>
            </w:r>
          </w:p>
          <w:p w14:paraId="0997139F" w14:textId="52CE5201" w:rsidR="00330094" w:rsidRPr="00DE2694" w:rsidRDefault="00330094" w:rsidP="00354BD4">
            <w:pPr>
              <w:pStyle w:val="Bullet-Blank-2"/>
              <w:numPr>
                <w:ilvl w:val="1"/>
                <w:numId w:val="1"/>
              </w:numPr>
              <w:spacing w:after="120"/>
              <w:ind w:left="535" w:hanging="202"/>
              <w:rPr>
                <w:sz w:val="24"/>
                <w:szCs w:val="24"/>
                <w:lang w:bidi="ar-SA"/>
              </w:rPr>
            </w:pPr>
            <w:r w:rsidRPr="00DE2694">
              <w:rPr>
                <w:sz w:val="24"/>
                <w:szCs w:val="24"/>
              </w:rPr>
              <w:t>adequate</w:t>
            </w:r>
            <w:r w:rsidRPr="00DE2694">
              <w:rPr>
                <w:sz w:val="24"/>
                <w:szCs w:val="24"/>
                <w:lang w:bidi="ar-SA"/>
              </w:rPr>
              <w:t xml:space="preserve"> contraction pattern is obtained (e.g., contractions every 2 to 3 minutes, lasting 50–60 seconds each)</w:t>
            </w:r>
            <w:r w:rsidRPr="00DE2694">
              <w:rPr>
                <w:sz w:val="24"/>
                <w:szCs w:val="24"/>
                <w:lang w:bidi="ar-SA"/>
              </w:rPr>
              <w:br/>
              <w:t>-or-</w:t>
            </w:r>
            <w:r w:rsidRPr="00DE2694">
              <w:rPr>
                <w:sz w:val="24"/>
                <w:szCs w:val="24"/>
                <w:lang w:bidi="ar-SA"/>
              </w:rPr>
              <w:br/>
              <w:t>30 milliunits/min is reached</w:t>
            </w:r>
            <w:r w:rsidRPr="00DE2694">
              <w:rPr>
                <w:sz w:val="24"/>
                <w:szCs w:val="24"/>
                <w:lang w:bidi="ar-SA"/>
              </w:rPr>
              <w:br/>
              <w:t>-or-</w:t>
            </w:r>
            <w:r w:rsidRPr="00DE2694">
              <w:rPr>
                <w:sz w:val="24"/>
                <w:szCs w:val="24"/>
                <w:lang w:bidi="ar-SA"/>
              </w:rPr>
              <w:br/>
              <w:t>Contraction level of 200–220 Montevideo units is achieved (excluding a resting tone of 20 mmHg).</w:t>
            </w:r>
          </w:p>
          <w:p w14:paraId="03D86C98" w14:textId="77777777" w:rsidR="00330094" w:rsidRPr="00DE2694" w:rsidRDefault="00330094" w:rsidP="00354BD4">
            <w:pPr>
              <w:pStyle w:val="Bullet-Blank"/>
              <w:numPr>
                <w:ilvl w:val="0"/>
                <w:numId w:val="6"/>
              </w:numPr>
              <w:ind w:left="310" w:hanging="270"/>
              <w:rPr>
                <w:sz w:val="24"/>
                <w:szCs w:val="24"/>
              </w:rPr>
            </w:pPr>
            <w:r w:rsidRPr="00DE2694">
              <w:rPr>
                <w:sz w:val="24"/>
                <w:szCs w:val="24"/>
              </w:rPr>
              <w:t>Provider assessment is recommended once infusion rate is at 20 mU/min and is mandatory in order to exceed an infusion rate of 30 mU/min.</w:t>
            </w:r>
          </w:p>
          <w:p w14:paraId="20CAAEAE" w14:textId="77777777" w:rsidR="00330094" w:rsidRPr="00DE2694" w:rsidRDefault="00330094" w:rsidP="00354BD4">
            <w:pPr>
              <w:pStyle w:val="Bullet-Blank"/>
              <w:numPr>
                <w:ilvl w:val="0"/>
                <w:numId w:val="6"/>
              </w:numPr>
              <w:ind w:left="310" w:hanging="270"/>
              <w:rPr>
                <w:sz w:val="24"/>
                <w:szCs w:val="24"/>
              </w:rPr>
            </w:pPr>
            <w:r w:rsidRPr="00DE2694">
              <w:rPr>
                <w:sz w:val="24"/>
                <w:szCs w:val="24"/>
              </w:rPr>
              <w:t>Discontinue oxytocin for 20 minutes after spontaneous or artificial rupture of the membranes, then restart oxytocin at 1⁄2 of the previous rate.</w:t>
            </w:r>
          </w:p>
        </w:tc>
      </w:tr>
      <w:tr w:rsidR="00330094" w:rsidRPr="00DE2694" w14:paraId="514274F5" w14:textId="77777777" w:rsidTr="00052E03">
        <w:trPr>
          <w:cantSplit/>
          <w:trHeight w:val="6094"/>
        </w:trPr>
        <w:tc>
          <w:tcPr>
            <w:tcW w:w="2275" w:type="dxa"/>
            <w:shd w:val="clear" w:color="auto" w:fill="auto"/>
          </w:tcPr>
          <w:p w14:paraId="6F3F2654" w14:textId="1B8425EC" w:rsidR="00330094" w:rsidRPr="00DE2694" w:rsidRDefault="00330094" w:rsidP="00B865F5">
            <w:pPr>
              <w:pStyle w:val="FormText"/>
              <w:rPr>
                <w:sz w:val="24"/>
                <w:szCs w:val="24"/>
              </w:rPr>
            </w:pPr>
            <w:r w:rsidRPr="00DE2694">
              <w:rPr>
                <w:sz w:val="24"/>
                <w:szCs w:val="24"/>
              </w:rPr>
              <w:lastRenderedPageBreak/>
              <w:t>5.</w:t>
            </w:r>
            <w:r w:rsidRPr="00DE2694">
              <w:rPr>
                <w:sz w:val="24"/>
                <w:szCs w:val="24"/>
              </w:rPr>
              <w:tab/>
              <w:t xml:space="preserve">High </w:t>
            </w:r>
            <w:r w:rsidR="00B865F5">
              <w:rPr>
                <w:sz w:val="24"/>
                <w:szCs w:val="24"/>
              </w:rPr>
              <w:t>d</w:t>
            </w:r>
            <w:r w:rsidRPr="00DE2694">
              <w:rPr>
                <w:sz w:val="24"/>
                <w:szCs w:val="24"/>
              </w:rPr>
              <w:t xml:space="preserve">ose </w:t>
            </w:r>
            <w:r w:rsidR="00B865F5">
              <w:rPr>
                <w:sz w:val="24"/>
                <w:szCs w:val="24"/>
              </w:rPr>
              <w:t>o</w:t>
            </w:r>
            <w:r w:rsidRPr="00DE2694">
              <w:rPr>
                <w:sz w:val="24"/>
                <w:szCs w:val="24"/>
              </w:rPr>
              <w:t xml:space="preserve">xytocin </w:t>
            </w:r>
            <w:r w:rsidR="00B865F5">
              <w:rPr>
                <w:sz w:val="24"/>
                <w:szCs w:val="24"/>
              </w:rPr>
              <w:t>a</w:t>
            </w:r>
            <w:r w:rsidRPr="00DE2694">
              <w:rPr>
                <w:sz w:val="24"/>
                <w:szCs w:val="24"/>
              </w:rPr>
              <w:t>dministra</w:t>
            </w:r>
            <w:r w:rsidR="00DE2694">
              <w:rPr>
                <w:sz w:val="24"/>
                <w:szCs w:val="24"/>
              </w:rPr>
              <w:t>-</w:t>
            </w:r>
            <w:r w:rsidRPr="00DE2694">
              <w:rPr>
                <w:sz w:val="24"/>
                <w:szCs w:val="24"/>
              </w:rPr>
              <w:t>tion</w:t>
            </w:r>
            <w:r w:rsidRPr="00DE2694">
              <w:rPr>
                <w:sz w:val="24"/>
                <w:szCs w:val="24"/>
              </w:rPr>
              <w:br/>
            </w:r>
            <w:r w:rsidRPr="00DE2694">
              <w:rPr>
                <w:b w:val="0"/>
                <w:i/>
                <w:sz w:val="24"/>
                <w:szCs w:val="24"/>
              </w:rPr>
              <w:t>(this is one example of a high</w:t>
            </w:r>
            <w:r w:rsidR="00B865F5">
              <w:rPr>
                <w:b w:val="0"/>
                <w:i/>
                <w:sz w:val="24"/>
                <w:szCs w:val="24"/>
              </w:rPr>
              <w:t>-</w:t>
            </w:r>
            <w:r w:rsidRPr="00DE2694">
              <w:rPr>
                <w:b w:val="0"/>
                <w:i/>
                <w:sz w:val="24"/>
                <w:szCs w:val="24"/>
              </w:rPr>
              <w:t>dose protocol</w:t>
            </w:r>
            <w:r w:rsidR="00B865F5">
              <w:rPr>
                <w:b w:val="0"/>
                <w:i/>
                <w:sz w:val="24"/>
                <w:szCs w:val="24"/>
              </w:rPr>
              <w:t>;</w:t>
            </w:r>
            <w:r w:rsidRPr="00DE2694">
              <w:rPr>
                <w:b w:val="0"/>
                <w:i/>
                <w:sz w:val="24"/>
                <w:szCs w:val="24"/>
              </w:rPr>
              <w:t xml:space="preserve"> other examples may use different starting doses, titration intervals, and titration dose increases)</w:t>
            </w:r>
          </w:p>
        </w:tc>
        <w:tc>
          <w:tcPr>
            <w:tcW w:w="7315" w:type="dxa"/>
            <w:shd w:val="clear" w:color="auto" w:fill="auto"/>
          </w:tcPr>
          <w:p w14:paraId="64AE5761" w14:textId="502CE3D4" w:rsidR="00330094" w:rsidRPr="00DE2694" w:rsidRDefault="00330094" w:rsidP="00354BD4">
            <w:pPr>
              <w:pStyle w:val="Bullet-Blank"/>
              <w:numPr>
                <w:ilvl w:val="0"/>
                <w:numId w:val="6"/>
              </w:numPr>
              <w:ind w:left="310" w:hanging="270"/>
              <w:rPr>
                <w:sz w:val="24"/>
                <w:szCs w:val="24"/>
              </w:rPr>
            </w:pPr>
            <w:r w:rsidRPr="00DE2694">
              <w:rPr>
                <w:sz w:val="24"/>
                <w:szCs w:val="24"/>
              </w:rPr>
              <w:t xml:space="preserve">Obtain oxytocin in your institution’s standard dilution (e.g., 10 </w:t>
            </w:r>
            <w:r w:rsidR="009060BE">
              <w:rPr>
                <w:sz w:val="24"/>
                <w:szCs w:val="24"/>
              </w:rPr>
              <w:t>u</w:t>
            </w:r>
            <w:r w:rsidRPr="00DE2694">
              <w:rPr>
                <w:sz w:val="24"/>
                <w:szCs w:val="24"/>
              </w:rPr>
              <w:t>nits/L or 20</w:t>
            </w:r>
            <w:r w:rsidR="009060BE">
              <w:rPr>
                <w:sz w:val="24"/>
                <w:szCs w:val="24"/>
              </w:rPr>
              <w:t xml:space="preserve"> u</w:t>
            </w:r>
            <w:r w:rsidRPr="00DE2694">
              <w:rPr>
                <w:sz w:val="24"/>
                <w:szCs w:val="24"/>
              </w:rPr>
              <w:t>nits/L)</w:t>
            </w:r>
            <w:r w:rsidR="00EA6414">
              <w:rPr>
                <w:sz w:val="24"/>
                <w:szCs w:val="24"/>
              </w:rPr>
              <w:t>.</w:t>
            </w:r>
          </w:p>
          <w:p w14:paraId="0F5B0F9D" w14:textId="77777777" w:rsidR="00330094" w:rsidRPr="00DE2694" w:rsidRDefault="00330094" w:rsidP="00354BD4">
            <w:pPr>
              <w:pStyle w:val="Bullet-Blank"/>
              <w:numPr>
                <w:ilvl w:val="0"/>
                <w:numId w:val="6"/>
              </w:numPr>
              <w:ind w:left="310" w:hanging="270"/>
              <w:rPr>
                <w:sz w:val="24"/>
                <w:szCs w:val="24"/>
              </w:rPr>
            </w:pPr>
            <w:r w:rsidRPr="00DE2694">
              <w:rPr>
                <w:sz w:val="24"/>
                <w:szCs w:val="24"/>
              </w:rPr>
              <w:t>Label IV bag, IV tubing, and infusion pump.</w:t>
            </w:r>
          </w:p>
          <w:p w14:paraId="3372B8AD" w14:textId="77777777" w:rsidR="00330094" w:rsidRPr="00DE2694" w:rsidRDefault="00330094" w:rsidP="00354BD4">
            <w:pPr>
              <w:pStyle w:val="Bullet-Blank"/>
              <w:numPr>
                <w:ilvl w:val="0"/>
                <w:numId w:val="6"/>
              </w:numPr>
              <w:ind w:left="310" w:hanging="270"/>
              <w:rPr>
                <w:sz w:val="24"/>
                <w:szCs w:val="24"/>
              </w:rPr>
            </w:pPr>
            <w:r w:rsidRPr="00DE2694">
              <w:rPr>
                <w:sz w:val="24"/>
                <w:szCs w:val="24"/>
              </w:rPr>
              <w:t>Attach oxytocin line via calibrated infusion pump into the proximal port of the mainline IV.</w:t>
            </w:r>
          </w:p>
          <w:p w14:paraId="532398FE" w14:textId="77777777" w:rsidR="00330094" w:rsidRPr="00DE2694" w:rsidRDefault="00330094" w:rsidP="00354BD4">
            <w:pPr>
              <w:pStyle w:val="Bullet-Blank"/>
              <w:numPr>
                <w:ilvl w:val="0"/>
                <w:numId w:val="6"/>
              </w:numPr>
              <w:ind w:left="310" w:hanging="270"/>
              <w:rPr>
                <w:sz w:val="24"/>
                <w:szCs w:val="24"/>
              </w:rPr>
            </w:pPr>
            <w:r w:rsidRPr="00DE2694">
              <w:rPr>
                <w:sz w:val="24"/>
                <w:szCs w:val="24"/>
              </w:rPr>
              <w:t>Begin oxytocin infusion at 6 milliunits/min.</w:t>
            </w:r>
          </w:p>
          <w:p w14:paraId="17B12171" w14:textId="77777777" w:rsidR="00330094" w:rsidRPr="00DE2694" w:rsidRDefault="00330094" w:rsidP="00354BD4">
            <w:pPr>
              <w:pStyle w:val="FormTextNoBold"/>
              <w:spacing w:before="120" w:after="120"/>
              <w:ind w:left="43" w:firstLine="0"/>
              <w:rPr>
                <w:sz w:val="24"/>
                <w:szCs w:val="24"/>
              </w:rPr>
            </w:pPr>
            <w:r w:rsidRPr="00DE2694">
              <w:rPr>
                <w:b/>
                <w:sz w:val="24"/>
                <w:szCs w:val="24"/>
              </w:rPr>
              <w:t xml:space="preserve">Note: </w:t>
            </w:r>
            <w:r w:rsidRPr="00DE2694">
              <w:rPr>
                <w:rFonts w:eastAsia="Times New Roman"/>
                <w:sz w:val="24"/>
                <w:szCs w:val="24"/>
              </w:rPr>
              <w:t>Do</w:t>
            </w:r>
            <w:r w:rsidRPr="00DE2694">
              <w:rPr>
                <w:sz w:val="24"/>
                <w:szCs w:val="24"/>
              </w:rPr>
              <w:t xml:space="preserve"> not start oxytocin on patients who are &lt; 4 hours post-insertion of misoprostol.</w:t>
            </w:r>
          </w:p>
          <w:p w14:paraId="015CA560" w14:textId="77777777" w:rsidR="00330094" w:rsidRPr="00DE2694" w:rsidRDefault="00330094" w:rsidP="00354BD4">
            <w:pPr>
              <w:pStyle w:val="Bullet-Blank"/>
              <w:numPr>
                <w:ilvl w:val="0"/>
                <w:numId w:val="6"/>
              </w:numPr>
              <w:ind w:left="310" w:hanging="270"/>
              <w:rPr>
                <w:sz w:val="24"/>
                <w:szCs w:val="24"/>
              </w:rPr>
            </w:pPr>
            <w:r w:rsidRPr="00DE2694">
              <w:rPr>
                <w:sz w:val="24"/>
                <w:szCs w:val="24"/>
              </w:rPr>
              <w:t>Increase infusion rate 6 milliunits /min. every 15 minutes until—</w:t>
            </w:r>
          </w:p>
          <w:p w14:paraId="5A4105A0" w14:textId="5E57BE2D" w:rsidR="00330094" w:rsidRPr="00DE2694" w:rsidRDefault="00330094" w:rsidP="00354BD4">
            <w:pPr>
              <w:pStyle w:val="Bullet-Blank-2"/>
              <w:numPr>
                <w:ilvl w:val="1"/>
                <w:numId w:val="1"/>
              </w:numPr>
              <w:spacing w:after="120"/>
              <w:ind w:left="535" w:hanging="202"/>
              <w:rPr>
                <w:sz w:val="24"/>
                <w:szCs w:val="24"/>
              </w:rPr>
            </w:pPr>
            <w:r w:rsidRPr="00DE2694">
              <w:rPr>
                <w:sz w:val="24"/>
                <w:szCs w:val="24"/>
              </w:rPr>
              <w:t>adequate contraction pattern is obtained (e.g., contractions every 2 to 3 minutes, lasting 50 to 60 seconds each)</w:t>
            </w:r>
            <w:r w:rsidRPr="00DE2694">
              <w:rPr>
                <w:sz w:val="24"/>
                <w:szCs w:val="24"/>
              </w:rPr>
              <w:br/>
              <w:t>-or-</w:t>
            </w:r>
            <w:r w:rsidRPr="00DE2694">
              <w:rPr>
                <w:sz w:val="24"/>
                <w:szCs w:val="24"/>
              </w:rPr>
              <w:br/>
              <w:t>30 milliunits/min</w:t>
            </w:r>
            <w:r w:rsidR="00CE1B40">
              <w:rPr>
                <w:sz w:val="24"/>
                <w:szCs w:val="24"/>
              </w:rPr>
              <w:t>.</w:t>
            </w:r>
            <w:r w:rsidRPr="00DE2694">
              <w:rPr>
                <w:sz w:val="24"/>
                <w:szCs w:val="24"/>
              </w:rPr>
              <w:t xml:space="preserve"> is reached</w:t>
            </w:r>
            <w:r w:rsidRPr="00DE2694">
              <w:rPr>
                <w:sz w:val="24"/>
                <w:szCs w:val="24"/>
              </w:rPr>
              <w:br/>
              <w:t>-or-</w:t>
            </w:r>
            <w:r w:rsidRPr="00DE2694">
              <w:rPr>
                <w:sz w:val="24"/>
                <w:szCs w:val="24"/>
              </w:rPr>
              <w:br/>
              <w:t>Contraction level of 200 to 220 Montevideo units is achieved (excluding a resting tone of 20 mmHg).</w:t>
            </w:r>
          </w:p>
          <w:p w14:paraId="0B81BC59" w14:textId="7A1C98DE" w:rsidR="00330094" w:rsidRPr="00DE2694" w:rsidRDefault="00330094" w:rsidP="00354BD4">
            <w:pPr>
              <w:pStyle w:val="Bullet-Blank"/>
              <w:numPr>
                <w:ilvl w:val="0"/>
                <w:numId w:val="6"/>
              </w:numPr>
              <w:ind w:left="310" w:hanging="270"/>
              <w:rPr>
                <w:sz w:val="24"/>
                <w:szCs w:val="24"/>
              </w:rPr>
            </w:pPr>
            <w:r w:rsidRPr="00DE2694">
              <w:rPr>
                <w:sz w:val="24"/>
                <w:szCs w:val="24"/>
              </w:rPr>
              <w:t>Provider assessment is recommended once infusion rate is at 20 mU/min</w:t>
            </w:r>
            <w:r w:rsidR="00CE1B40">
              <w:rPr>
                <w:sz w:val="24"/>
                <w:szCs w:val="24"/>
              </w:rPr>
              <w:t>.</w:t>
            </w:r>
            <w:r w:rsidRPr="00DE2694">
              <w:rPr>
                <w:sz w:val="24"/>
                <w:szCs w:val="24"/>
              </w:rPr>
              <w:t xml:space="preserve"> and is mandatory in order to exceed an infusion rate of 30 mU/min.</w:t>
            </w:r>
          </w:p>
          <w:p w14:paraId="0B234C85" w14:textId="77777777" w:rsidR="00330094" w:rsidRPr="00DE2694" w:rsidRDefault="00330094" w:rsidP="00354BD4">
            <w:pPr>
              <w:pStyle w:val="Bullet-Blank"/>
              <w:numPr>
                <w:ilvl w:val="0"/>
                <w:numId w:val="6"/>
              </w:numPr>
              <w:ind w:left="310" w:hanging="270"/>
              <w:rPr>
                <w:sz w:val="24"/>
                <w:szCs w:val="24"/>
              </w:rPr>
            </w:pPr>
            <w:r w:rsidRPr="00DE2694">
              <w:rPr>
                <w:sz w:val="24"/>
                <w:szCs w:val="24"/>
              </w:rPr>
              <w:t>Decrease mainline intravenous fluids to maintain total fluid rate of 125 ml/hr.</w:t>
            </w:r>
          </w:p>
          <w:p w14:paraId="643B47E8" w14:textId="77777777" w:rsidR="00330094" w:rsidRPr="00DE2694" w:rsidRDefault="00330094" w:rsidP="00354BD4">
            <w:pPr>
              <w:pStyle w:val="Bullet-Blank"/>
              <w:numPr>
                <w:ilvl w:val="0"/>
                <w:numId w:val="6"/>
              </w:numPr>
              <w:ind w:left="310" w:hanging="270"/>
              <w:rPr>
                <w:sz w:val="24"/>
                <w:szCs w:val="24"/>
              </w:rPr>
            </w:pPr>
            <w:r w:rsidRPr="00DE2694">
              <w:rPr>
                <w:sz w:val="24"/>
                <w:szCs w:val="24"/>
              </w:rPr>
              <w:t>Discontinue oxytocin for 20 minutes after spontaneous or artificial rupture of the membranes, then restart oxytocin at 1⁄2 of the previous rate.</w:t>
            </w:r>
          </w:p>
        </w:tc>
      </w:tr>
      <w:tr w:rsidR="00330094" w:rsidRPr="00DE2694" w14:paraId="402DC2F3" w14:textId="77777777" w:rsidTr="00052E03">
        <w:trPr>
          <w:cantSplit/>
        </w:trPr>
        <w:tc>
          <w:tcPr>
            <w:tcW w:w="2275" w:type="dxa"/>
            <w:shd w:val="clear" w:color="auto" w:fill="auto"/>
          </w:tcPr>
          <w:p w14:paraId="7D8DC77F" w14:textId="63E0DAC0" w:rsidR="00330094" w:rsidRPr="00DE2694" w:rsidRDefault="00330094" w:rsidP="00B865F5">
            <w:pPr>
              <w:pStyle w:val="FormText"/>
              <w:rPr>
                <w:sz w:val="24"/>
                <w:szCs w:val="24"/>
              </w:rPr>
            </w:pPr>
            <w:r w:rsidRPr="00DE2694">
              <w:rPr>
                <w:sz w:val="24"/>
                <w:szCs w:val="24"/>
              </w:rPr>
              <w:t>6.</w:t>
            </w:r>
            <w:r w:rsidRPr="00DE2694">
              <w:rPr>
                <w:sz w:val="24"/>
                <w:szCs w:val="24"/>
              </w:rPr>
              <w:tab/>
              <w:t xml:space="preserve">Patient </w:t>
            </w:r>
            <w:r w:rsidR="00B865F5">
              <w:rPr>
                <w:sz w:val="24"/>
                <w:szCs w:val="24"/>
              </w:rPr>
              <w:t>c</w:t>
            </w:r>
            <w:r w:rsidRPr="00DE2694">
              <w:rPr>
                <w:sz w:val="24"/>
                <w:szCs w:val="24"/>
              </w:rPr>
              <w:t>omfort</w:t>
            </w:r>
            <w:r w:rsidR="00C57F0D">
              <w:rPr>
                <w:sz w:val="24"/>
                <w:szCs w:val="24"/>
              </w:rPr>
              <w:t xml:space="preserve"> and </w:t>
            </w:r>
            <w:r w:rsidR="00B865F5">
              <w:rPr>
                <w:sz w:val="24"/>
                <w:szCs w:val="24"/>
              </w:rPr>
              <w:t>e</w:t>
            </w:r>
            <w:r w:rsidR="00C57F0D">
              <w:rPr>
                <w:sz w:val="24"/>
                <w:szCs w:val="24"/>
              </w:rPr>
              <w:t xml:space="preserve">ducation </w:t>
            </w:r>
          </w:p>
        </w:tc>
        <w:tc>
          <w:tcPr>
            <w:tcW w:w="7315" w:type="dxa"/>
            <w:shd w:val="clear" w:color="auto" w:fill="auto"/>
          </w:tcPr>
          <w:p w14:paraId="1A451904" w14:textId="77777777" w:rsidR="00CE1B40" w:rsidRPr="00DE2694" w:rsidRDefault="00CE1B40" w:rsidP="00CE1B40">
            <w:pPr>
              <w:pStyle w:val="Bullet-Blank"/>
              <w:numPr>
                <w:ilvl w:val="0"/>
                <w:numId w:val="6"/>
              </w:numPr>
              <w:ind w:left="310" w:hanging="270"/>
              <w:rPr>
                <w:sz w:val="24"/>
                <w:szCs w:val="24"/>
              </w:rPr>
            </w:pPr>
            <w:r w:rsidRPr="00DE2694">
              <w:rPr>
                <w:sz w:val="24"/>
                <w:szCs w:val="24"/>
              </w:rPr>
              <w:t xml:space="preserve">Explain the oxytocin procedure, mobility </w:t>
            </w:r>
            <w:r>
              <w:rPr>
                <w:sz w:val="24"/>
                <w:szCs w:val="24"/>
              </w:rPr>
              <w:t xml:space="preserve">or dietary </w:t>
            </w:r>
            <w:r w:rsidRPr="00DE2694">
              <w:rPr>
                <w:sz w:val="24"/>
                <w:szCs w:val="24"/>
              </w:rPr>
              <w:t>restrictions if applicable, availability of wireless fetal monitoring, and expected results.</w:t>
            </w:r>
          </w:p>
          <w:p w14:paraId="26002AD9" w14:textId="77777777" w:rsidR="00CE1B40" w:rsidRDefault="00CE1B40" w:rsidP="00354BD4">
            <w:pPr>
              <w:pStyle w:val="Bullet-Blank"/>
              <w:numPr>
                <w:ilvl w:val="0"/>
                <w:numId w:val="6"/>
              </w:numPr>
              <w:ind w:left="310" w:hanging="270"/>
              <w:rPr>
                <w:sz w:val="24"/>
                <w:szCs w:val="24"/>
              </w:rPr>
            </w:pPr>
            <w:r w:rsidRPr="00DE2694">
              <w:rPr>
                <w:sz w:val="24"/>
                <w:szCs w:val="24"/>
              </w:rPr>
              <w:t xml:space="preserve">Explain the signs of uterine hypertonus or tachysystole and water intoxication to the patient/caregiver; ask the patient/caregiver to monitor these signs and notify the nurse if these signs occur. </w:t>
            </w:r>
          </w:p>
          <w:p w14:paraId="432B53F0" w14:textId="6F7889BE" w:rsidR="00330094" w:rsidRPr="00DE2694" w:rsidRDefault="00330094" w:rsidP="00354BD4">
            <w:pPr>
              <w:pStyle w:val="Bullet-Blank"/>
              <w:numPr>
                <w:ilvl w:val="0"/>
                <w:numId w:val="6"/>
              </w:numPr>
              <w:ind w:left="310" w:hanging="270"/>
              <w:rPr>
                <w:sz w:val="24"/>
                <w:szCs w:val="24"/>
              </w:rPr>
            </w:pPr>
            <w:r w:rsidRPr="00DE2694">
              <w:rPr>
                <w:sz w:val="24"/>
                <w:szCs w:val="24"/>
              </w:rPr>
              <w:t>Ask the patient to describe/rate her comfort level at periodic intervals.</w:t>
            </w:r>
          </w:p>
          <w:p w14:paraId="70400151" w14:textId="77777777" w:rsidR="00330094" w:rsidRPr="00DE2694" w:rsidRDefault="00330094" w:rsidP="00354BD4">
            <w:pPr>
              <w:pStyle w:val="Bullet-Blank"/>
              <w:numPr>
                <w:ilvl w:val="0"/>
                <w:numId w:val="6"/>
              </w:numPr>
              <w:ind w:left="310" w:hanging="270"/>
              <w:rPr>
                <w:sz w:val="24"/>
                <w:szCs w:val="24"/>
              </w:rPr>
            </w:pPr>
            <w:r w:rsidRPr="00DE2694">
              <w:rPr>
                <w:sz w:val="24"/>
                <w:szCs w:val="24"/>
              </w:rPr>
              <w:t>Promote comfort using positioning, breathing and relaxation exercises, and medications if needed.</w:t>
            </w:r>
          </w:p>
          <w:p w14:paraId="627F662D" w14:textId="77777777" w:rsidR="00C57F0D" w:rsidRDefault="00330094" w:rsidP="00354BD4">
            <w:pPr>
              <w:pStyle w:val="Bullet-Blank"/>
              <w:numPr>
                <w:ilvl w:val="0"/>
                <w:numId w:val="6"/>
              </w:numPr>
              <w:ind w:left="310" w:hanging="270"/>
              <w:rPr>
                <w:sz w:val="24"/>
                <w:szCs w:val="24"/>
              </w:rPr>
            </w:pPr>
            <w:r w:rsidRPr="00DE2694">
              <w:rPr>
                <w:sz w:val="24"/>
                <w:szCs w:val="24"/>
              </w:rPr>
              <w:t>Assess the need for increased analgesia or epidural anesthesia.</w:t>
            </w:r>
          </w:p>
          <w:p w14:paraId="5BF4249F" w14:textId="0EC55F21" w:rsidR="00330094" w:rsidRPr="00DE2694" w:rsidRDefault="00330094" w:rsidP="00037D57">
            <w:pPr>
              <w:pStyle w:val="Bullet-Blank"/>
              <w:ind w:left="310"/>
              <w:rPr>
                <w:sz w:val="24"/>
                <w:szCs w:val="24"/>
              </w:rPr>
            </w:pPr>
          </w:p>
        </w:tc>
      </w:tr>
      <w:tr w:rsidR="00330094" w:rsidRPr="00DE2694" w14:paraId="03FBAD82" w14:textId="77777777" w:rsidTr="00052E03">
        <w:trPr>
          <w:cantSplit/>
        </w:trPr>
        <w:tc>
          <w:tcPr>
            <w:tcW w:w="2275" w:type="dxa"/>
            <w:shd w:val="clear" w:color="auto" w:fill="auto"/>
          </w:tcPr>
          <w:p w14:paraId="369CC04A" w14:textId="77777777" w:rsidR="00330094" w:rsidRPr="00DE2694" w:rsidRDefault="00C57F0D" w:rsidP="004A6DEF">
            <w:pPr>
              <w:pStyle w:val="FormText"/>
              <w:pageBreakBefore/>
              <w:rPr>
                <w:sz w:val="24"/>
                <w:szCs w:val="24"/>
              </w:rPr>
            </w:pPr>
            <w:r>
              <w:rPr>
                <w:sz w:val="24"/>
                <w:szCs w:val="24"/>
              </w:rPr>
              <w:lastRenderedPageBreak/>
              <w:t>7.Communication</w:t>
            </w:r>
          </w:p>
        </w:tc>
        <w:tc>
          <w:tcPr>
            <w:tcW w:w="7315" w:type="dxa"/>
            <w:shd w:val="clear" w:color="auto" w:fill="auto"/>
          </w:tcPr>
          <w:p w14:paraId="3689B2D2" w14:textId="77777777" w:rsidR="00C57F0D" w:rsidRPr="00C57F0D" w:rsidRDefault="00C57F0D" w:rsidP="00C57F0D">
            <w:pPr>
              <w:numPr>
                <w:ilvl w:val="0"/>
                <w:numId w:val="39"/>
              </w:numPr>
              <w:spacing w:before="60" w:after="60"/>
              <w:ind w:left="245" w:hanging="205"/>
              <w:rPr>
                <w:rFonts w:eastAsia="Times New Roman" w:cs="Arial"/>
                <w:szCs w:val="24"/>
              </w:rPr>
            </w:pPr>
            <w:r>
              <w:rPr>
                <w:rFonts w:eastAsia="Times New Roman" w:cs="Arial"/>
                <w:szCs w:val="24"/>
              </w:rPr>
              <w:t>Use briefings to v</w:t>
            </w:r>
            <w:r w:rsidRPr="00C57F0D">
              <w:rPr>
                <w:rFonts w:eastAsia="Times New Roman" w:cs="Arial"/>
                <w:szCs w:val="24"/>
              </w:rPr>
              <w:t>erify medication bag, pump settings, and IV tubing are correct during change of shifts or other transitions of care team</w:t>
            </w:r>
            <w:r w:rsidR="009060BE">
              <w:rPr>
                <w:rFonts w:eastAsia="Times New Roman" w:cs="Arial"/>
                <w:szCs w:val="24"/>
              </w:rPr>
              <w:t>.</w:t>
            </w:r>
            <w:r w:rsidRPr="00C57F0D">
              <w:rPr>
                <w:rFonts w:eastAsia="Times New Roman" w:cs="Arial"/>
                <w:szCs w:val="24"/>
              </w:rPr>
              <w:t xml:space="preserve"> </w:t>
            </w:r>
          </w:p>
          <w:p w14:paraId="5B9DF742" w14:textId="77777777" w:rsidR="00C57F0D" w:rsidRPr="00C57F0D" w:rsidRDefault="00C57F0D" w:rsidP="00C57F0D">
            <w:pPr>
              <w:numPr>
                <w:ilvl w:val="0"/>
                <w:numId w:val="39"/>
              </w:numPr>
              <w:spacing w:before="60" w:after="60"/>
              <w:ind w:left="245" w:hanging="205"/>
              <w:rPr>
                <w:rFonts w:eastAsia="Times New Roman" w:cs="Arial"/>
                <w:szCs w:val="24"/>
              </w:rPr>
            </w:pPr>
            <w:r w:rsidRPr="00C57F0D">
              <w:rPr>
                <w:rFonts w:eastAsia="Times New Roman" w:cs="Arial"/>
                <w:szCs w:val="24"/>
              </w:rPr>
              <w:t>Use TeamSTEPPS communication techniques to</w:t>
            </w:r>
            <w:r w:rsidR="009060BE">
              <w:rPr>
                <w:rFonts w:eastAsia="Times New Roman" w:cs="Arial"/>
                <w:szCs w:val="24"/>
              </w:rPr>
              <w:t>—</w:t>
            </w:r>
          </w:p>
          <w:p w14:paraId="56237811" w14:textId="77777777" w:rsidR="00C57F0D" w:rsidRPr="00C57F0D" w:rsidRDefault="009060BE" w:rsidP="00C57F0D">
            <w:pPr>
              <w:numPr>
                <w:ilvl w:val="1"/>
                <w:numId w:val="41"/>
              </w:numPr>
              <w:spacing w:before="60" w:after="60"/>
              <w:ind w:left="936"/>
              <w:rPr>
                <w:rFonts w:eastAsiaTheme="minorEastAsia" w:cs="Arial"/>
                <w:szCs w:val="24"/>
                <w:lang w:bidi="en-US"/>
              </w:rPr>
            </w:pPr>
            <w:r>
              <w:rPr>
                <w:rFonts w:eastAsiaTheme="minorEastAsia" w:cs="Arial"/>
                <w:szCs w:val="24"/>
                <w:lang w:bidi="en-US"/>
              </w:rPr>
              <w:t>r</w:t>
            </w:r>
            <w:r w:rsidR="00C57F0D" w:rsidRPr="00C57F0D">
              <w:rPr>
                <w:rFonts w:eastAsiaTheme="minorEastAsia" w:cs="Arial"/>
                <w:szCs w:val="24"/>
                <w:lang w:bidi="en-US"/>
              </w:rPr>
              <w:t>equest urgent additional help</w:t>
            </w:r>
          </w:p>
          <w:p w14:paraId="29C1FCE4" w14:textId="77777777" w:rsidR="00C57F0D" w:rsidRPr="00C57F0D" w:rsidRDefault="009060BE" w:rsidP="00C57F0D">
            <w:pPr>
              <w:numPr>
                <w:ilvl w:val="1"/>
                <w:numId w:val="41"/>
              </w:numPr>
              <w:spacing w:before="60" w:after="60"/>
              <w:ind w:left="936"/>
              <w:rPr>
                <w:rFonts w:eastAsiaTheme="minorEastAsia" w:cs="Arial"/>
                <w:szCs w:val="24"/>
                <w:lang w:bidi="en-US"/>
              </w:rPr>
            </w:pPr>
            <w:r>
              <w:rPr>
                <w:rFonts w:eastAsiaTheme="minorEastAsia" w:cs="Arial"/>
                <w:szCs w:val="24"/>
                <w:lang w:bidi="en-US"/>
              </w:rPr>
              <w:t>a</w:t>
            </w:r>
            <w:r w:rsidR="00C57F0D" w:rsidRPr="00C57F0D">
              <w:rPr>
                <w:rFonts w:eastAsiaTheme="minorEastAsia" w:cs="Arial"/>
                <w:szCs w:val="24"/>
                <w:lang w:bidi="en-US"/>
              </w:rPr>
              <w:t>ssert and advocate for safe practices (CUS)</w:t>
            </w:r>
          </w:p>
          <w:p w14:paraId="120F9311" w14:textId="77777777" w:rsidR="00C57F0D" w:rsidRPr="00C57F0D" w:rsidRDefault="009060BE" w:rsidP="00C57F0D">
            <w:pPr>
              <w:numPr>
                <w:ilvl w:val="1"/>
                <w:numId w:val="41"/>
              </w:numPr>
              <w:spacing w:before="60" w:after="60"/>
              <w:ind w:left="936"/>
              <w:rPr>
                <w:rFonts w:eastAsiaTheme="minorEastAsia" w:cs="Arial"/>
                <w:szCs w:val="24"/>
                <w:lang w:bidi="en-US"/>
              </w:rPr>
            </w:pPr>
            <w:r>
              <w:rPr>
                <w:rFonts w:eastAsiaTheme="minorEastAsia" w:cs="Arial"/>
                <w:szCs w:val="24"/>
                <w:lang w:bidi="en-US"/>
              </w:rPr>
              <w:t>b</w:t>
            </w:r>
            <w:r w:rsidR="00C57F0D" w:rsidRPr="00C57F0D">
              <w:rPr>
                <w:rFonts w:eastAsiaTheme="minorEastAsia" w:cs="Arial"/>
                <w:szCs w:val="24"/>
                <w:lang w:bidi="en-US"/>
              </w:rPr>
              <w:t>rief new team members, such as during a rapid response (SBAR)</w:t>
            </w:r>
          </w:p>
          <w:p w14:paraId="7A89BDA7" w14:textId="77777777" w:rsidR="00C57F0D" w:rsidRPr="00C57F0D" w:rsidRDefault="009060BE" w:rsidP="00C57F0D">
            <w:pPr>
              <w:numPr>
                <w:ilvl w:val="1"/>
                <w:numId w:val="41"/>
              </w:numPr>
              <w:spacing w:before="60" w:after="60"/>
              <w:ind w:left="936"/>
              <w:rPr>
                <w:rFonts w:eastAsiaTheme="minorEastAsia" w:cs="Arial"/>
                <w:szCs w:val="24"/>
                <w:lang w:bidi="en-US"/>
              </w:rPr>
            </w:pPr>
            <w:r>
              <w:rPr>
                <w:rFonts w:eastAsiaTheme="minorEastAsia" w:cs="Arial"/>
                <w:szCs w:val="24"/>
                <w:lang w:bidi="en-US"/>
              </w:rPr>
              <w:t>a</w:t>
            </w:r>
            <w:r w:rsidR="00C57F0D" w:rsidRPr="00C57F0D">
              <w:rPr>
                <w:rFonts w:eastAsiaTheme="minorEastAsia" w:cs="Arial"/>
                <w:szCs w:val="24"/>
                <w:lang w:bidi="en-US"/>
              </w:rPr>
              <w:t>cknowledge receipt of orders (closed</w:t>
            </w:r>
            <w:r>
              <w:rPr>
                <w:rFonts w:eastAsiaTheme="minorEastAsia" w:cs="Arial"/>
                <w:szCs w:val="24"/>
                <w:lang w:bidi="en-US"/>
              </w:rPr>
              <w:t>-</w:t>
            </w:r>
            <w:r w:rsidR="00C57F0D" w:rsidRPr="00C57F0D">
              <w:rPr>
                <w:rFonts w:eastAsiaTheme="minorEastAsia" w:cs="Arial"/>
                <w:szCs w:val="24"/>
                <w:lang w:bidi="en-US"/>
              </w:rPr>
              <w:t>loop communication)</w:t>
            </w:r>
          </w:p>
          <w:p w14:paraId="113D9EA4" w14:textId="44DF210C" w:rsidR="00330094" w:rsidRPr="00DE2694" w:rsidRDefault="00CE1B40" w:rsidP="00377F5F">
            <w:pPr>
              <w:pStyle w:val="Bullet-Blank"/>
              <w:numPr>
                <w:ilvl w:val="0"/>
                <w:numId w:val="42"/>
              </w:numPr>
              <w:ind w:left="965"/>
              <w:rPr>
                <w:sz w:val="24"/>
                <w:szCs w:val="24"/>
              </w:rPr>
            </w:pPr>
            <w:r>
              <w:rPr>
                <w:rFonts w:eastAsiaTheme="minorHAnsi" w:cstheme="minorBidi"/>
                <w:sz w:val="24"/>
                <w:szCs w:val="24"/>
              </w:rPr>
              <w:t>maintain</w:t>
            </w:r>
            <w:r w:rsidRPr="00C57F0D">
              <w:rPr>
                <w:rFonts w:eastAsiaTheme="minorHAnsi" w:cstheme="minorBidi"/>
                <w:sz w:val="24"/>
                <w:szCs w:val="24"/>
              </w:rPr>
              <w:t xml:space="preserve"> </w:t>
            </w:r>
            <w:r w:rsidR="00C57F0D" w:rsidRPr="00C57F0D">
              <w:rPr>
                <w:rFonts w:eastAsiaTheme="minorHAnsi" w:cstheme="minorBidi"/>
                <w:sz w:val="24"/>
                <w:szCs w:val="24"/>
              </w:rPr>
              <w:t>situational awareness by sharing new information with team as it is learned</w:t>
            </w:r>
            <w:r w:rsidR="009060BE">
              <w:rPr>
                <w:rFonts w:eastAsiaTheme="minorHAnsi" w:cstheme="minorBidi"/>
                <w:sz w:val="24"/>
                <w:szCs w:val="24"/>
              </w:rPr>
              <w:t>.</w:t>
            </w:r>
          </w:p>
        </w:tc>
      </w:tr>
    </w:tbl>
    <w:p w14:paraId="75AB37E3" w14:textId="77777777" w:rsidR="00052E03" w:rsidRDefault="00052E03" w:rsidP="00A56DB0">
      <w:pPr>
        <w:pStyle w:val="Heading1"/>
      </w:pPr>
    </w:p>
    <w:p w14:paraId="693C02FB" w14:textId="77777777" w:rsidR="00330094" w:rsidRDefault="00330094" w:rsidP="00A56DB0">
      <w:pPr>
        <w:pStyle w:val="Heading1"/>
      </w:pPr>
      <w:r>
        <w:t>References</w:t>
      </w:r>
    </w:p>
    <w:p w14:paraId="3E4B3E36" w14:textId="5917C7C3" w:rsidR="00330094" w:rsidRDefault="00330094" w:rsidP="00412BC1">
      <w:pPr>
        <w:pStyle w:val="BodyText"/>
        <w:ind w:left="360" w:hanging="360"/>
        <w:rPr>
          <w:rFonts w:cs="Arial"/>
          <w:szCs w:val="24"/>
        </w:rPr>
      </w:pPr>
      <w:r w:rsidRPr="00FC32BE">
        <w:rPr>
          <w:rFonts w:cs="Arial"/>
          <w:szCs w:val="24"/>
          <w:lang w:val="fr-FR"/>
        </w:rPr>
        <w:t>1.</w:t>
      </w:r>
      <w:r w:rsidR="00DE2694" w:rsidRPr="00FC32BE">
        <w:rPr>
          <w:rFonts w:cs="Arial"/>
          <w:szCs w:val="24"/>
          <w:lang w:val="fr-FR"/>
        </w:rPr>
        <w:tab/>
      </w:r>
      <w:r w:rsidRPr="00FC32BE">
        <w:rPr>
          <w:rFonts w:cs="Arial"/>
          <w:szCs w:val="24"/>
          <w:lang w:val="fr-FR"/>
        </w:rPr>
        <w:t xml:space="preserve">Vrouenraets FP, Roumen FJ, Dehing CJ, et al. </w:t>
      </w:r>
      <w:r w:rsidRPr="00AF4634">
        <w:rPr>
          <w:rFonts w:cs="Arial"/>
          <w:szCs w:val="24"/>
        </w:rPr>
        <w:t xml:space="preserve">Bishop score and risk of cesarean delivery after induction of labor in nulliparous women. </w:t>
      </w:r>
      <w:hyperlink r:id="rId13" w:tooltip="Obstetrics and gynecology." w:history="1">
        <w:r w:rsidRPr="00AF4634">
          <w:rPr>
            <w:rFonts w:cs="Arial"/>
            <w:szCs w:val="24"/>
          </w:rPr>
          <w:t>Obstet Gynecol.</w:t>
        </w:r>
      </w:hyperlink>
      <w:r w:rsidR="00412BC1">
        <w:rPr>
          <w:rFonts w:cs="Arial"/>
          <w:szCs w:val="24"/>
        </w:rPr>
        <w:t xml:space="preserve"> 2005;105(4):690-7</w:t>
      </w:r>
      <w:r w:rsidR="00EA3188">
        <w:rPr>
          <w:rFonts w:cs="Arial"/>
          <w:szCs w:val="24"/>
        </w:rPr>
        <w:t>.</w:t>
      </w:r>
      <w:r w:rsidRPr="00283B9F">
        <w:rPr>
          <w:rFonts w:cs="Arial"/>
          <w:szCs w:val="24"/>
        </w:rPr>
        <w:t xml:space="preserve"> </w:t>
      </w:r>
      <w:r w:rsidRPr="00AF4634">
        <w:rPr>
          <w:rFonts w:cs="Arial"/>
          <w:szCs w:val="24"/>
        </w:rPr>
        <w:t>PMID: 15802392.</w:t>
      </w:r>
    </w:p>
    <w:p w14:paraId="679E6E17" w14:textId="77777777" w:rsidR="00330094" w:rsidRDefault="00330094" w:rsidP="00DE2694">
      <w:pPr>
        <w:pStyle w:val="BodyText"/>
        <w:ind w:left="360" w:hanging="360"/>
        <w:rPr>
          <w:rFonts w:cs="Arial"/>
          <w:szCs w:val="24"/>
        </w:rPr>
      </w:pPr>
      <w:r>
        <w:rPr>
          <w:rFonts w:cs="Arial"/>
          <w:szCs w:val="24"/>
        </w:rPr>
        <w:t>2.</w:t>
      </w:r>
      <w:r w:rsidR="00DE2694">
        <w:rPr>
          <w:rFonts w:cs="Arial"/>
          <w:szCs w:val="24"/>
        </w:rPr>
        <w:tab/>
      </w:r>
      <w:r>
        <w:t xml:space="preserve">ACOG Patient Safety Checklist Number </w:t>
      </w:r>
      <w:r w:rsidR="00DC1BB6">
        <w:t>5</w:t>
      </w:r>
      <w:r>
        <w:t>: Scheduling Induction of Labor.</w:t>
      </w:r>
      <w:r w:rsidRPr="00E5442D">
        <w:t xml:space="preserve"> </w:t>
      </w:r>
      <w:r>
        <w:t>American College of Obstetricians and Gynecologists. Obstet Gynecol. 2011;118:1473-4.</w:t>
      </w:r>
      <w:r w:rsidR="00DC1BB6">
        <w:t xml:space="preserve"> </w:t>
      </w:r>
      <w:r w:rsidR="00DC1BB6" w:rsidRPr="00DC1BB6">
        <w:t>PMID: 22105298</w:t>
      </w:r>
      <w:r w:rsidR="00DC1BB6">
        <w:t>.</w:t>
      </w:r>
    </w:p>
    <w:p w14:paraId="43F24557" w14:textId="77777777" w:rsidR="00330094" w:rsidRPr="00AF4634" w:rsidRDefault="00330094" w:rsidP="00DE2694">
      <w:pPr>
        <w:pStyle w:val="BodyText"/>
        <w:ind w:left="360" w:hanging="360"/>
        <w:rPr>
          <w:rFonts w:cs="Arial"/>
          <w:szCs w:val="24"/>
        </w:rPr>
      </w:pPr>
      <w:r>
        <w:rPr>
          <w:rFonts w:cs="Arial"/>
          <w:szCs w:val="24"/>
        </w:rPr>
        <w:t>3.</w:t>
      </w:r>
      <w:r w:rsidR="00DE2694">
        <w:rPr>
          <w:rFonts w:cs="Arial"/>
          <w:szCs w:val="24"/>
        </w:rPr>
        <w:tab/>
      </w:r>
      <w:r w:rsidRPr="00AF4634">
        <w:rPr>
          <w:rFonts w:cs="Arial"/>
          <w:szCs w:val="24"/>
        </w:rPr>
        <w:t xml:space="preserve">Bishop EH. Pelvic scoring for elective induction. </w:t>
      </w:r>
      <w:hyperlink r:id="rId14" w:tooltip="Obstetrics and gynecology." w:history="1">
        <w:r w:rsidRPr="0057389F">
          <w:rPr>
            <w:rFonts w:cs="Arial"/>
            <w:szCs w:val="24"/>
          </w:rPr>
          <w:t>Obstet Gynecol</w:t>
        </w:r>
        <w:r w:rsidRPr="00AF4634">
          <w:rPr>
            <w:rFonts w:cs="Arial"/>
            <w:szCs w:val="24"/>
          </w:rPr>
          <w:t>.</w:t>
        </w:r>
      </w:hyperlink>
      <w:r w:rsidRPr="00AF4634">
        <w:rPr>
          <w:rFonts w:cs="Arial"/>
          <w:szCs w:val="24"/>
        </w:rPr>
        <w:t xml:space="preserve"> 1964;24:266-8. </w:t>
      </w:r>
      <w:r w:rsidR="00DC1BB6" w:rsidRPr="00DC1BB6">
        <w:rPr>
          <w:rFonts w:cs="Arial"/>
          <w:szCs w:val="24"/>
        </w:rPr>
        <w:t>PMID: 14199536</w:t>
      </w:r>
      <w:r w:rsidR="00DC1BB6">
        <w:rPr>
          <w:rFonts w:cs="Arial"/>
          <w:szCs w:val="24"/>
        </w:rPr>
        <w:t>.</w:t>
      </w:r>
    </w:p>
    <w:p w14:paraId="405B0468" w14:textId="0167F00B" w:rsidR="001B2202" w:rsidRDefault="006275C4">
      <w:bookmarkStart w:id="0" w:name="_GoBack"/>
      <w:bookmarkEnd w:id="0"/>
      <w:r w:rsidRPr="006275C4">
        <w:rPr>
          <w:noProof/>
          <w:sz w:val="18"/>
          <w:szCs w:val="18"/>
        </w:rPr>
        <mc:AlternateContent>
          <mc:Choice Requires="wps">
            <w:drawing>
              <wp:anchor distT="45720" distB="45720" distL="114300" distR="114300" simplePos="0" relativeHeight="251659264" behindDoc="0" locked="0" layoutInCell="1" allowOverlap="1" wp14:anchorId="0B707984" wp14:editId="770DB705">
                <wp:simplePos x="0" y="0"/>
                <wp:positionH relativeFrom="column">
                  <wp:posOffset>4463415</wp:posOffset>
                </wp:positionH>
                <wp:positionV relativeFrom="page">
                  <wp:posOffset>8840470</wp:posOffset>
                </wp:positionV>
                <wp:extent cx="2203450" cy="40259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02590"/>
                        </a:xfrm>
                        <a:prstGeom prst="rect">
                          <a:avLst/>
                        </a:prstGeom>
                        <a:noFill/>
                        <a:ln w="9525">
                          <a:noFill/>
                          <a:miter lim="800000"/>
                          <a:headEnd/>
                          <a:tailEnd/>
                        </a:ln>
                      </wps:spPr>
                      <wps:txbx>
                        <w:txbxContent>
                          <w:p w14:paraId="54570794" w14:textId="77777777" w:rsidR="006275C4" w:rsidRPr="006275C4" w:rsidRDefault="006275C4" w:rsidP="006275C4">
                            <w:pPr>
                              <w:pStyle w:val="Footer"/>
                              <w:tabs>
                                <w:tab w:val="clear" w:pos="9360"/>
                              </w:tabs>
                              <w:jc w:val="right"/>
                              <w:rPr>
                                <w:sz w:val="18"/>
                                <w:szCs w:val="18"/>
                              </w:rPr>
                            </w:pPr>
                            <w:r w:rsidRPr="006275C4">
                              <w:rPr>
                                <w:sz w:val="18"/>
                                <w:szCs w:val="18"/>
                              </w:rPr>
                              <w:t>AHRQ Publication No. 17-0003-19-EF</w:t>
                            </w:r>
                          </w:p>
                          <w:p w14:paraId="29CA8A11" w14:textId="759CA902" w:rsidR="006275C4" w:rsidRPr="006275C4" w:rsidRDefault="00CA34AF" w:rsidP="006275C4">
                            <w:pPr>
                              <w:pStyle w:val="Footer"/>
                              <w:tabs>
                                <w:tab w:val="clear" w:pos="9360"/>
                              </w:tabs>
                              <w:jc w:val="right"/>
                              <w:rPr>
                                <w:sz w:val="18"/>
                                <w:szCs w:val="18"/>
                              </w:rPr>
                            </w:pPr>
                            <w:r>
                              <w:rPr>
                                <w:sz w:val="18"/>
                                <w:szCs w:val="18"/>
                              </w:rPr>
                              <w:t>May</w:t>
                            </w:r>
                            <w:r w:rsidR="006275C4" w:rsidRPr="006275C4">
                              <w:rPr>
                                <w:sz w:val="18"/>
                                <w:szCs w:val="18"/>
                              </w:rPr>
                              <w:t xml:space="preserve"> 201</w:t>
                            </w:r>
                            <w:r>
                              <w:rPr>
                                <w:sz w:val="18"/>
                                <w:szCs w:val="18"/>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1.45pt;margin-top:696.1pt;width:173.5pt;height:31.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" filled="f" stroked="f">
                <v:textbox style="mso-fit-shape-to-text:t">
                  <w:txbxContent>
                    <w:p w14:paraId="54570794" w14:textId="77777777" w:rsidR="006275C4" w:rsidRPr="006275C4" w:rsidRDefault="006275C4" w:rsidP="006275C4">
                      <w:pPr>
                        <w:pStyle w:val="Footer"/>
                        <w:tabs>
                          <w:tab w:val="clear" w:pos="9360"/>
                        </w:tabs>
                        <w:jc w:val="right"/>
                        <w:rPr>
                          <w:sz w:val="18"/>
                          <w:szCs w:val="18"/>
                        </w:rPr>
                      </w:pPr>
                      <w:r w:rsidRPr="006275C4">
                        <w:rPr>
                          <w:sz w:val="18"/>
                          <w:szCs w:val="18"/>
                        </w:rPr>
                        <w:t>AHRQ Publication No. 17-0003-19-EF</w:t>
                      </w:r>
                    </w:p>
                    <w:p w14:paraId="29CA8A11" w14:textId="759CA902" w:rsidR="006275C4" w:rsidRPr="006275C4" w:rsidRDefault="00CA34AF" w:rsidP="006275C4">
                      <w:pPr>
                        <w:pStyle w:val="Footer"/>
                        <w:tabs>
                          <w:tab w:val="clear" w:pos="9360"/>
                        </w:tabs>
                        <w:jc w:val="right"/>
                        <w:rPr>
                          <w:sz w:val="18"/>
                          <w:szCs w:val="18"/>
                        </w:rPr>
                      </w:pPr>
                      <w:r>
                        <w:rPr>
                          <w:sz w:val="18"/>
                          <w:szCs w:val="18"/>
                        </w:rPr>
                        <w:t>May</w:t>
                      </w:r>
                      <w:r w:rsidR="006275C4" w:rsidRPr="006275C4">
                        <w:rPr>
                          <w:sz w:val="18"/>
                          <w:szCs w:val="18"/>
                        </w:rPr>
                        <w:t xml:space="preserve"> 201</w:t>
                      </w:r>
                      <w:r>
                        <w:rPr>
                          <w:sz w:val="18"/>
                          <w:szCs w:val="18"/>
                        </w:rPr>
                        <w:t>7</w:t>
                      </w:r>
                    </w:p>
                  </w:txbxContent>
                </v:textbox>
                <w10:wrap anchory="page"/>
              </v:shape>
            </w:pict>
          </mc:Fallback>
        </mc:AlternateContent>
      </w:r>
    </w:p>
    <w:sectPr w:rsidR="001B2202" w:rsidSect="008C3A0E">
      <w:headerReference w:type="default" r:id="rId15"/>
      <w:footerReference w:type="default" r:id="rId16"/>
      <w:headerReference w:type="first" r:id="rId17"/>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8237E" w14:textId="77777777" w:rsidR="008B43E4" w:rsidRDefault="008B43E4" w:rsidP="009D0579">
      <w:pPr>
        <w:spacing w:after="0"/>
      </w:pPr>
      <w:r>
        <w:separator/>
      </w:r>
    </w:p>
  </w:endnote>
  <w:endnote w:type="continuationSeparator" w:id="0">
    <w:p w14:paraId="7F326A89" w14:textId="77777777" w:rsidR="008B43E4" w:rsidRDefault="008B43E4" w:rsidP="009D0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088892"/>
      <w:docPartObj>
        <w:docPartGallery w:val="Page Numbers (Bottom of Page)"/>
        <w:docPartUnique/>
      </w:docPartObj>
    </w:sdtPr>
    <w:sdtEndPr>
      <w:rPr>
        <w:noProof/>
        <w:sz w:val="22"/>
      </w:rPr>
    </w:sdtEndPr>
    <w:sdtContent>
      <w:p w14:paraId="1AB34710" w14:textId="70BBC0E8" w:rsidR="008B43E4" w:rsidRPr="004A6DEF" w:rsidRDefault="004A6DEF" w:rsidP="00050641">
        <w:pPr>
          <w:pStyle w:val="Footer"/>
          <w:tabs>
            <w:tab w:val="clear" w:pos="4680"/>
            <w:tab w:val="left" w:pos="180"/>
            <w:tab w:val="right" w:pos="8910"/>
          </w:tabs>
          <w:spacing w:after="120"/>
          <w:rPr>
            <w:color w:val="FFFFFF" w:themeColor="background1"/>
            <w:sz w:val="22"/>
          </w:rPr>
        </w:pPr>
        <w:r w:rsidRPr="00AE6E52">
          <w:rPr>
            <w:noProof/>
            <w:color w:val="FFFFFF" w:themeColor="background1"/>
          </w:rPr>
          <w:drawing>
            <wp:anchor distT="0" distB="0" distL="114300" distR="114300" simplePos="0" relativeHeight="251662848" behindDoc="1" locked="0" layoutInCell="1" allowOverlap="1" wp14:anchorId="2272B542" wp14:editId="1A8CA1DD">
              <wp:simplePos x="0" y="0"/>
              <wp:positionH relativeFrom="column">
                <wp:posOffset>3088005</wp:posOffset>
              </wp:positionH>
              <wp:positionV relativeFrom="paragraph">
                <wp:posOffset>-472440</wp:posOffset>
              </wp:positionV>
              <wp:extent cx="3762375" cy="704215"/>
              <wp:effectExtent l="0" t="0" r="9525" b="635"/>
              <wp:wrapNone/>
              <wp:docPr id="21" name="Picture 2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2.jpg"/>
                      <pic:cNvPicPr/>
                    </pic:nvPicPr>
                    <pic:blipFill rotWithShape="1">
                      <a:blip r:embed="rId1" cstate="print">
                        <a:extLst>
                          <a:ext uri="{28A0092B-C50C-407E-A947-70E740481C1C}">
                            <a14:useLocalDpi xmlns:a14="http://schemas.microsoft.com/office/drawing/2010/main" val="0"/>
                          </a:ext>
                        </a:extLst>
                      </a:blip>
                      <a:srcRect l="43893" t="87976" r="7677" b="4790"/>
                      <a:stretch/>
                    </pic:blipFill>
                    <pic:spPr bwMode="auto">
                      <a:xfrm>
                        <a:off x="0" y="0"/>
                        <a:ext cx="3762375" cy="704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FFFFFF" w:themeColor="background1"/>
            </w:rPr>
            <w:id w:val="-114063590"/>
            <w:docPartObj>
              <w:docPartGallery w:val="Page Numbers (Bottom of Page)"/>
              <w:docPartUnique/>
            </w:docPartObj>
          </w:sdtPr>
          <w:sdtEndPr>
            <w:rPr>
              <w:noProof/>
              <w:sz w:val="22"/>
            </w:rPr>
          </w:sdtEndPr>
          <w:sdtContent>
            <w:r w:rsidRPr="004A6DEF">
              <w:rPr>
                <w:sz w:val="22"/>
              </w:rPr>
              <w:t>AHRQ Safety Program for Perinatal Care</w:t>
            </w:r>
            <w:r w:rsidRPr="004A6DEF">
              <w:rPr>
                <w:color w:val="FFFFFF" w:themeColor="background1"/>
                <w:sz w:val="22"/>
              </w:rPr>
              <w:tab/>
            </w:r>
            <w:r>
              <w:rPr>
                <w:color w:val="FFFFFF" w:themeColor="background1"/>
                <w:sz w:val="22"/>
              </w:rPr>
              <w:t>Oxytocin</w:t>
            </w:r>
            <w:r w:rsidR="00050641">
              <w:rPr>
                <w:color w:val="FFFFFF" w:themeColor="background1"/>
                <w:sz w:val="22"/>
              </w:rPr>
              <w:t xml:space="preserve"> Administration</w:t>
            </w:r>
            <w:r w:rsidRPr="004A6DEF">
              <w:rPr>
                <w:color w:val="FFFFFF" w:themeColor="background1"/>
                <w:sz w:val="22"/>
              </w:rPr>
              <w:tab/>
            </w:r>
            <w:r w:rsidRPr="004A6DEF">
              <w:rPr>
                <w:color w:val="FFFFFF" w:themeColor="background1"/>
                <w:sz w:val="22"/>
              </w:rPr>
              <w:fldChar w:fldCharType="begin"/>
            </w:r>
            <w:r w:rsidRPr="004A6DEF">
              <w:rPr>
                <w:color w:val="FFFFFF" w:themeColor="background1"/>
                <w:sz w:val="22"/>
              </w:rPr>
              <w:instrText xml:space="preserve"> PAGE   \* MERGEFORMAT </w:instrText>
            </w:r>
            <w:r w:rsidRPr="004A6DEF">
              <w:rPr>
                <w:color w:val="FFFFFF" w:themeColor="background1"/>
                <w:sz w:val="22"/>
              </w:rPr>
              <w:fldChar w:fldCharType="separate"/>
            </w:r>
            <w:r w:rsidR="00CA34AF">
              <w:rPr>
                <w:noProof/>
                <w:color w:val="FFFFFF" w:themeColor="background1"/>
                <w:sz w:val="22"/>
              </w:rPr>
              <w:t>19</w:t>
            </w:r>
            <w:r w:rsidRPr="004A6DEF">
              <w:rPr>
                <w:noProof/>
                <w:color w:val="FFFFFF" w:themeColor="background1"/>
                <w:sz w:val="22"/>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2A9D9" w14:textId="77777777" w:rsidR="008B43E4" w:rsidRDefault="008B43E4" w:rsidP="009D0579">
      <w:pPr>
        <w:spacing w:after="0"/>
      </w:pPr>
      <w:r>
        <w:separator/>
      </w:r>
    </w:p>
  </w:footnote>
  <w:footnote w:type="continuationSeparator" w:id="0">
    <w:p w14:paraId="1DC84D04" w14:textId="77777777" w:rsidR="008B43E4" w:rsidRDefault="008B43E4" w:rsidP="009D05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EC7A4" w14:textId="4623C633" w:rsidR="004779B1" w:rsidRPr="004779B1" w:rsidRDefault="004779B1" w:rsidP="004779B1">
    <w:pPr>
      <w:pStyle w:val="Header"/>
      <w:spacing w:after="240" w:line="276" w:lineRule="auto"/>
      <w:jc w:val="center"/>
      <w:rPr>
        <w:rFonts w:ascii="Calibri" w:eastAsia="Calibri" w:hAnsi="Calibri" w:cs="Arial"/>
        <w:b/>
        <w:sz w:val="28"/>
        <w:szCs w:val="28"/>
      </w:rPr>
    </w:pPr>
    <w:r w:rsidRPr="004779B1">
      <w:rPr>
        <w:rFonts w:ascii="Calibri" w:eastAsia="Calibri" w:hAnsi="Calibri" w:cs="Arial"/>
        <w:b/>
        <w:sz w:val="28"/>
        <w:szCs w:val="28"/>
      </w:rPr>
      <w:t>Safe Medication Administration</w:t>
    </w:r>
    <w:r>
      <w:rPr>
        <w:rFonts w:ascii="Calibri" w:eastAsia="Calibri" w:hAnsi="Calibri" w:cs="Arial"/>
        <w:b/>
        <w:sz w:val="28"/>
        <w:szCs w:val="28"/>
      </w:rPr>
      <w:t>—</w:t>
    </w:r>
    <w:r w:rsidRPr="004779B1">
      <w:rPr>
        <w:rFonts w:ascii="Calibri" w:eastAsia="Calibri" w:hAnsi="Calibri" w:cs="Arial"/>
        <w:b/>
        <w:sz w:val="28"/>
        <w:szCs w:val="28"/>
      </w:rPr>
      <w:t>Oxytocin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AD256" w14:textId="66C7C8A2" w:rsidR="008B43E4" w:rsidRDefault="008B43E4" w:rsidP="00EF11B4">
    <w:pPr>
      <w:pStyle w:val="Header"/>
      <w:spacing w:after="480"/>
      <w:jc w:val="center"/>
      <w:rPr>
        <w:rFonts w:ascii="Calibri" w:hAnsi="Calibri" w:cs="Arial"/>
        <w:b/>
        <w:color w:val="FFFFFF" w:themeColor="background1"/>
        <w:sz w:val="48"/>
        <w:szCs w:val="48"/>
      </w:rPr>
    </w:pPr>
    <w:r w:rsidRPr="004779B1">
      <w:rPr>
        <w:rFonts w:ascii="Calibri" w:hAnsi="Calibri" w:cs="Arial"/>
        <w:b/>
        <w:noProof/>
        <w:color w:val="FFFFFF" w:themeColor="background1"/>
        <w:sz w:val="48"/>
        <w:szCs w:val="48"/>
      </w:rPr>
      <w:drawing>
        <wp:anchor distT="0" distB="0" distL="114300" distR="114300" simplePos="0" relativeHeight="251653632" behindDoc="1" locked="0" layoutInCell="1" allowOverlap="1" wp14:anchorId="215CA2AD" wp14:editId="45CBBCAD">
          <wp:simplePos x="0" y="0"/>
          <wp:positionH relativeFrom="column">
            <wp:posOffset>-904875</wp:posOffset>
          </wp:positionH>
          <wp:positionV relativeFrom="paragraph">
            <wp:posOffset>-447675</wp:posOffset>
          </wp:positionV>
          <wp:extent cx="7764598" cy="10058400"/>
          <wp:effectExtent l="0" t="0" r="8255" b="0"/>
          <wp:wrapNone/>
          <wp:docPr id="3" name="Picture 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598"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79B1" w:rsidRPr="004779B1">
      <w:rPr>
        <w:rFonts w:ascii="Calibri" w:hAnsi="Calibri" w:cs="Arial"/>
        <w:b/>
        <w:color w:val="FFFFFF" w:themeColor="background1"/>
        <w:sz w:val="48"/>
        <w:szCs w:val="48"/>
      </w:rPr>
      <w:t xml:space="preserve">AHRQ </w:t>
    </w:r>
    <w:r w:rsidRPr="004779B1">
      <w:rPr>
        <w:rFonts w:ascii="Calibri" w:hAnsi="Calibri" w:cs="Arial"/>
        <w:b/>
        <w:color w:val="FFFFFF" w:themeColor="background1"/>
        <w:sz w:val="48"/>
        <w:szCs w:val="48"/>
      </w:rPr>
      <w:t>Safety Program for Perinatal Care</w:t>
    </w:r>
  </w:p>
  <w:p w14:paraId="53A47732" w14:textId="56D0E6CB" w:rsidR="004779B1" w:rsidRPr="004779B1" w:rsidRDefault="004779B1" w:rsidP="004779B1">
    <w:pPr>
      <w:pStyle w:val="Header"/>
      <w:spacing w:after="240" w:line="276" w:lineRule="auto"/>
      <w:jc w:val="center"/>
      <w:rPr>
        <w:rFonts w:ascii="Calibri" w:eastAsia="Calibri" w:hAnsi="Calibri" w:cs="Arial"/>
        <w:b/>
        <w:sz w:val="28"/>
        <w:szCs w:val="28"/>
      </w:rPr>
    </w:pPr>
    <w:r w:rsidRPr="004779B1">
      <w:rPr>
        <w:rFonts w:ascii="Calibri" w:eastAsia="Calibri" w:hAnsi="Calibri" w:cs="Arial"/>
        <w:b/>
        <w:sz w:val="28"/>
        <w:szCs w:val="28"/>
      </w:rPr>
      <w:t>Safe Medication Administration</w:t>
    </w:r>
    <w:r w:rsidRPr="004779B1">
      <w:rPr>
        <w:rFonts w:ascii="Calibri" w:eastAsia="Calibri" w:hAnsi="Calibri" w:cs="Arial"/>
        <w:b/>
        <w:sz w:val="28"/>
        <w:szCs w:val="28"/>
      </w:rPr>
      <w:br/>
      <w:t>Oxytocin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6CA07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A632D9E"/>
    <w:multiLevelType w:val="hybridMultilevel"/>
    <w:tmpl w:val="85E8B134"/>
    <w:lvl w:ilvl="0" w:tplc="7BD86A0A">
      <w:start w:val="1"/>
      <w:numFmt w:val="bullet"/>
      <w:lvlText w:val="–"/>
      <w:lvlJc w:val="left"/>
      <w:pPr>
        <w:ind w:left="760" w:hanging="360"/>
      </w:pPr>
      <w:rPr>
        <w:rFonts w:ascii="Times New Roman" w:hAnsi="Times New Roman" w:cs="Times New Roman" w:hint="default"/>
        <w:sz w:val="24"/>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nsid w:val="0CC93D19"/>
    <w:multiLevelType w:val="hybridMultilevel"/>
    <w:tmpl w:val="3CFE6F4E"/>
    <w:lvl w:ilvl="0" w:tplc="04090001">
      <w:start w:val="1"/>
      <w:numFmt w:val="bullet"/>
      <w:lvlText w:val=""/>
      <w:lvlJc w:val="left"/>
      <w:pPr>
        <w:ind w:left="720" w:hanging="360"/>
      </w:pPr>
      <w:rPr>
        <w:rFonts w:ascii="Symbol" w:hAnsi="Symbol" w:hint="default"/>
        <w:b/>
        <w:i w:val="0"/>
        <w:color w:val="auto"/>
        <w:sz w:val="24"/>
        <w:szCs w:val="22"/>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604D4"/>
    <w:multiLevelType w:val="hybridMultilevel"/>
    <w:tmpl w:val="F5660612"/>
    <w:lvl w:ilvl="0" w:tplc="0A188198">
      <w:start w:val="1"/>
      <w:numFmt w:val="bullet"/>
      <w:lvlText w:val=""/>
      <w:lvlJc w:val="left"/>
      <w:pPr>
        <w:ind w:left="720" w:hanging="360"/>
      </w:pPr>
      <w:rPr>
        <w:rFonts w:ascii="Symbol" w:hAnsi="Symbol" w:hint="default"/>
      </w:rPr>
    </w:lvl>
    <w:lvl w:ilvl="1" w:tplc="F52632EC">
      <w:start w:val="1"/>
      <w:numFmt w:val="bullet"/>
      <w:lvlText w:val="•"/>
      <w:lvlJc w:val="left"/>
      <w:pPr>
        <w:ind w:left="1170" w:hanging="360"/>
      </w:pPr>
      <w:rPr>
        <w:rFonts w:ascii="Arial" w:hAnsi="Arial"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27457"/>
    <w:multiLevelType w:val="hybridMultilevel"/>
    <w:tmpl w:val="05C232C2"/>
    <w:lvl w:ilvl="0" w:tplc="F52632EC">
      <w:start w:val="1"/>
      <w:numFmt w:val="bullet"/>
      <w:lvlText w:val="•"/>
      <w:lvlJc w:val="left"/>
      <w:pPr>
        <w:ind w:left="760" w:hanging="360"/>
      </w:pPr>
      <w:rPr>
        <w:rFonts w:ascii="Arial" w:hAnsi="Arial" w:hint="default"/>
        <w:sz w:val="24"/>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20CE3B14"/>
    <w:multiLevelType w:val="hybridMultilevel"/>
    <w:tmpl w:val="52DE6BEC"/>
    <w:lvl w:ilvl="0" w:tplc="22C66200">
      <w:start w:val="1"/>
      <w:numFmt w:val="bullet"/>
      <w:lvlText w:val="–"/>
      <w:lvlJc w:val="left"/>
      <w:pPr>
        <w:ind w:left="760" w:hanging="360"/>
      </w:pPr>
      <w:rPr>
        <w:rFonts w:ascii="Times New Roman" w:hAnsi="Times New Roman" w:cs="Times New Roman" w:hint="default"/>
        <w:b/>
        <w:i w:val="0"/>
        <w:color w:val="auto"/>
        <w:sz w:val="24"/>
        <w:szCs w:val="22"/>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nsid w:val="2107324A"/>
    <w:multiLevelType w:val="hybridMultilevel"/>
    <w:tmpl w:val="108A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F2B7F"/>
    <w:multiLevelType w:val="hybridMultilevel"/>
    <w:tmpl w:val="E20447A2"/>
    <w:lvl w:ilvl="0" w:tplc="0A188198">
      <w:start w:val="1"/>
      <w:numFmt w:val="bullet"/>
      <w:lvlText w:val=""/>
      <w:lvlJc w:val="left"/>
      <w:pPr>
        <w:ind w:left="720" w:hanging="360"/>
      </w:pPr>
      <w:rPr>
        <w:rFonts w:ascii="Symbol" w:hAnsi="Symbol" w:hint="default"/>
      </w:rPr>
    </w:lvl>
    <w:lvl w:ilvl="1" w:tplc="7BD86A0A">
      <w:start w:val="1"/>
      <w:numFmt w:val="bullet"/>
      <w:lvlText w:val="–"/>
      <w:lvlJc w:val="left"/>
      <w:pPr>
        <w:ind w:left="117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455E3"/>
    <w:multiLevelType w:val="hybridMultilevel"/>
    <w:tmpl w:val="6B88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27758C"/>
    <w:multiLevelType w:val="hybridMultilevel"/>
    <w:tmpl w:val="2BAA6B68"/>
    <w:lvl w:ilvl="0" w:tplc="259C2C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283C44"/>
    <w:multiLevelType w:val="hybridMultilevel"/>
    <w:tmpl w:val="5A88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346D9"/>
    <w:multiLevelType w:val="hybridMultilevel"/>
    <w:tmpl w:val="485695C4"/>
    <w:lvl w:ilvl="0" w:tplc="50AC4AD0">
      <w:start w:val="1"/>
      <w:numFmt w:val="bullet"/>
      <w:pStyle w:val="TableBullet1"/>
      <w:lvlText w:val=""/>
      <w:lvlJc w:val="left"/>
      <w:pPr>
        <w:ind w:left="810" w:hanging="360"/>
      </w:pPr>
      <w:rPr>
        <w:rFonts w:ascii="Symbol" w:hAnsi="Symbol" w:hint="default"/>
        <w:sz w:val="22"/>
        <w:szCs w:val="22"/>
      </w:rPr>
    </w:lvl>
    <w:lvl w:ilvl="1" w:tplc="E91EE904">
      <w:start w:val="623"/>
      <w:numFmt w:val="bullet"/>
      <w:pStyle w:val="TableBullet3"/>
      <w:lvlText w:val="–"/>
      <w:lvlJc w:val="left"/>
      <w:pPr>
        <w:ind w:left="1512" w:hanging="360"/>
      </w:pPr>
      <w:rPr>
        <w:rFonts w:ascii="Arial" w:hAnsi="Aria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30D21691"/>
    <w:multiLevelType w:val="hybridMultilevel"/>
    <w:tmpl w:val="AD0A0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AD4D6C"/>
    <w:multiLevelType w:val="hybridMultilevel"/>
    <w:tmpl w:val="AFF839F2"/>
    <w:lvl w:ilvl="0" w:tplc="BED0DAD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36FD5"/>
    <w:multiLevelType w:val="hybridMultilevel"/>
    <w:tmpl w:val="598CB2E0"/>
    <w:lvl w:ilvl="0" w:tplc="BED0DAD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51B13"/>
    <w:multiLevelType w:val="hybridMultilevel"/>
    <w:tmpl w:val="9B5C831C"/>
    <w:lvl w:ilvl="0" w:tplc="6696F74E">
      <w:start w:val="1"/>
      <w:numFmt w:val="decimal"/>
      <w:lvlText w:val="%1."/>
      <w:lvlJc w:val="left"/>
      <w:pPr>
        <w:tabs>
          <w:tab w:val="num" w:pos="720"/>
        </w:tabs>
        <w:ind w:left="720" w:hanging="360"/>
      </w:pPr>
    </w:lvl>
    <w:lvl w:ilvl="1" w:tplc="F0104FCA" w:tentative="1">
      <w:start w:val="1"/>
      <w:numFmt w:val="decimal"/>
      <w:lvlText w:val="%2."/>
      <w:lvlJc w:val="left"/>
      <w:pPr>
        <w:tabs>
          <w:tab w:val="num" w:pos="1440"/>
        </w:tabs>
        <w:ind w:left="1440" w:hanging="360"/>
      </w:pPr>
    </w:lvl>
    <w:lvl w:ilvl="2" w:tplc="8CD098F8" w:tentative="1">
      <w:start w:val="1"/>
      <w:numFmt w:val="decimal"/>
      <w:lvlText w:val="%3."/>
      <w:lvlJc w:val="left"/>
      <w:pPr>
        <w:tabs>
          <w:tab w:val="num" w:pos="2160"/>
        </w:tabs>
        <w:ind w:left="2160" w:hanging="360"/>
      </w:pPr>
    </w:lvl>
    <w:lvl w:ilvl="3" w:tplc="DC949BFC" w:tentative="1">
      <w:start w:val="1"/>
      <w:numFmt w:val="decimal"/>
      <w:lvlText w:val="%4."/>
      <w:lvlJc w:val="left"/>
      <w:pPr>
        <w:tabs>
          <w:tab w:val="num" w:pos="2880"/>
        </w:tabs>
        <w:ind w:left="2880" w:hanging="360"/>
      </w:pPr>
    </w:lvl>
    <w:lvl w:ilvl="4" w:tplc="96663FA0" w:tentative="1">
      <w:start w:val="1"/>
      <w:numFmt w:val="decimal"/>
      <w:lvlText w:val="%5."/>
      <w:lvlJc w:val="left"/>
      <w:pPr>
        <w:tabs>
          <w:tab w:val="num" w:pos="3600"/>
        </w:tabs>
        <w:ind w:left="3600" w:hanging="360"/>
      </w:pPr>
    </w:lvl>
    <w:lvl w:ilvl="5" w:tplc="3A84635A" w:tentative="1">
      <w:start w:val="1"/>
      <w:numFmt w:val="decimal"/>
      <w:lvlText w:val="%6."/>
      <w:lvlJc w:val="left"/>
      <w:pPr>
        <w:tabs>
          <w:tab w:val="num" w:pos="4320"/>
        </w:tabs>
        <w:ind w:left="4320" w:hanging="360"/>
      </w:pPr>
    </w:lvl>
    <w:lvl w:ilvl="6" w:tplc="F354752A" w:tentative="1">
      <w:start w:val="1"/>
      <w:numFmt w:val="decimal"/>
      <w:lvlText w:val="%7."/>
      <w:lvlJc w:val="left"/>
      <w:pPr>
        <w:tabs>
          <w:tab w:val="num" w:pos="5040"/>
        </w:tabs>
        <w:ind w:left="5040" w:hanging="360"/>
      </w:pPr>
    </w:lvl>
    <w:lvl w:ilvl="7" w:tplc="69F68F22" w:tentative="1">
      <w:start w:val="1"/>
      <w:numFmt w:val="decimal"/>
      <w:lvlText w:val="%8."/>
      <w:lvlJc w:val="left"/>
      <w:pPr>
        <w:tabs>
          <w:tab w:val="num" w:pos="5760"/>
        </w:tabs>
        <w:ind w:left="5760" w:hanging="360"/>
      </w:pPr>
    </w:lvl>
    <w:lvl w:ilvl="8" w:tplc="8D5A2A46" w:tentative="1">
      <w:start w:val="1"/>
      <w:numFmt w:val="decimal"/>
      <w:lvlText w:val="%9."/>
      <w:lvlJc w:val="left"/>
      <w:pPr>
        <w:tabs>
          <w:tab w:val="num" w:pos="6480"/>
        </w:tabs>
        <w:ind w:left="6480" w:hanging="360"/>
      </w:pPr>
    </w:lvl>
  </w:abstractNum>
  <w:abstractNum w:abstractNumId="16">
    <w:nsid w:val="36F33D6E"/>
    <w:multiLevelType w:val="hybridMultilevel"/>
    <w:tmpl w:val="AA04C6AC"/>
    <w:lvl w:ilvl="0" w:tplc="F52632EC">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08424F"/>
    <w:multiLevelType w:val="hybridMultilevel"/>
    <w:tmpl w:val="46D6FED8"/>
    <w:lvl w:ilvl="0" w:tplc="7A2EA85A">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994396"/>
    <w:multiLevelType w:val="hybridMultilevel"/>
    <w:tmpl w:val="A0F2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186225"/>
    <w:multiLevelType w:val="hybridMultilevel"/>
    <w:tmpl w:val="D0BAE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FA314F"/>
    <w:multiLevelType w:val="hybridMultilevel"/>
    <w:tmpl w:val="5D807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12FC8"/>
    <w:multiLevelType w:val="hybridMultilevel"/>
    <w:tmpl w:val="ABB6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8438E8"/>
    <w:multiLevelType w:val="hybridMultilevel"/>
    <w:tmpl w:val="ABA6877C"/>
    <w:lvl w:ilvl="0" w:tplc="F52632EC">
      <w:start w:val="1"/>
      <w:numFmt w:val="bullet"/>
      <w:lvlText w:val="•"/>
      <w:lvlJc w:val="left"/>
      <w:pPr>
        <w:ind w:left="360" w:hanging="360"/>
      </w:pPr>
      <w:rPr>
        <w:rFonts w:ascii="Arial" w:hAnsi="Aria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F57890"/>
    <w:multiLevelType w:val="hybridMultilevel"/>
    <w:tmpl w:val="070CD074"/>
    <w:lvl w:ilvl="0" w:tplc="F52632EC">
      <w:start w:val="1"/>
      <w:numFmt w:val="bullet"/>
      <w:lvlText w:val="•"/>
      <w:lvlJc w:val="left"/>
      <w:pPr>
        <w:ind w:left="76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1F3B34"/>
    <w:multiLevelType w:val="hybridMultilevel"/>
    <w:tmpl w:val="027E07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53814A50"/>
    <w:multiLevelType w:val="hybridMultilevel"/>
    <w:tmpl w:val="52109910"/>
    <w:lvl w:ilvl="0" w:tplc="94B67BC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4DC4B28"/>
    <w:multiLevelType w:val="hybridMultilevel"/>
    <w:tmpl w:val="E2D8089E"/>
    <w:lvl w:ilvl="0" w:tplc="0A188198">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956B5C"/>
    <w:multiLevelType w:val="hybridMultilevel"/>
    <w:tmpl w:val="FDF0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7F529F"/>
    <w:multiLevelType w:val="hybridMultilevel"/>
    <w:tmpl w:val="DEB67F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CD227B8"/>
    <w:multiLevelType w:val="hybridMultilevel"/>
    <w:tmpl w:val="F8569418"/>
    <w:lvl w:ilvl="0" w:tplc="22C66200">
      <w:start w:val="1"/>
      <w:numFmt w:val="bullet"/>
      <w:lvlText w:val="–"/>
      <w:lvlJc w:val="left"/>
      <w:pPr>
        <w:ind w:left="760" w:hanging="360"/>
      </w:pPr>
      <w:rPr>
        <w:rFonts w:ascii="Times New Roman" w:hAnsi="Times New Roman" w:cs="Times New Roman" w:hint="default"/>
        <w:b/>
        <w:i w:val="0"/>
        <w:color w:val="auto"/>
        <w:sz w:val="24"/>
        <w:szCs w:val="22"/>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0">
    <w:nsid w:val="5EDD1157"/>
    <w:multiLevelType w:val="hybridMultilevel"/>
    <w:tmpl w:val="F936463E"/>
    <w:lvl w:ilvl="0" w:tplc="259C2C70">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1">
    <w:nsid w:val="602B1927"/>
    <w:multiLevelType w:val="hybridMultilevel"/>
    <w:tmpl w:val="5ED2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3E1208"/>
    <w:multiLevelType w:val="hybridMultilevel"/>
    <w:tmpl w:val="EADC9F9A"/>
    <w:lvl w:ilvl="0" w:tplc="7A2EA85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562A1A"/>
    <w:multiLevelType w:val="hybridMultilevel"/>
    <w:tmpl w:val="D3227432"/>
    <w:lvl w:ilvl="0" w:tplc="04090003">
      <w:start w:val="1"/>
      <w:numFmt w:val="bullet"/>
      <w:lvlText w:val="o"/>
      <w:lvlJc w:val="left"/>
      <w:pPr>
        <w:ind w:left="760" w:hanging="360"/>
      </w:pPr>
      <w:rPr>
        <w:rFonts w:ascii="Courier New" w:hAnsi="Courier New" w:cs="Courier New" w:hint="default"/>
        <w:sz w:val="24"/>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nsid w:val="6F042B54"/>
    <w:multiLevelType w:val="hybridMultilevel"/>
    <w:tmpl w:val="C1AEE516"/>
    <w:lvl w:ilvl="0" w:tplc="F52632EC">
      <w:start w:val="1"/>
      <w:numFmt w:val="bullet"/>
      <w:lvlText w:val="•"/>
      <w:lvlJc w:val="left"/>
      <w:pPr>
        <w:ind w:left="720" w:hanging="360"/>
      </w:pPr>
      <w:rPr>
        <w:rFonts w:ascii="Arial" w:hAnsi="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4E1BF9"/>
    <w:multiLevelType w:val="hybridMultilevel"/>
    <w:tmpl w:val="C592FE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0734EC"/>
    <w:multiLevelType w:val="hybridMultilevel"/>
    <w:tmpl w:val="1A5C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813A78"/>
    <w:multiLevelType w:val="hybridMultilevel"/>
    <w:tmpl w:val="17264B9A"/>
    <w:lvl w:ilvl="0" w:tplc="AEE4D86A">
      <w:numFmt w:val="bullet"/>
      <w:pStyle w:val="ListBullet3"/>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5FF0B50"/>
    <w:multiLevelType w:val="hybridMultilevel"/>
    <w:tmpl w:val="C6A8D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657D4C"/>
    <w:multiLevelType w:val="hybridMultilevel"/>
    <w:tmpl w:val="2B26D96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0">
    <w:nsid w:val="7AAB57D9"/>
    <w:multiLevelType w:val="hybridMultilevel"/>
    <w:tmpl w:val="6E4E1416"/>
    <w:lvl w:ilvl="0" w:tplc="7A2EA85A">
      <w:numFmt w:val="bullet"/>
      <w:lvlText w:val="•"/>
      <w:lvlJc w:val="left"/>
      <w:pPr>
        <w:ind w:left="1080" w:hanging="720"/>
      </w:pPr>
      <w:rPr>
        <w:rFonts w:ascii="Arial" w:eastAsia="Calibri" w:hAnsi="Arial" w:cs="Arial" w:hint="default"/>
      </w:rPr>
    </w:lvl>
    <w:lvl w:ilvl="1" w:tplc="D2827D46">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782237"/>
    <w:multiLevelType w:val="hybridMultilevel"/>
    <w:tmpl w:val="245424F2"/>
    <w:lvl w:ilvl="0" w:tplc="B7420888">
      <w:start w:val="1"/>
      <w:numFmt w:val="bullet"/>
      <w:pStyle w:val="TableBullet2"/>
      <w:lvlText w:val="o"/>
      <w:lvlJc w:val="left"/>
      <w:pPr>
        <w:ind w:left="792" w:hanging="360"/>
      </w:pPr>
      <w:rPr>
        <w:rFonts w:ascii="Courier New" w:hAnsi="Courier New" w:cs="Courier New" w:hint="default"/>
      </w:rPr>
    </w:lvl>
    <w:lvl w:ilvl="1" w:tplc="04090003">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nsid w:val="7EFE3D8D"/>
    <w:multiLevelType w:val="hybridMultilevel"/>
    <w:tmpl w:val="FAF09506"/>
    <w:lvl w:ilvl="0" w:tplc="04090001">
      <w:start w:val="1"/>
      <w:numFmt w:val="bullet"/>
      <w:lvlText w:val=""/>
      <w:lvlJc w:val="left"/>
      <w:pPr>
        <w:ind w:left="878" w:hanging="360"/>
      </w:pPr>
      <w:rPr>
        <w:rFonts w:ascii="Symbol" w:hAnsi="Symbol" w:hint="default"/>
      </w:rPr>
    </w:lvl>
    <w:lvl w:ilvl="1" w:tplc="04090003">
      <w:start w:val="1"/>
      <w:numFmt w:val="bullet"/>
      <w:lvlText w:val="o"/>
      <w:lvlJc w:val="left"/>
      <w:pPr>
        <w:ind w:left="1598" w:hanging="360"/>
      </w:pPr>
      <w:rPr>
        <w:rFonts w:ascii="Courier New" w:hAnsi="Courier New" w:cs="Courier New" w:hint="default"/>
      </w:rPr>
    </w:lvl>
    <w:lvl w:ilvl="2" w:tplc="04090005">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num w:numId="1">
    <w:abstractNumId w:val="7"/>
  </w:num>
  <w:num w:numId="2">
    <w:abstractNumId w:val="0"/>
  </w:num>
  <w:num w:numId="3">
    <w:abstractNumId w:val="37"/>
  </w:num>
  <w:num w:numId="4">
    <w:abstractNumId w:val="20"/>
  </w:num>
  <w:num w:numId="5">
    <w:abstractNumId w:val="34"/>
  </w:num>
  <w:num w:numId="6">
    <w:abstractNumId w:val="4"/>
  </w:num>
  <w:num w:numId="7">
    <w:abstractNumId w:val="1"/>
  </w:num>
  <w:num w:numId="8">
    <w:abstractNumId w:val="29"/>
  </w:num>
  <w:num w:numId="9">
    <w:abstractNumId w:val="5"/>
  </w:num>
  <w:num w:numId="10">
    <w:abstractNumId w:val="3"/>
  </w:num>
  <w:num w:numId="11">
    <w:abstractNumId w:val="12"/>
  </w:num>
  <w:num w:numId="12">
    <w:abstractNumId w:val="9"/>
  </w:num>
  <w:num w:numId="13">
    <w:abstractNumId w:val="10"/>
  </w:num>
  <w:num w:numId="14">
    <w:abstractNumId w:val="32"/>
  </w:num>
  <w:num w:numId="15">
    <w:abstractNumId w:val="17"/>
  </w:num>
  <w:num w:numId="16">
    <w:abstractNumId w:val="40"/>
  </w:num>
  <w:num w:numId="17">
    <w:abstractNumId w:val="21"/>
  </w:num>
  <w:num w:numId="18">
    <w:abstractNumId w:val="39"/>
  </w:num>
  <w:num w:numId="19">
    <w:abstractNumId w:val="18"/>
  </w:num>
  <w:num w:numId="20">
    <w:abstractNumId w:val="8"/>
  </w:num>
  <w:num w:numId="21">
    <w:abstractNumId w:val="38"/>
  </w:num>
  <w:num w:numId="22">
    <w:abstractNumId w:val="23"/>
  </w:num>
  <w:num w:numId="23">
    <w:abstractNumId w:val="28"/>
  </w:num>
  <w:num w:numId="24">
    <w:abstractNumId w:val="35"/>
  </w:num>
  <w:num w:numId="25">
    <w:abstractNumId w:val="22"/>
  </w:num>
  <w:num w:numId="26">
    <w:abstractNumId w:val="16"/>
  </w:num>
  <w:num w:numId="27">
    <w:abstractNumId w:val="24"/>
  </w:num>
  <w:num w:numId="28">
    <w:abstractNumId w:val="31"/>
  </w:num>
  <w:num w:numId="29">
    <w:abstractNumId w:val="13"/>
  </w:num>
  <w:num w:numId="30">
    <w:abstractNumId w:val="25"/>
  </w:num>
  <w:num w:numId="31">
    <w:abstractNumId w:val="19"/>
  </w:num>
  <w:num w:numId="32">
    <w:abstractNumId w:val="42"/>
  </w:num>
  <w:num w:numId="33">
    <w:abstractNumId w:val="27"/>
  </w:num>
  <w:num w:numId="34">
    <w:abstractNumId w:val="36"/>
  </w:num>
  <w:num w:numId="35">
    <w:abstractNumId w:val="6"/>
  </w:num>
  <w:num w:numId="36">
    <w:abstractNumId w:val="15"/>
  </w:num>
  <w:num w:numId="37">
    <w:abstractNumId w:val="14"/>
  </w:num>
  <w:num w:numId="38">
    <w:abstractNumId w:val="30"/>
  </w:num>
  <w:num w:numId="39">
    <w:abstractNumId w:val="2"/>
  </w:num>
  <w:num w:numId="40">
    <w:abstractNumId w:val="11"/>
  </w:num>
  <w:num w:numId="41">
    <w:abstractNumId w:val="26"/>
  </w:num>
  <w:num w:numId="42">
    <w:abstractNumId w:val="33"/>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79"/>
    <w:rsid w:val="00001EB9"/>
    <w:rsid w:val="0000751E"/>
    <w:rsid w:val="00013EC3"/>
    <w:rsid w:val="00037D57"/>
    <w:rsid w:val="00050641"/>
    <w:rsid w:val="00052E03"/>
    <w:rsid w:val="000D00FB"/>
    <w:rsid w:val="000F4BA4"/>
    <w:rsid w:val="00125C73"/>
    <w:rsid w:val="001330B0"/>
    <w:rsid w:val="00136E75"/>
    <w:rsid w:val="001373D3"/>
    <w:rsid w:val="00140467"/>
    <w:rsid w:val="00144028"/>
    <w:rsid w:val="00153617"/>
    <w:rsid w:val="00181600"/>
    <w:rsid w:val="00194A13"/>
    <w:rsid w:val="001B2202"/>
    <w:rsid w:val="001C4324"/>
    <w:rsid w:val="001D02CD"/>
    <w:rsid w:val="001E080B"/>
    <w:rsid w:val="00276459"/>
    <w:rsid w:val="00285E28"/>
    <w:rsid w:val="002A4F8D"/>
    <w:rsid w:val="002C2B48"/>
    <w:rsid w:val="00330094"/>
    <w:rsid w:val="003549BC"/>
    <w:rsid w:val="00354BD4"/>
    <w:rsid w:val="00377F5F"/>
    <w:rsid w:val="003B53F1"/>
    <w:rsid w:val="003C5BEB"/>
    <w:rsid w:val="003D4BE3"/>
    <w:rsid w:val="00405EFA"/>
    <w:rsid w:val="00412BC1"/>
    <w:rsid w:val="00466BA8"/>
    <w:rsid w:val="004723A1"/>
    <w:rsid w:val="004730B2"/>
    <w:rsid w:val="004779B1"/>
    <w:rsid w:val="00487C77"/>
    <w:rsid w:val="004A6DEF"/>
    <w:rsid w:val="004A73A5"/>
    <w:rsid w:val="004B016A"/>
    <w:rsid w:val="005172DA"/>
    <w:rsid w:val="0052171B"/>
    <w:rsid w:val="00572CF1"/>
    <w:rsid w:val="005B21FF"/>
    <w:rsid w:val="005B5D94"/>
    <w:rsid w:val="005D302D"/>
    <w:rsid w:val="005D3771"/>
    <w:rsid w:val="005D6B12"/>
    <w:rsid w:val="006275C4"/>
    <w:rsid w:val="00663416"/>
    <w:rsid w:val="00664305"/>
    <w:rsid w:val="006B25EA"/>
    <w:rsid w:val="00712842"/>
    <w:rsid w:val="00716A4A"/>
    <w:rsid w:val="007413FE"/>
    <w:rsid w:val="00763D36"/>
    <w:rsid w:val="007B05B5"/>
    <w:rsid w:val="0083648F"/>
    <w:rsid w:val="00860D14"/>
    <w:rsid w:val="008B43E4"/>
    <w:rsid w:val="008B6F72"/>
    <w:rsid w:val="008C3A0E"/>
    <w:rsid w:val="008E0C26"/>
    <w:rsid w:val="009060BE"/>
    <w:rsid w:val="009452C8"/>
    <w:rsid w:val="009A68CB"/>
    <w:rsid w:val="009D0579"/>
    <w:rsid w:val="00A56DB0"/>
    <w:rsid w:val="00A7606D"/>
    <w:rsid w:val="00A8170C"/>
    <w:rsid w:val="00A8767B"/>
    <w:rsid w:val="00A94A6A"/>
    <w:rsid w:val="00B665E9"/>
    <w:rsid w:val="00B865F5"/>
    <w:rsid w:val="00B93326"/>
    <w:rsid w:val="00BC2353"/>
    <w:rsid w:val="00BD38C0"/>
    <w:rsid w:val="00C15209"/>
    <w:rsid w:val="00C37B4B"/>
    <w:rsid w:val="00C57F0D"/>
    <w:rsid w:val="00C72850"/>
    <w:rsid w:val="00C93D14"/>
    <w:rsid w:val="00CA34AF"/>
    <w:rsid w:val="00CB56C6"/>
    <w:rsid w:val="00CE1B40"/>
    <w:rsid w:val="00CF322B"/>
    <w:rsid w:val="00CF68CD"/>
    <w:rsid w:val="00D10ECE"/>
    <w:rsid w:val="00D34FB9"/>
    <w:rsid w:val="00D37B45"/>
    <w:rsid w:val="00D92B21"/>
    <w:rsid w:val="00D93A89"/>
    <w:rsid w:val="00D93B81"/>
    <w:rsid w:val="00DB7503"/>
    <w:rsid w:val="00DC1BB6"/>
    <w:rsid w:val="00DE1280"/>
    <w:rsid w:val="00DE2694"/>
    <w:rsid w:val="00DF7233"/>
    <w:rsid w:val="00E21B81"/>
    <w:rsid w:val="00E3788A"/>
    <w:rsid w:val="00E46191"/>
    <w:rsid w:val="00E93A01"/>
    <w:rsid w:val="00EA3188"/>
    <w:rsid w:val="00EA6414"/>
    <w:rsid w:val="00EA6D3D"/>
    <w:rsid w:val="00EC3314"/>
    <w:rsid w:val="00ED3FB4"/>
    <w:rsid w:val="00ED7818"/>
    <w:rsid w:val="00EF11B4"/>
    <w:rsid w:val="00F23F3F"/>
    <w:rsid w:val="00F46A47"/>
    <w:rsid w:val="00F63D15"/>
    <w:rsid w:val="00F71BAA"/>
    <w:rsid w:val="00FC32BE"/>
    <w:rsid w:val="00FC3511"/>
    <w:rsid w:val="00FE37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43E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51E"/>
    <w:pPr>
      <w:spacing w:line="240" w:lineRule="auto"/>
    </w:pPr>
    <w:rPr>
      <w:rFonts w:ascii="Arial" w:hAnsi="Arial"/>
      <w:sz w:val="24"/>
    </w:rPr>
  </w:style>
  <w:style w:type="paragraph" w:styleId="Heading1">
    <w:name w:val="heading 1"/>
    <w:basedOn w:val="BodyText"/>
    <w:next w:val="Normal"/>
    <w:link w:val="Heading1Char"/>
    <w:uiPriority w:val="9"/>
    <w:qFormat/>
    <w:rsid w:val="00A56DB0"/>
    <w:pPr>
      <w:outlineLvl w:val="0"/>
    </w:pPr>
    <w:rPr>
      <w:b/>
      <w:bCs/>
    </w:rPr>
  </w:style>
  <w:style w:type="paragraph" w:styleId="Heading2">
    <w:name w:val="heading 2"/>
    <w:basedOn w:val="Normal"/>
    <w:next w:val="Normal"/>
    <w:link w:val="Heading2Char"/>
    <w:uiPriority w:val="9"/>
    <w:qFormat/>
    <w:rsid w:val="00330094"/>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330094"/>
    <w:pPr>
      <w:spacing w:before="200" w:after="0" w:line="271" w:lineRule="auto"/>
      <w:outlineLvl w:val="2"/>
    </w:pPr>
    <w:rPr>
      <w:rFonts w:ascii="Cambria" w:eastAsia="Times New Roman" w:hAnsi="Cambria" w:cs="Times New Roman"/>
      <w:b/>
      <w:bCs/>
      <w:sz w:val="20"/>
      <w:szCs w:val="20"/>
    </w:rPr>
  </w:style>
  <w:style w:type="paragraph" w:styleId="Heading4">
    <w:name w:val="heading 4"/>
    <w:basedOn w:val="Normal"/>
    <w:next w:val="Normal"/>
    <w:link w:val="Heading4Char"/>
    <w:uiPriority w:val="9"/>
    <w:semiHidden/>
    <w:qFormat/>
    <w:rsid w:val="00330094"/>
    <w:pPr>
      <w:spacing w:before="200" w:after="0"/>
      <w:outlineLvl w:val="3"/>
    </w:pPr>
    <w:rPr>
      <w:rFonts w:ascii="Cambria" w:eastAsia="Times New Roman" w:hAnsi="Cambria" w:cs="Times New Roman"/>
      <w:b/>
      <w:bCs/>
      <w:i/>
      <w:iCs/>
      <w:sz w:val="20"/>
      <w:szCs w:val="20"/>
    </w:rPr>
  </w:style>
  <w:style w:type="paragraph" w:styleId="Heading5">
    <w:name w:val="heading 5"/>
    <w:basedOn w:val="Normal"/>
    <w:next w:val="Normal"/>
    <w:link w:val="Heading5Char"/>
    <w:uiPriority w:val="9"/>
    <w:semiHidden/>
    <w:qFormat/>
    <w:rsid w:val="00330094"/>
    <w:pPr>
      <w:spacing w:before="200" w:after="0"/>
      <w:outlineLvl w:val="4"/>
    </w:pPr>
    <w:rPr>
      <w:rFonts w:ascii="Cambria" w:eastAsia="Times New Roman" w:hAnsi="Cambria" w:cs="Times New Roman"/>
      <w:b/>
      <w:bCs/>
      <w:color w:val="7F7F7F"/>
      <w:sz w:val="20"/>
      <w:szCs w:val="20"/>
    </w:rPr>
  </w:style>
  <w:style w:type="paragraph" w:styleId="Heading6">
    <w:name w:val="heading 6"/>
    <w:basedOn w:val="Normal"/>
    <w:next w:val="Normal"/>
    <w:link w:val="Heading6Char"/>
    <w:uiPriority w:val="9"/>
    <w:semiHidden/>
    <w:qFormat/>
    <w:rsid w:val="00330094"/>
    <w:pPr>
      <w:spacing w:after="0" w:line="271" w:lineRule="auto"/>
      <w:outlineLvl w:val="5"/>
    </w:pPr>
    <w:rPr>
      <w:rFonts w:ascii="Cambria" w:eastAsia="Times New Roman" w:hAnsi="Cambria" w:cs="Times New Roman"/>
      <w:b/>
      <w:bCs/>
      <w:i/>
      <w:iCs/>
      <w:color w:val="7F7F7F"/>
      <w:sz w:val="20"/>
      <w:szCs w:val="20"/>
    </w:rPr>
  </w:style>
  <w:style w:type="paragraph" w:styleId="Heading7">
    <w:name w:val="heading 7"/>
    <w:basedOn w:val="Normal"/>
    <w:next w:val="Normal"/>
    <w:link w:val="Heading7Char"/>
    <w:uiPriority w:val="9"/>
    <w:semiHidden/>
    <w:qFormat/>
    <w:rsid w:val="00330094"/>
    <w:pPr>
      <w:spacing w:after="0"/>
      <w:outlineLvl w:val="6"/>
    </w:pPr>
    <w:rPr>
      <w:rFonts w:ascii="Cambria" w:eastAsia="Times New Roman" w:hAnsi="Cambria" w:cs="Times New Roman"/>
      <w:i/>
      <w:iCs/>
      <w:sz w:val="20"/>
      <w:szCs w:val="20"/>
    </w:rPr>
  </w:style>
  <w:style w:type="paragraph" w:styleId="Heading8">
    <w:name w:val="heading 8"/>
    <w:basedOn w:val="Normal"/>
    <w:next w:val="Normal"/>
    <w:link w:val="Heading8Char"/>
    <w:uiPriority w:val="9"/>
    <w:semiHidden/>
    <w:qFormat/>
    <w:rsid w:val="00330094"/>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qFormat/>
    <w:rsid w:val="00330094"/>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579"/>
    <w:pPr>
      <w:tabs>
        <w:tab w:val="center" w:pos="4680"/>
        <w:tab w:val="right" w:pos="9360"/>
      </w:tabs>
      <w:spacing w:after="0"/>
    </w:pPr>
  </w:style>
  <w:style w:type="character" w:customStyle="1" w:styleId="HeaderChar">
    <w:name w:val="Header Char"/>
    <w:basedOn w:val="DefaultParagraphFont"/>
    <w:link w:val="Header"/>
    <w:uiPriority w:val="99"/>
    <w:rsid w:val="009D0579"/>
  </w:style>
  <w:style w:type="paragraph" w:styleId="Footer">
    <w:name w:val="footer"/>
    <w:basedOn w:val="Normal"/>
    <w:link w:val="FooterChar"/>
    <w:uiPriority w:val="99"/>
    <w:unhideWhenUsed/>
    <w:rsid w:val="009D0579"/>
    <w:pPr>
      <w:tabs>
        <w:tab w:val="center" w:pos="4680"/>
        <w:tab w:val="right" w:pos="9360"/>
      </w:tabs>
      <w:spacing w:after="0"/>
    </w:pPr>
  </w:style>
  <w:style w:type="character" w:customStyle="1" w:styleId="FooterChar">
    <w:name w:val="Footer Char"/>
    <w:basedOn w:val="DefaultParagraphFont"/>
    <w:link w:val="Footer"/>
    <w:uiPriority w:val="99"/>
    <w:rsid w:val="009D0579"/>
  </w:style>
  <w:style w:type="paragraph" w:styleId="BalloonText">
    <w:name w:val="Balloon Text"/>
    <w:basedOn w:val="Normal"/>
    <w:link w:val="BalloonTextChar"/>
    <w:uiPriority w:val="99"/>
    <w:semiHidden/>
    <w:unhideWhenUsed/>
    <w:rsid w:val="009D05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579"/>
    <w:rPr>
      <w:rFonts w:ascii="Tahoma" w:hAnsi="Tahoma" w:cs="Tahoma"/>
      <w:sz w:val="16"/>
      <w:szCs w:val="16"/>
    </w:rPr>
  </w:style>
  <w:style w:type="character" w:customStyle="1" w:styleId="Heading1Char">
    <w:name w:val="Heading 1 Char"/>
    <w:basedOn w:val="DefaultParagraphFont"/>
    <w:link w:val="Heading1"/>
    <w:uiPriority w:val="9"/>
    <w:rsid w:val="00A56DB0"/>
    <w:rPr>
      <w:rFonts w:ascii="Arial" w:eastAsiaTheme="minorEastAsia" w:hAnsi="Arial" w:cs="Times New Roman"/>
      <w:b/>
      <w:bCs/>
      <w:sz w:val="24"/>
      <w:lang w:bidi="en-US"/>
    </w:rPr>
  </w:style>
  <w:style w:type="character" w:customStyle="1" w:styleId="Heading2Char">
    <w:name w:val="Heading 2 Char"/>
    <w:basedOn w:val="DefaultParagraphFont"/>
    <w:link w:val="Heading2"/>
    <w:uiPriority w:val="9"/>
    <w:rsid w:val="00330094"/>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330094"/>
    <w:rPr>
      <w:rFonts w:ascii="Cambria" w:eastAsia="Times New Roman" w:hAnsi="Cambria" w:cs="Times New Roman"/>
      <w:b/>
      <w:bCs/>
      <w:sz w:val="20"/>
      <w:szCs w:val="20"/>
    </w:rPr>
  </w:style>
  <w:style w:type="character" w:customStyle="1" w:styleId="Heading4Char">
    <w:name w:val="Heading 4 Char"/>
    <w:basedOn w:val="DefaultParagraphFont"/>
    <w:link w:val="Heading4"/>
    <w:uiPriority w:val="9"/>
    <w:semiHidden/>
    <w:rsid w:val="00330094"/>
    <w:rPr>
      <w:rFonts w:ascii="Cambria" w:eastAsia="Times New Roman" w:hAnsi="Cambria" w:cs="Times New Roman"/>
      <w:b/>
      <w:bCs/>
      <w:i/>
      <w:iCs/>
      <w:sz w:val="20"/>
      <w:szCs w:val="20"/>
    </w:rPr>
  </w:style>
  <w:style w:type="character" w:customStyle="1" w:styleId="Heading5Char">
    <w:name w:val="Heading 5 Char"/>
    <w:basedOn w:val="DefaultParagraphFont"/>
    <w:link w:val="Heading5"/>
    <w:uiPriority w:val="9"/>
    <w:semiHidden/>
    <w:rsid w:val="00330094"/>
    <w:rPr>
      <w:rFonts w:ascii="Cambria" w:eastAsia="Times New Roman" w:hAnsi="Cambria" w:cs="Times New Roman"/>
      <w:b/>
      <w:bCs/>
      <w:color w:val="7F7F7F"/>
      <w:sz w:val="20"/>
      <w:szCs w:val="20"/>
    </w:rPr>
  </w:style>
  <w:style w:type="character" w:customStyle="1" w:styleId="Heading6Char">
    <w:name w:val="Heading 6 Char"/>
    <w:basedOn w:val="DefaultParagraphFont"/>
    <w:link w:val="Heading6"/>
    <w:uiPriority w:val="9"/>
    <w:semiHidden/>
    <w:rsid w:val="00330094"/>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
    <w:semiHidden/>
    <w:rsid w:val="00330094"/>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
    <w:semiHidden/>
    <w:rsid w:val="00330094"/>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33009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30094"/>
    <w:pPr>
      <w:spacing w:before="600"/>
      <w:contextualSpacing/>
      <w:jc w:val="center"/>
    </w:pPr>
    <w:rPr>
      <w:rFonts w:eastAsia="Times New Roman" w:cs="Times New Roman"/>
      <w:b/>
      <w:spacing w:val="5"/>
      <w:szCs w:val="52"/>
    </w:rPr>
  </w:style>
  <w:style w:type="character" w:customStyle="1" w:styleId="TitleChar">
    <w:name w:val="Title Char"/>
    <w:basedOn w:val="DefaultParagraphFont"/>
    <w:link w:val="Title"/>
    <w:uiPriority w:val="10"/>
    <w:rsid w:val="00330094"/>
    <w:rPr>
      <w:rFonts w:ascii="Arial" w:eastAsia="Times New Roman" w:hAnsi="Arial" w:cs="Times New Roman"/>
      <w:b/>
      <w:spacing w:val="5"/>
      <w:sz w:val="24"/>
      <w:szCs w:val="52"/>
    </w:rPr>
  </w:style>
  <w:style w:type="paragraph" w:styleId="BodyText">
    <w:name w:val="Body Text"/>
    <w:basedOn w:val="Normal"/>
    <w:link w:val="BodyTextChar"/>
    <w:uiPriority w:val="99"/>
    <w:unhideWhenUsed/>
    <w:rsid w:val="00330094"/>
    <w:pPr>
      <w:spacing w:after="240"/>
    </w:pPr>
    <w:rPr>
      <w:rFonts w:eastAsiaTheme="minorEastAsia" w:cs="Times New Roman"/>
      <w:lang w:bidi="en-US"/>
    </w:rPr>
  </w:style>
  <w:style w:type="character" w:customStyle="1" w:styleId="BodyTextChar">
    <w:name w:val="Body Text Char"/>
    <w:basedOn w:val="DefaultParagraphFont"/>
    <w:link w:val="BodyText"/>
    <w:uiPriority w:val="99"/>
    <w:rsid w:val="00330094"/>
    <w:rPr>
      <w:rFonts w:ascii="Arial" w:eastAsiaTheme="minorEastAsia" w:hAnsi="Arial" w:cs="Times New Roman"/>
      <w:sz w:val="24"/>
      <w:lang w:bidi="en-US"/>
    </w:rPr>
  </w:style>
  <w:style w:type="paragraph" w:styleId="ListBullet">
    <w:name w:val="List Bullet"/>
    <w:basedOn w:val="Normal"/>
    <w:uiPriority w:val="99"/>
    <w:unhideWhenUsed/>
    <w:rsid w:val="00330094"/>
    <w:pPr>
      <w:spacing w:after="240"/>
    </w:pPr>
    <w:rPr>
      <w:rFonts w:eastAsiaTheme="minorEastAsia" w:cs="Times New Roman"/>
      <w:lang w:bidi="en-US"/>
    </w:rPr>
  </w:style>
  <w:style w:type="paragraph" w:customStyle="1" w:styleId="TOCHeading1">
    <w:name w:val="TOC Heading1"/>
    <w:basedOn w:val="Heading1"/>
    <w:next w:val="Normal"/>
    <w:uiPriority w:val="39"/>
    <w:semiHidden/>
    <w:unhideWhenUsed/>
    <w:qFormat/>
    <w:rsid w:val="00330094"/>
    <w:pPr>
      <w:outlineLvl w:val="9"/>
    </w:pPr>
  </w:style>
  <w:style w:type="character" w:styleId="Hyperlink">
    <w:name w:val="Hyperlink"/>
    <w:uiPriority w:val="99"/>
    <w:unhideWhenUsed/>
    <w:rsid w:val="00330094"/>
    <w:rPr>
      <w:color w:val="0000FF"/>
      <w:u w:val="single"/>
    </w:rPr>
  </w:style>
  <w:style w:type="paragraph" w:customStyle="1" w:styleId="ColorfulShading-Accent11">
    <w:name w:val="Colorful Shading - Accent 11"/>
    <w:hidden/>
    <w:uiPriority w:val="71"/>
    <w:rsid w:val="00330094"/>
    <w:pPr>
      <w:spacing w:after="0" w:line="240" w:lineRule="auto"/>
    </w:pPr>
    <w:rPr>
      <w:rFonts w:ascii="Times New Roman" w:eastAsiaTheme="minorEastAsia" w:hAnsi="Times New Roman" w:cs="Times New Roman"/>
      <w:sz w:val="24"/>
      <w:lang w:bidi="en-US"/>
    </w:rPr>
  </w:style>
  <w:style w:type="character" w:styleId="CommentReference">
    <w:name w:val="annotation reference"/>
    <w:uiPriority w:val="99"/>
    <w:semiHidden/>
    <w:unhideWhenUsed/>
    <w:rsid w:val="00330094"/>
    <w:rPr>
      <w:sz w:val="16"/>
      <w:szCs w:val="16"/>
    </w:rPr>
  </w:style>
  <w:style w:type="paragraph" w:styleId="CommentText">
    <w:name w:val="annotation text"/>
    <w:basedOn w:val="Normal"/>
    <w:link w:val="CommentTextChar"/>
    <w:uiPriority w:val="99"/>
    <w:unhideWhenUsed/>
    <w:rsid w:val="00330094"/>
    <w:rPr>
      <w:rFonts w:eastAsiaTheme="minorEastAsia" w:cs="Times New Roman"/>
      <w:sz w:val="20"/>
      <w:szCs w:val="20"/>
      <w:lang w:bidi="en-US"/>
    </w:rPr>
  </w:style>
  <w:style w:type="character" w:customStyle="1" w:styleId="CommentTextChar">
    <w:name w:val="Comment Text Char"/>
    <w:basedOn w:val="DefaultParagraphFont"/>
    <w:link w:val="CommentText"/>
    <w:uiPriority w:val="99"/>
    <w:rsid w:val="00330094"/>
    <w:rPr>
      <w:rFonts w:ascii="Arial" w:eastAsiaTheme="minorEastAsia" w:hAnsi="Arial"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30094"/>
    <w:rPr>
      <w:b/>
      <w:bCs/>
    </w:rPr>
  </w:style>
  <w:style w:type="character" w:customStyle="1" w:styleId="CommentSubjectChar">
    <w:name w:val="Comment Subject Char"/>
    <w:basedOn w:val="CommentTextChar"/>
    <w:link w:val="CommentSubject"/>
    <w:uiPriority w:val="99"/>
    <w:semiHidden/>
    <w:rsid w:val="00330094"/>
    <w:rPr>
      <w:rFonts w:ascii="Arial" w:eastAsiaTheme="minorEastAsia" w:hAnsi="Arial" w:cs="Times New Roman"/>
      <w:b/>
      <w:bCs/>
      <w:sz w:val="20"/>
      <w:szCs w:val="20"/>
      <w:lang w:bidi="en-US"/>
    </w:rPr>
  </w:style>
  <w:style w:type="character" w:styleId="FollowedHyperlink">
    <w:name w:val="FollowedHyperlink"/>
    <w:uiPriority w:val="99"/>
    <w:semiHidden/>
    <w:unhideWhenUsed/>
    <w:rsid w:val="00330094"/>
    <w:rPr>
      <w:color w:val="800080"/>
      <w:u w:val="single"/>
    </w:rPr>
  </w:style>
  <w:style w:type="paragraph" w:customStyle="1" w:styleId="FormText">
    <w:name w:val="FormText"/>
    <w:basedOn w:val="Normal"/>
    <w:qFormat/>
    <w:rsid w:val="00330094"/>
    <w:pPr>
      <w:spacing w:before="60" w:after="60"/>
      <w:ind w:left="360" w:hanging="360"/>
    </w:pPr>
    <w:rPr>
      <w:rFonts w:eastAsiaTheme="minorEastAsia" w:cs="Arial"/>
      <w:b/>
      <w:bCs/>
      <w:color w:val="000000"/>
      <w:sz w:val="22"/>
    </w:rPr>
  </w:style>
  <w:style w:type="paragraph" w:customStyle="1" w:styleId="FormTextNoBold">
    <w:name w:val="FormTextNoBold"/>
    <w:basedOn w:val="FormText"/>
    <w:qFormat/>
    <w:rsid w:val="00330094"/>
    <w:pPr>
      <w:spacing w:after="0"/>
    </w:pPr>
    <w:rPr>
      <w:b w:val="0"/>
    </w:rPr>
  </w:style>
  <w:style w:type="paragraph" w:customStyle="1" w:styleId="FormTextIndent">
    <w:name w:val="FormTextIndent"/>
    <w:basedOn w:val="Normal"/>
    <w:qFormat/>
    <w:rsid w:val="00330094"/>
    <w:pPr>
      <w:spacing w:before="40" w:after="40"/>
      <w:ind w:left="360"/>
    </w:pPr>
    <w:rPr>
      <w:rFonts w:eastAsia="Times New Roman" w:cs="Times New Roman"/>
      <w:sz w:val="22"/>
      <w:szCs w:val="24"/>
    </w:rPr>
  </w:style>
  <w:style w:type="paragraph" w:customStyle="1" w:styleId="FormTextIndentItal">
    <w:name w:val="FormTextIndentItal"/>
    <w:basedOn w:val="FormTextIndent"/>
    <w:qFormat/>
    <w:rsid w:val="00330094"/>
    <w:pPr>
      <w:spacing w:before="120" w:after="240"/>
    </w:pPr>
    <w:rPr>
      <w:i/>
      <w:iCs/>
    </w:rPr>
  </w:style>
  <w:style w:type="paragraph" w:customStyle="1" w:styleId="StepBullet-Box">
    <w:name w:val="StepBullet-Box"/>
    <w:basedOn w:val="ListParagraph"/>
    <w:qFormat/>
    <w:rsid w:val="00330094"/>
    <w:pPr>
      <w:spacing w:before="240" w:after="120"/>
      <w:ind w:left="360" w:hanging="360"/>
      <w:contextualSpacing w:val="0"/>
    </w:pPr>
    <w:rPr>
      <w:rFonts w:cs="Arial"/>
      <w:b/>
      <w:bCs/>
      <w:sz w:val="22"/>
      <w:lang w:bidi="ar-SA"/>
    </w:rPr>
  </w:style>
  <w:style w:type="paragraph" w:customStyle="1" w:styleId="StepBullet-Box-2">
    <w:name w:val="StepBullet-Box-2"/>
    <w:basedOn w:val="FormTextIndent"/>
    <w:qFormat/>
    <w:rsid w:val="00330094"/>
    <w:pPr>
      <w:spacing w:after="240"/>
      <w:ind w:left="1080" w:hanging="360"/>
      <w:contextualSpacing/>
    </w:pPr>
    <w:rPr>
      <w:rFonts w:cs="Arial"/>
      <w:sz w:val="24"/>
      <w:szCs w:val="22"/>
    </w:rPr>
  </w:style>
  <w:style w:type="paragraph" w:customStyle="1" w:styleId="StepBullet-Box-3">
    <w:name w:val="StepBullet-Box-3"/>
    <w:basedOn w:val="StepBullet-Box-2"/>
    <w:qFormat/>
    <w:rsid w:val="00330094"/>
    <w:pPr>
      <w:ind w:left="1440"/>
    </w:pPr>
  </w:style>
  <w:style w:type="paragraph" w:styleId="ListParagraph">
    <w:name w:val="List Paragraph"/>
    <w:basedOn w:val="Normal"/>
    <w:link w:val="ListParagraphChar"/>
    <w:uiPriority w:val="34"/>
    <w:qFormat/>
    <w:rsid w:val="00330094"/>
    <w:pPr>
      <w:ind w:left="720"/>
      <w:contextualSpacing/>
    </w:pPr>
    <w:rPr>
      <w:rFonts w:eastAsiaTheme="minorEastAsia" w:cs="Times New Roman"/>
      <w:lang w:bidi="en-US"/>
    </w:rPr>
  </w:style>
  <w:style w:type="paragraph" w:customStyle="1" w:styleId="Text">
    <w:name w:val="Text"/>
    <w:basedOn w:val="Normal"/>
    <w:qFormat/>
    <w:rsid w:val="00330094"/>
    <w:rPr>
      <w:rFonts w:eastAsiaTheme="minorEastAsia" w:cs="Times New Roman"/>
      <w:lang w:bidi="en-US"/>
    </w:rPr>
  </w:style>
  <w:style w:type="paragraph" w:customStyle="1" w:styleId="Bullet-Blank">
    <w:name w:val="Bullet-Blank"/>
    <w:basedOn w:val="Normal"/>
    <w:qFormat/>
    <w:rsid w:val="00330094"/>
    <w:pPr>
      <w:spacing w:before="60" w:after="60"/>
    </w:pPr>
    <w:rPr>
      <w:rFonts w:eastAsia="Times New Roman" w:cs="Arial"/>
      <w:sz w:val="22"/>
    </w:rPr>
  </w:style>
  <w:style w:type="paragraph" w:customStyle="1" w:styleId="Bullet-Blank-2">
    <w:name w:val="Bullet-Blank-2"/>
    <w:basedOn w:val="Normal"/>
    <w:qFormat/>
    <w:rsid w:val="00330094"/>
    <w:pPr>
      <w:spacing w:before="60" w:after="60"/>
    </w:pPr>
    <w:rPr>
      <w:rFonts w:eastAsiaTheme="minorEastAsia" w:cs="Arial"/>
      <w:sz w:val="22"/>
      <w:lang w:bidi="en-US"/>
    </w:rPr>
  </w:style>
  <w:style w:type="paragraph" w:styleId="ListBullet2">
    <w:name w:val="List Bullet 2"/>
    <w:basedOn w:val="Normal"/>
    <w:uiPriority w:val="99"/>
    <w:unhideWhenUsed/>
    <w:rsid w:val="00330094"/>
    <w:pPr>
      <w:numPr>
        <w:numId w:val="2"/>
      </w:numPr>
      <w:contextualSpacing/>
    </w:pPr>
    <w:rPr>
      <w:rFonts w:eastAsiaTheme="minorEastAsia" w:cs="Times New Roman"/>
      <w:lang w:bidi="en-US"/>
    </w:rPr>
  </w:style>
  <w:style w:type="paragraph" w:styleId="ListBullet3">
    <w:name w:val="List Bullet 3"/>
    <w:basedOn w:val="Normal"/>
    <w:uiPriority w:val="99"/>
    <w:unhideWhenUsed/>
    <w:rsid w:val="00330094"/>
    <w:pPr>
      <w:numPr>
        <w:numId w:val="3"/>
      </w:numPr>
      <w:spacing w:after="240"/>
    </w:pPr>
    <w:rPr>
      <w:rFonts w:eastAsiaTheme="minorEastAsia" w:cs="Times New Roman"/>
      <w:lang w:bidi="en-US"/>
    </w:rPr>
  </w:style>
  <w:style w:type="paragraph" w:styleId="FootnoteText">
    <w:name w:val="footnote text"/>
    <w:basedOn w:val="Normal"/>
    <w:link w:val="FootnoteTextChar"/>
    <w:uiPriority w:val="99"/>
    <w:unhideWhenUsed/>
    <w:rsid w:val="00330094"/>
    <w:pPr>
      <w:spacing w:after="0"/>
      <w:ind w:left="288" w:hanging="288"/>
    </w:pPr>
    <w:rPr>
      <w:rFonts w:eastAsia="Calibri" w:cs="Times New Roman"/>
      <w:sz w:val="20"/>
      <w:szCs w:val="20"/>
      <w:lang w:bidi="en-US"/>
    </w:rPr>
  </w:style>
  <w:style w:type="character" w:customStyle="1" w:styleId="FootnoteTextChar">
    <w:name w:val="Footnote Text Char"/>
    <w:basedOn w:val="DefaultParagraphFont"/>
    <w:link w:val="FootnoteText"/>
    <w:uiPriority w:val="99"/>
    <w:rsid w:val="00330094"/>
    <w:rPr>
      <w:rFonts w:ascii="Arial" w:eastAsia="Calibri" w:hAnsi="Arial" w:cs="Times New Roman"/>
      <w:sz w:val="20"/>
      <w:szCs w:val="20"/>
      <w:lang w:bidi="en-US"/>
    </w:rPr>
  </w:style>
  <w:style w:type="character" w:styleId="FootnoteReference">
    <w:name w:val="footnote reference"/>
    <w:basedOn w:val="DefaultParagraphFont"/>
    <w:uiPriority w:val="99"/>
    <w:semiHidden/>
    <w:unhideWhenUsed/>
    <w:rsid w:val="00330094"/>
    <w:rPr>
      <w:vertAlign w:val="superscript"/>
    </w:rPr>
  </w:style>
  <w:style w:type="paragraph" w:customStyle="1" w:styleId="biblio">
    <w:name w:val="biblio"/>
    <w:basedOn w:val="Normal"/>
    <w:qFormat/>
    <w:rsid w:val="00330094"/>
    <w:pPr>
      <w:spacing w:after="120"/>
      <w:ind w:left="720" w:hanging="720"/>
    </w:pPr>
    <w:rPr>
      <w:rFonts w:ascii="Times New Roman" w:eastAsia="Times New Roman" w:hAnsi="Times New Roman" w:cs="Calibri"/>
      <w:noProof/>
      <w:szCs w:val="24"/>
    </w:rPr>
  </w:style>
  <w:style w:type="paragraph" w:customStyle="1" w:styleId="AppendixBodyText">
    <w:name w:val="AppendixBodyText"/>
    <w:basedOn w:val="BodyText"/>
    <w:qFormat/>
    <w:rsid w:val="00330094"/>
    <w:pPr>
      <w:spacing w:before="120" w:after="120"/>
    </w:pPr>
    <w:rPr>
      <w:rFonts w:ascii="Times New Roman" w:eastAsia="Times New Roman" w:hAnsi="Times New Roman"/>
      <w:szCs w:val="24"/>
      <w:lang w:bidi="ar-SA"/>
    </w:rPr>
  </w:style>
  <w:style w:type="table" w:styleId="TableGrid">
    <w:name w:val="Table Grid"/>
    <w:basedOn w:val="TableNormal"/>
    <w:uiPriority w:val="59"/>
    <w:rsid w:val="0033009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0094"/>
    <w:pPr>
      <w:spacing w:after="0" w:line="240" w:lineRule="auto"/>
    </w:pPr>
    <w:rPr>
      <w:rFonts w:ascii="Arial" w:eastAsiaTheme="minorEastAsia" w:hAnsi="Arial" w:cs="Times New Roman"/>
      <w:sz w:val="24"/>
      <w:lang w:bidi="en-US"/>
    </w:rPr>
  </w:style>
  <w:style w:type="character" w:styleId="Emphasis">
    <w:name w:val="Emphasis"/>
    <w:basedOn w:val="DefaultParagraphFont"/>
    <w:uiPriority w:val="20"/>
    <w:qFormat/>
    <w:rsid w:val="00330094"/>
    <w:rPr>
      <w:i/>
      <w:iCs/>
    </w:rPr>
  </w:style>
  <w:style w:type="table" w:customStyle="1" w:styleId="TableGrid1">
    <w:name w:val="Table Grid1"/>
    <w:basedOn w:val="TableNormal"/>
    <w:next w:val="TableGrid"/>
    <w:uiPriority w:val="59"/>
    <w:rsid w:val="0033009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basedOn w:val="DefaultParagraphFont"/>
    <w:rsid w:val="00330094"/>
  </w:style>
  <w:style w:type="paragraph" w:customStyle="1" w:styleId="EndNoteBibliographyTitle">
    <w:name w:val="EndNote Bibliography Title"/>
    <w:basedOn w:val="Normal"/>
    <w:link w:val="EndNoteBibliographyTitleChar"/>
    <w:rsid w:val="00330094"/>
    <w:pPr>
      <w:spacing w:after="0"/>
      <w:jc w:val="center"/>
    </w:pPr>
    <w:rPr>
      <w:rFonts w:eastAsiaTheme="minorEastAsia" w:cs="Arial"/>
      <w:noProof/>
      <w:lang w:bidi="en-US"/>
    </w:rPr>
  </w:style>
  <w:style w:type="character" w:customStyle="1" w:styleId="ListParagraphChar">
    <w:name w:val="List Paragraph Char"/>
    <w:basedOn w:val="DefaultParagraphFont"/>
    <w:link w:val="ListParagraph"/>
    <w:uiPriority w:val="34"/>
    <w:rsid w:val="00330094"/>
    <w:rPr>
      <w:rFonts w:ascii="Arial" w:eastAsiaTheme="minorEastAsia" w:hAnsi="Arial" w:cs="Times New Roman"/>
      <w:sz w:val="24"/>
      <w:lang w:bidi="en-US"/>
    </w:rPr>
  </w:style>
  <w:style w:type="character" w:customStyle="1" w:styleId="EndNoteBibliographyTitleChar">
    <w:name w:val="EndNote Bibliography Title Char"/>
    <w:basedOn w:val="ListParagraphChar"/>
    <w:link w:val="EndNoteBibliographyTitle"/>
    <w:rsid w:val="00330094"/>
    <w:rPr>
      <w:rFonts w:ascii="Arial" w:eastAsiaTheme="minorEastAsia" w:hAnsi="Arial" w:cs="Arial"/>
      <w:noProof/>
      <w:sz w:val="24"/>
      <w:lang w:bidi="en-US"/>
    </w:rPr>
  </w:style>
  <w:style w:type="paragraph" w:customStyle="1" w:styleId="EndNoteBibliography">
    <w:name w:val="EndNote Bibliography"/>
    <w:basedOn w:val="Normal"/>
    <w:link w:val="EndNoteBibliographyChar"/>
    <w:rsid w:val="00330094"/>
    <w:rPr>
      <w:rFonts w:eastAsiaTheme="minorEastAsia" w:cs="Arial"/>
      <w:noProof/>
      <w:lang w:bidi="en-US"/>
    </w:rPr>
  </w:style>
  <w:style w:type="character" w:customStyle="1" w:styleId="EndNoteBibliographyChar">
    <w:name w:val="EndNote Bibliography Char"/>
    <w:basedOn w:val="ListParagraphChar"/>
    <w:link w:val="EndNoteBibliography"/>
    <w:rsid w:val="00330094"/>
    <w:rPr>
      <w:rFonts w:ascii="Arial" w:eastAsiaTheme="minorEastAsia" w:hAnsi="Arial" w:cs="Arial"/>
      <w:noProof/>
      <w:sz w:val="24"/>
      <w:lang w:bidi="en-US"/>
    </w:rPr>
  </w:style>
  <w:style w:type="paragraph" w:styleId="EndnoteText">
    <w:name w:val="endnote text"/>
    <w:basedOn w:val="Normal"/>
    <w:link w:val="EndnoteTextChar"/>
    <w:uiPriority w:val="99"/>
    <w:semiHidden/>
    <w:unhideWhenUsed/>
    <w:rsid w:val="00330094"/>
    <w:pPr>
      <w:spacing w:after="0"/>
    </w:pPr>
    <w:rPr>
      <w:rFonts w:eastAsiaTheme="minorEastAsia" w:cs="Times New Roman"/>
      <w:sz w:val="20"/>
      <w:szCs w:val="20"/>
      <w:lang w:bidi="en-US"/>
    </w:rPr>
  </w:style>
  <w:style w:type="character" w:customStyle="1" w:styleId="EndnoteTextChar">
    <w:name w:val="Endnote Text Char"/>
    <w:basedOn w:val="DefaultParagraphFont"/>
    <w:link w:val="EndnoteText"/>
    <w:uiPriority w:val="99"/>
    <w:semiHidden/>
    <w:rsid w:val="00330094"/>
    <w:rPr>
      <w:rFonts w:ascii="Arial" w:eastAsiaTheme="minorEastAsia" w:hAnsi="Arial" w:cs="Times New Roman"/>
      <w:sz w:val="20"/>
      <w:szCs w:val="20"/>
      <w:lang w:bidi="en-US"/>
    </w:rPr>
  </w:style>
  <w:style w:type="character" w:styleId="EndnoteReference">
    <w:name w:val="endnote reference"/>
    <w:basedOn w:val="DefaultParagraphFont"/>
    <w:uiPriority w:val="99"/>
    <w:semiHidden/>
    <w:unhideWhenUsed/>
    <w:rsid w:val="00330094"/>
    <w:rPr>
      <w:vertAlign w:val="superscript"/>
    </w:rPr>
  </w:style>
  <w:style w:type="paragraph" w:customStyle="1" w:styleId="TableBullet1">
    <w:name w:val="Table Bullet 1"/>
    <w:basedOn w:val="ListParagraph"/>
    <w:qFormat/>
    <w:rsid w:val="00C57F0D"/>
    <w:pPr>
      <w:numPr>
        <w:numId w:val="40"/>
      </w:numPr>
      <w:spacing w:after="0"/>
      <w:ind w:left="360"/>
    </w:pPr>
    <w:rPr>
      <w:szCs w:val="24"/>
    </w:rPr>
  </w:style>
  <w:style w:type="paragraph" w:customStyle="1" w:styleId="TableBullet3">
    <w:name w:val="Table Bullet 3"/>
    <w:basedOn w:val="ListParagraph"/>
    <w:qFormat/>
    <w:rsid w:val="00C57F0D"/>
    <w:pPr>
      <w:numPr>
        <w:ilvl w:val="1"/>
        <w:numId w:val="40"/>
      </w:numPr>
      <w:spacing w:after="0"/>
      <w:ind w:left="1080"/>
    </w:pPr>
    <w:rPr>
      <w:szCs w:val="24"/>
    </w:rPr>
  </w:style>
  <w:style w:type="paragraph" w:customStyle="1" w:styleId="TableBullet2">
    <w:name w:val="Table Bullet 2"/>
    <w:basedOn w:val="ListParagraph"/>
    <w:qFormat/>
    <w:rsid w:val="00D93B81"/>
    <w:pPr>
      <w:numPr>
        <w:numId w:val="43"/>
      </w:numPr>
      <w:tabs>
        <w:tab w:val="num" w:pos="360"/>
      </w:tabs>
      <w:spacing w:after="0"/>
      <w:ind w:left="720" w:firstLine="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51E"/>
    <w:pPr>
      <w:spacing w:line="240" w:lineRule="auto"/>
    </w:pPr>
    <w:rPr>
      <w:rFonts w:ascii="Arial" w:hAnsi="Arial"/>
      <w:sz w:val="24"/>
    </w:rPr>
  </w:style>
  <w:style w:type="paragraph" w:styleId="Heading1">
    <w:name w:val="heading 1"/>
    <w:basedOn w:val="BodyText"/>
    <w:next w:val="Normal"/>
    <w:link w:val="Heading1Char"/>
    <w:uiPriority w:val="9"/>
    <w:qFormat/>
    <w:rsid w:val="00A56DB0"/>
    <w:pPr>
      <w:outlineLvl w:val="0"/>
    </w:pPr>
    <w:rPr>
      <w:b/>
      <w:bCs/>
    </w:rPr>
  </w:style>
  <w:style w:type="paragraph" w:styleId="Heading2">
    <w:name w:val="heading 2"/>
    <w:basedOn w:val="Normal"/>
    <w:next w:val="Normal"/>
    <w:link w:val="Heading2Char"/>
    <w:uiPriority w:val="9"/>
    <w:qFormat/>
    <w:rsid w:val="00330094"/>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330094"/>
    <w:pPr>
      <w:spacing w:before="200" w:after="0" w:line="271" w:lineRule="auto"/>
      <w:outlineLvl w:val="2"/>
    </w:pPr>
    <w:rPr>
      <w:rFonts w:ascii="Cambria" w:eastAsia="Times New Roman" w:hAnsi="Cambria" w:cs="Times New Roman"/>
      <w:b/>
      <w:bCs/>
      <w:sz w:val="20"/>
      <w:szCs w:val="20"/>
    </w:rPr>
  </w:style>
  <w:style w:type="paragraph" w:styleId="Heading4">
    <w:name w:val="heading 4"/>
    <w:basedOn w:val="Normal"/>
    <w:next w:val="Normal"/>
    <w:link w:val="Heading4Char"/>
    <w:uiPriority w:val="9"/>
    <w:semiHidden/>
    <w:qFormat/>
    <w:rsid w:val="00330094"/>
    <w:pPr>
      <w:spacing w:before="200" w:after="0"/>
      <w:outlineLvl w:val="3"/>
    </w:pPr>
    <w:rPr>
      <w:rFonts w:ascii="Cambria" w:eastAsia="Times New Roman" w:hAnsi="Cambria" w:cs="Times New Roman"/>
      <w:b/>
      <w:bCs/>
      <w:i/>
      <w:iCs/>
      <w:sz w:val="20"/>
      <w:szCs w:val="20"/>
    </w:rPr>
  </w:style>
  <w:style w:type="paragraph" w:styleId="Heading5">
    <w:name w:val="heading 5"/>
    <w:basedOn w:val="Normal"/>
    <w:next w:val="Normal"/>
    <w:link w:val="Heading5Char"/>
    <w:uiPriority w:val="9"/>
    <w:semiHidden/>
    <w:qFormat/>
    <w:rsid w:val="00330094"/>
    <w:pPr>
      <w:spacing w:before="200" w:after="0"/>
      <w:outlineLvl w:val="4"/>
    </w:pPr>
    <w:rPr>
      <w:rFonts w:ascii="Cambria" w:eastAsia="Times New Roman" w:hAnsi="Cambria" w:cs="Times New Roman"/>
      <w:b/>
      <w:bCs/>
      <w:color w:val="7F7F7F"/>
      <w:sz w:val="20"/>
      <w:szCs w:val="20"/>
    </w:rPr>
  </w:style>
  <w:style w:type="paragraph" w:styleId="Heading6">
    <w:name w:val="heading 6"/>
    <w:basedOn w:val="Normal"/>
    <w:next w:val="Normal"/>
    <w:link w:val="Heading6Char"/>
    <w:uiPriority w:val="9"/>
    <w:semiHidden/>
    <w:qFormat/>
    <w:rsid w:val="00330094"/>
    <w:pPr>
      <w:spacing w:after="0" w:line="271" w:lineRule="auto"/>
      <w:outlineLvl w:val="5"/>
    </w:pPr>
    <w:rPr>
      <w:rFonts w:ascii="Cambria" w:eastAsia="Times New Roman" w:hAnsi="Cambria" w:cs="Times New Roman"/>
      <w:b/>
      <w:bCs/>
      <w:i/>
      <w:iCs/>
      <w:color w:val="7F7F7F"/>
      <w:sz w:val="20"/>
      <w:szCs w:val="20"/>
    </w:rPr>
  </w:style>
  <w:style w:type="paragraph" w:styleId="Heading7">
    <w:name w:val="heading 7"/>
    <w:basedOn w:val="Normal"/>
    <w:next w:val="Normal"/>
    <w:link w:val="Heading7Char"/>
    <w:uiPriority w:val="9"/>
    <w:semiHidden/>
    <w:qFormat/>
    <w:rsid w:val="00330094"/>
    <w:pPr>
      <w:spacing w:after="0"/>
      <w:outlineLvl w:val="6"/>
    </w:pPr>
    <w:rPr>
      <w:rFonts w:ascii="Cambria" w:eastAsia="Times New Roman" w:hAnsi="Cambria" w:cs="Times New Roman"/>
      <w:i/>
      <w:iCs/>
      <w:sz w:val="20"/>
      <w:szCs w:val="20"/>
    </w:rPr>
  </w:style>
  <w:style w:type="paragraph" w:styleId="Heading8">
    <w:name w:val="heading 8"/>
    <w:basedOn w:val="Normal"/>
    <w:next w:val="Normal"/>
    <w:link w:val="Heading8Char"/>
    <w:uiPriority w:val="9"/>
    <w:semiHidden/>
    <w:qFormat/>
    <w:rsid w:val="00330094"/>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qFormat/>
    <w:rsid w:val="00330094"/>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579"/>
    <w:pPr>
      <w:tabs>
        <w:tab w:val="center" w:pos="4680"/>
        <w:tab w:val="right" w:pos="9360"/>
      </w:tabs>
      <w:spacing w:after="0"/>
    </w:pPr>
  </w:style>
  <w:style w:type="character" w:customStyle="1" w:styleId="HeaderChar">
    <w:name w:val="Header Char"/>
    <w:basedOn w:val="DefaultParagraphFont"/>
    <w:link w:val="Header"/>
    <w:uiPriority w:val="99"/>
    <w:rsid w:val="009D0579"/>
  </w:style>
  <w:style w:type="paragraph" w:styleId="Footer">
    <w:name w:val="footer"/>
    <w:basedOn w:val="Normal"/>
    <w:link w:val="FooterChar"/>
    <w:uiPriority w:val="99"/>
    <w:unhideWhenUsed/>
    <w:rsid w:val="009D0579"/>
    <w:pPr>
      <w:tabs>
        <w:tab w:val="center" w:pos="4680"/>
        <w:tab w:val="right" w:pos="9360"/>
      </w:tabs>
      <w:spacing w:after="0"/>
    </w:pPr>
  </w:style>
  <w:style w:type="character" w:customStyle="1" w:styleId="FooterChar">
    <w:name w:val="Footer Char"/>
    <w:basedOn w:val="DefaultParagraphFont"/>
    <w:link w:val="Footer"/>
    <w:uiPriority w:val="99"/>
    <w:rsid w:val="009D0579"/>
  </w:style>
  <w:style w:type="paragraph" w:styleId="BalloonText">
    <w:name w:val="Balloon Text"/>
    <w:basedOn w:val="Normal"/>
    <w:link w:val="BalloonTextChar"/>
    <w:uiPriority w:val="99"/>
    <w:semiHidden/>
    <w:unhideWhenUsed/>
    <w:rsid w:val="009D05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579"/>
    <w:rPr>
      <w:rFonts w:ascii="Tahoma" w:hAnsi="Tahoma" w:cs="Tahoma"/>
      <w:sz w:val="16"/>
      <w:szCs w:val="16"/>
    </w:rPr>
  </w:style>
  <w:style w:type="character" w:customStyle="1" w:styleId="Heading1Char">
    <w:name w:val="Heading 1 Char"/>
    <w:basedOn w:val="DefaultParagraphFont"/>
    <w:link w:val="Heading1"/>
    <w:uiPriority w:val="9"/>
    <w:rsid w:val="00A56DB0"/>
    <w:rPr>
      <w:rFonts w:ascii="Arial" w:eastAsiaTheme="minorEastAsia" w:hAnsi="Arial" w:cs="Times New Roman"/>
      <w:b/>
      <w:bCs/>
      <w:sz w:val="24"/>
      <w:lang w:bidi="en-US"/>
    </w:rPr>
  </w:style>
  <w:style w:type="character" w:customStyle="1" w:styleId="Heading2Char">
    <w:name w:val="Heading 2 Char"/>
    <w:basedOn w:val="DefaultParagraphFont"/>
    <w:link w:val="Heading2"/>
    <w:uiPriority w:val="9"/>
    <w:rsid w:val="00330094"/>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330094"/>
    <w:rPr>
      <w:rFonts w:ascii="Cambria" w:eastAsia="Times New Roman" w:hAnsi="Cambria" w:cs="Times New Roman"/>
      <w:b/>
      <w:bCs/>
      <w:sz w:val="20"/>
      <w:szCs w:val="20"/>
    </w:rPr>
  </w:style>
  <w:style w:type="character" w:customStyle="1" w:styleId="Heading4Char">
    <w:name w:val="Heading 4 Char"/>
    <w:basedOn w:val="DefaultParagraphFont"/>
    <w:link w:val="Heading4"/>
    <w:uiPriority w:val="9"/>
    <w:semiHidden/>
    <w:rsid w:val="00330094"/>
    <w:rPr>
      <w:rFonts w:ascii="Cambria" w:eastAsia="Times New Roman" w:hAnsi="Cambria" w:cs="Times New Roman"/>
      <w:b/>
      <w:bCs/>
      <w:i/>
      <w:iCs/>
      <w:sz w:val="20"/>
      <w:szCs w:val="20"/>
    </w:rPr>
  </w:style>
  <w:style w:type="character" w:customStyle="1" w:styleId="Heading5Char">
    <w:name w:val="Heading 5 Char"/>
    <w:basedOn w:val="DefaultParagraphFont"/>
    <w:link w:val="Heading5"/>
    <w:uiPriority w:val="9"/>
    <w:semiHidden/>
    <w:rsid w:val="00330094"/>
    <w:rPr>
      <w:rFonts w:ascii="Cambria" w:eastAsia="Times New Roman" w:hAnsi="Cambria" w:cs="Times New Roman"/>
      <w:b/>
      <w:bCs/>
      <w:color w:val="7F7F7F"/>
      <w:sz w:val="20"/>
      <w:szCs w:val="20"/>
    </w:rPr>
  </w:style>
  <w:style w:type="character" w:customStyle="1" w:styleId="Heading6Char">
    <w:name w:val="Heading 6 Char"/>
    <w:basedOn w:val="DefaultParagraphFont"/>
    <w:link w:val="Heading6"/>
    <w:uiPriority w:val="9"/>
    <w:semiHidden/>
    <w:rsid w:val="00330094"/>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
    <w:semiHidden/>
    <w:rsid w:val="00330094"/>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
    <w:semiHidden/>
    <w:rsid w:val="00330094"/>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33009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30094"/>
    <w:pPr>
      <w:spacing w:before="600"/>
      <w:contextualSpacing/>
      <w:jc w:val="center"/>
    </w:pPr>
    <w:rPr>
      <w:rFonts w:eastAsia="Times New Roman" w:cs="Times New Roman"/>
      <w:b/>
      <w:spacing w:val="5"/>
      <w:szCs w:val="52"/>
    </w:rPr>
  </w:style>
  <w:style w:type="character" w:customStyle="1" w:styleId="TitleChar">
    <w:name w:val="Title Char"/>
    <w:basedOn w:val="DefaultParagraphFont"/>
    <w:link w:val="Title"/>
    <w:uiPriority w:val="10"/>
    <w:rsid w:val="00330094"/>
    <w:rPr>
      <w:rFonts w:ascii="Arial" w:eastAsia="Times New Roman" w:hAnsi="Arial" w:cs="Times New Roman"/>
      <w:b/>
      <w:spacing w:val="5"/>
      <w:sz w:val="24"/>
      <w:szCs w:val="52"/>
    </w:rPr>
  </w:style>
  <w:style w:type="paragraph" w:styleId="BodyText">
    <w:name w:val="Body Text"/>
    <w:basedOn w:val="Normal"/>
    <w:link w:val="BodyTextChar"/>
    <w:uiPriority w:val="99"/>
    <w:unhideWhenUsed/>
    <w:rsid w:val="00330094"/>
    <w:pPr>
      <w:spacing w:after="240"/>
    </w:pPr>
    <w:rPr>
      <w:rFonts w:eastAsiaTheme="minorEastAsia" w:cs="Times New Roman"/>
      <w:lang w:bidi="en-US"/>
    </w:rPr>
  </w:style>
  <w:style w:type="character" w:customStyle="1" w:styleId="BodyTextChar">
    <w:name w:val="Body Text Char"/>
    <w:basedOn w:val="DefaultParagraphFont"/>
    <w:link w:val="BodyText"/>
    <w:uiPriority w:val="99"/>
    <w:rsid w:val="00330094"/>
    <w:rPr>
      <w:rFonts w:ascii="Arial" w:eastAsiaTheme="minorEastAsia" w:hAnsi="Arial" w:cs="Times New Roman"/>
      <w:sz w:val="24"/>
      <w:lang w:bidi="en-US"/>
    </w:rPr>
  </w:style>
  <w:style w:type="paragraph" w:styleId="ListBullet">
    <w:name w:val="List Bullet"/>
    <w:basedOn w:val="Normal"/>
    <w:uiPriority w:val="99"/>
    <w:unhideWhenUsed/>
    <w:rsid w:val="00330094"/>
    <w:pPr>
      <w:spacing w:after="240"/>
    </w:pPr>
    <w:rPr>
      <w:rFonts w:eastAsiaTheme="minorEastAsia" w:cs="Times New Roman"/>
      <w:lang w:bidi="en-US"/>
    </w:rPr>
  </w:style>
  <w:style w:type="paragraph" w:customStyle="1" w:styleId="TOCHeading1">
    <w:name w:val="TOC Heading1"/>
    <w:basedOn w:val="Heading1"/>
    <w:next w:val="Normal"/>
    <w:uiPriority w:val="39"/>
    <w:semiHidden/>
    <w:unhideWhenUsed/>
    <w:qFormat/>
    <w:rsid w:val="00330094"/>
    <w:pPr>
      <w:outlineLvl w:val="9"/>
    </w:pPr>
  </w:style>
  <w:style w:type="character" w:styleId="Hyperlink">
    <w:name w:val="Hyperlink"/>
    <w:uiPriority w:val="99"/>
    <w:unhideWhenUsed/>
    <w:rsid w:val="00330094"/>
    <w:rPr>
      <w:color w:val="0000FF"/>
      <w:u w:val="single"/>
    </w:rPr>
  </w:style>
  <w:style w:type="paragraph" w:customStyle="1" w:styleId="ColorfulShading-Accent11">
    <w:name w:val="Colorful Shading - Accent 11"/>
    <w:hidden/>
    <w:uiPriority w:val="71"/>
    <w:rsid w:val="00330094"/>
    <w:pPr>
      <w:spacing w:after="0" w:line="240" w:lineRule="auto"/>
    </w:pPr>
    <w:rPr>
      <w:rFonts w:ascii="Times New Roman" w:eastAsiaTheme="minorEastAsia" w:hAnsi="Times New Roman" w:cs="Times New Roman"/>
      <w:sz w:val="24"/>
      <w:lang w:bidi="en-US"/>
    </w:rPr>
  </w:style>
  <w:style w:type="character" w:styleId="CommentReference">
    <w:name w:val="annotation reference"/>
    <w:uiPriority w:val="99"/>
    <w:semiHidden/>
    <w:unhideWhenUsed/>
    <w:rsid w:val="00330094"/>
    <w:rPr>
      <w:sz w:val="16"/>
      <w:szCs w:val="16"/>
    </w:rPr>
  </w:style>
  <w:style w:type="paragraph" w:styleId="CommentText">
    <w:name w:val="annotation text"/>
    <w:basedOn w:val="Normal"/>
    <w:link w:val="CommentTextChar"/>
    <w:uiPriority w:val="99"/>
    <w:unhideWhenUsed/>
    <w:rsid w:val="00330094"/>
    <w:rPr>
      <w:rFonts w:eastAsiaTheme="minorEastAsia" w:cs="Times New Roman"/>
      <w:sz w:val="20"/>
      <w:szCs w:val="20"/>
      <w:lang w:bidi="en-US"/>
    </w:rPr>
  </w:style>
  <w:style w:type="character" w:customStyle="1" w:styleId="CommentTextChar">
    <w:name w:val="Comment Text Char"/>
    <w:basedOn w:val="DefaultParagraphFont"/>
    <w:link w:val="CommentText"/>
    <w:uiPriority w:val="99"/>
    <w:rsid w:val="00330094"/>
    <w:rPr>
      <w:rFonts w:ascii="Arial" w:eastAsiaTheme="minorEastAsia" w:hAnsi="Arial"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30094"/>
    <w:rPr>
      <w:b/>
      <w:bCs/>
    </w:rPr>
  </w:style>
  <w:style w:type="character" w:customStyle="1" w:styleId="CommentSubjectChar">
    <w:name w:val="Comment Subject Char"/>
    <w:basedOn w:val="CommentTextChar"/>
    <w:link w:val="CommentSubject"/>
    <w:uiPriority w:val="99"/>
    <w:semiHidden/>
    <w:rsid w:val="00330094"/>
    <w:rPr>
      <w:rFonts w:ascii="Arial" w:eastAsiaTheme="minorEastAsia" w:hAnsi="Arial" w:cs="Times New Roman"/>
      <w:b/>
      <w:bCs/>
      <w:sz w:val="20"/>
      <w:szCs w:val="20"/>
      <w:lang w:bidi="en-US"/>
    </w:rPr>
  </w:style>
  <w:style w:type="character" w:styleId="FollowedHyperlink">
    <w:name w:val="FollowedHyperlink"/>
    <w:uiPriority w:val="99"/>
    <w:semiHidden/>
    <w:unhideWhenUsed/>
    <w:rsid w:val="00330094"/>
    <w:rPr>
      <w:color w:val="800080"/>
      <w:u w:val="single"/>
    </w:rPr>
  </w:style>
  <w:style w:type="paragraph" w:customStyle="1" w:styleId="FormText">
    <w:name w:val="FormText"/>
    <w:basedOn w:val="Normal"/>
    <w:qFormat/>
    <w:rsid w:val="00330094"/>
    <w:pPr>
      <w:spacing w:before="60" w:after="60"/>
      <w:ind w:left="360" w:hanging="360"/>
    </w:pPr>
    <w:rPr>
      <w:rFonts w:eastAsiaTheme="minorEastAsia" w:cs="Arial"/>
      <w:b/>
      <w:bCs/>
      <w:color w:val="000000"/>
      <w:sz w:val="22"/>
    </w:rPr>
  </w:style>
  <w:style w:type="paragraph" w:customStyle="1" w:styleId="FormTextNoBold">
    <w:name w:val="FormTextNoBold"/>
    <w:basedOn w:val="FormText"/>
    <w:qFormat/>
    <w:rsid w:val="00330094"/>
    <w:pPr>
      <w:spacing w:after="0"/>
    </w:pPr>
    <w:rPr>
      <w:b w:val="0"/>
    </w:rPr>
  </w:style>
  <w:style w:type="paragraph" w:customStyle="1" w:styleId="FormTextIndent">
    <w:name w:val="FormTextIndent"/>
    <w:basedOn w:val="Normal"/>
    <w:qFormat/>
    <w:rsid w:val="00330094"/>
    <w:pPr>
      <w:spacing w:before="40" w:after="40"/>
      <w:ind w:left="360"/>
    </w:pPr>
    <w:rPr>
      <w:rFonts w:eastAsia="Times New Roman" w:cs="Times New Roman"/>
      <w:sz w:val="22"/>
      <w:szCs w:val="24"/>
    </w:rPr>
  </w:style>
  <w:style w:type="paragraph" w:customStyle="1" w:styleId="FormTextIndentItal">
    <w:name w:val="FormTextIndentItal"/>
    <w:basedOn w:val="FormTextIndent"/>
    <w:qFormat/>
    <w:rsid w:val="00330094"/>
    <w:pPr>
      <w:spacing w:before="120" w:after="240"/>
    </w:pPr>
    <w:rPr>
      <w:i/>
      <w:iCs/>
    </w:rPr>
  </w:style>
  <w:style w:type="paragraph" w:customStyle="1" w:styleId="StepBullet-Box">
    <w:name w:val="StepBullet-Box"/>
    <w:basedOn w:val="ListParagraph"/>
    <w:qFormat/>
    <w:rsid w:val="00330094"/>
    <w:pPr>
      <w:spacing w:before="240" w:after="120"/>
      <w:ind w:left="360" w:hanging="360"/>
      <w:contextualSpacing w:val="0"/>
    </w:pPr>
    <w:rPr>
      <w:rFonts w:cs="Arial"/>
      <w:b/>
      <w:bCs/>
      <w:sz w:val="22"/>
      <w:lang w:bidi="ar-SA"/>
    </w:rPr>
  </w:style>
  <w:style w:type="paragraph" w:customStyle="1" w:styleId="StepBullet-Box-2">
    <w:name w:val="StepBullet-Box-2"/>
    <w:basedOn w:val="FormTextIndent"/>
    <w:qFormat/>
    <w:rsid w:val="00330094"/>
    <w:pPr>
      <w:spacing w:after="240"/>
      <w:ind w:left="1080" w:hanging="360"/>
      <w:contextualSpacing/>
    </w:pPr>
    <w:rPr>
      <w:rFonts w:cs="Arial"/>
      <w:sz w:val="24"/>
      <w:szCs w:val="22"/>
    </w:rPr>
  </w:style>
  <w:style w:type="paragraph" w:customStyle="1" w:styleId="StepBullet-Box-3">
    <w:name w:val="StepBullet-Box-3"/>
    <w:basedOn w:val="StepBullet-Box-2"/>
    <w:qFormat/>
    <w:rsid w:val="00330094"/>
    <w:pPr>
      <w:ind w:left="1440"/>
    </w:pPr>
  </w:style>
  <w:style w:type="paragraph" w:styleId="ListParagraph">
    <w:name w:val="List Paragraph"/>
    <w:basedOn w:val="Normal"/>
    <w:link w:val="ListParagraphChar"/>
    <w:uiPriority w:val="34"/>
    <w:qFormat/>
    <w:rsid w:val="00330094"/>
    <w:pPr>
      <w:ind w:left="720"/>
      <w:contextualSpacing/>
    </w:pPr>
    <w:rPr>
      <w:rFonts w:eastAsiaTheme="minorEastAsia" w:cs="Times New Roman"/>
      <w:lang w:bidi="en-US"/>
    </w:rPr>
  </w:style>
  <w:style w:type="paragraph" w:customStyle="1" w:styleId="Text">
    <w:name w:val="Text"/>
    <w:basedOn w:val="Normal"/>
    <w:qFormat/>
    <w:rsid w:val="00330094"/>
    <w:rPr>
      <w:rFonts w:eastAsiaTheme="minorEastAsia" w:cs="Times New Roman"/>
      <w:lang w:bidi="en-US"/>
    </w:rPr>
  </w:style>
  <w:style w:type="paragraph" w:customStyle="1" w:styleId="Bullet-Blank">
    <w:name w:val="Bullet-Blank"/>
    <w:basedOn w:val="Normal"/>
    <w:qFormat/>
    <w:rsid w:val="00330094"/>
    <w:pPr>
      <w:spacing w:before="60" w:after="60"/>
    </w:pPr>
    <w:rPr>
      <w:rFonts w:eastAsia="Times New Roman" w:cs="Arial"/>
      <w:sz w:val="22"/>
    </w:rPr>
  </w:style>
  <w:style w:type="paragraph" w:customStyle="1" w:styleId="Bullet-Blank-2">
    <w:name w:val="Bullet-Blank-2"/>
    <w:basedOn w:val="Normal"/>
    <w:qFormat/>
    <w:rsid w:val="00330094"/>
    <w:pPr>
      <w:spacing w:before="60" w:after="60"/>
    </w:pPr>
    <w:rPr>
      <w:rFonts w:eastAsiaTheme="minorEastAsia" w:cs="Arial"/>
      <w:sz w:val="22"/>
      <w:lang w:bidi="en-US"/>
    </w:rPr>
  </w:style>
  <w:style w:type="paragraph" w:styleId="ListBullet2">
    <w:name w:val="List Bullet 2"/>
    <w:basedOn w:val="Normal"/>
    <w:uiPriority w:val="99"/>
    <w:unhideWhenUsed/>
    <w:rsid w:val="00330094"/>
    <w:pPr>
      <w:numPr>
        <w:numId w:val="2"/>
      </w:numPr>
      <w:contextualSpacing/>
    </w:pPr>
    <w:rPr>
      <w:rFonts w:eastAsiaTheme="minorEastAsia" w:cs="Times New Roman"/>
      <w:lang w:bidi="en-US"/>
    </w:rPr>
  </w:style>
  <w:style w:type="paragraph" w:styleId="ListBullet3">
    <w:name w:val="List Bullet 3"/>
    <w:basedOn w:val="Normal"/>
    <w:uiPriority w:val="99"/>
    <w:unhideWhenUsed/>
    <w:rsid w:val="00330094"/>
    <w:pPr>
      <w:numPr>
        <w:numId w:val="3"/>
      </w:numPr>
      <w:spacing w:after="240"/>
    </w:pPr>
    <w:rPr>
      <w:rFonts w:eastAsiaTheme="minorEastAsia" w:cs="Times New Roman"/>
      <w:lang w:bidi="en-US"/>
    </w:rPr>
  </w:style>
  <w:style w:type="paragraph" w:styleId="FootnoteText">
    <w:name w:val="footnote text"/>
    <w:basedOn w:val="Normal"/>
    <w:link w:val="FootnoteTextChar"/>
    <w:uiPriority w:val="99"/>
    <w:unhideWhenUsed/>
    <w:rsid w:val="00330094"/>
    <w:pPr>
      <w:spacing w:after="0"/>
      <w:ind w:left="288" w:hanging="288"/>
    </w:pPr>
    <w:rPr>
      <w:rFonts w:eastAsia="Calibri" w:cs="Times New Roman"/>
      <w:sz w:val="20"/>
      <w:szCs w:val="20"/>
      <w:lang w:bidi="en-US"/>
    </w:rPr>
  </w:style>
  <w:style w:type="character" w:customStyle="1" w:styleId="FootnoteTextChar">
    <w:name w:val="Footnote Text Char"/>
    <w:basedOn w:val="DefaultParagraphFont"/>
    <w:link w:val="FootnoteText"/>
    <w:uiPriority w:val="99"/>
    <w:rsid w:val="00330094"/>
    <w:rPr>
      <w:rFonts w:ascii="Arial" w:eastAsia="Calibri" w:hAnsi="Arial" w:cs="Times New Roman"/>
      <w:sz w:val="20"/>
      <w:szCs w:val="20"/>
      <w:lang w:bidi="en-US"/>
    </w:rPr>
  </w:style>
  <w:style w:type="character" w:styleId="FootnoteReference">
    <w:name w:val="footnote reference"/>
    <w:basedOn w:val="DefaultParagraphFont"/>
    <w:uiPriority w:val="99"/>
    <w:semiHidden/>
    <w:unhideWhenUsed/>
    <w:rsid w:val="00330094"/>
    <w:rPr>
      <w:vertAlign w:val="superscript"/>
    </w:rPr>
  </w:style>
  <w:style w:type="paragraph" w:customStyle="1" w:styleId="biblio">
    <w:name w:val="biblio"/>
    <w:basedOn w:val="Normal"/>
    <w:qFormat/>
    <w:rsid w:val="00330094"/>
    <w:pPr>
      <w:spacing w:after="120"/>
      <w:ind w:left="720" w:hanging="720"/>
    </w:pPr>
    <w:rPr>
      <w:rFonts w:ascii="Times New Roman" w:eastAsia="Times New Roman" w:hAnsi="Times New Roman" w:cs="Calibri"/>
      <w:noProof/>
      <w:szCs w:val="24"/>
    </w:rPr>
  </w:style>
  <w:style w:type="paragraph" w:customStyle="1" w:styleId="AppendixBodyText">
    <w:name w:val="AppendixBodyText"/>
    <w:basedOn w:val="BodyText"/>
    <w:qFormat/>
    <w:rsid w:val="00330094"/>
    <w:pPr>
      <w:spacing w:before="120" w:after="120"/>
    </w:pPr>
    <w:rPr>
      <w:rFonts w:ascii="Times New Roman" w:eastAsia="Times New Roman" w:hAnsi="Times New Roman"/>
      <w:szCs w:val="24"/>
      <w:lang w:bidi="ar-SA"/>
    </w:rPr>
  </w:style>
  <w:style w:type="table" w:styleId="TableGrid">
    <w:name w:val="Table Grid"/>
    <w:basedOn w:val="TableNormal"/>
    <w:uiPriority w:val="59"/>
    <w:rsid w:val="0033009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0094"/>
    <w:pPr>
      <w:spacing w:after="0" w:line="240" w:lineRule="auto"/>
    </w:pPr>
    <w:rPr>
      <w:rFonts w:ascii="Arial" w:eastAsiaTheme="minorEastAsia" w:hAnsi="Arial" w:cs="Times New Roman"/>
      <w:sz w:val="24"/>
      <w:lang w:bidi="en-US"/>
    </w:rPr>
  </w:style>
  <w:style w:type="character" w:styleId="Emphasis">
    <w:name w:val="Emphasis"/>
    <w:basedOn w:val="DefaultParagraphFont"/>
    <w:uiPriority w:val="20"/>
    <w:qFormat/>
    <w:rsid w:val="00330094"/>
    <w:rPr>
      <w:i/>
      <w:iCs/>
    </w:rPr>
  </w:style>
  <w:style w:type="table" w:customStyle="1" w:styleId="TableGrid1">
    <w:name w:val="Table Grid1"/>
    <w:basedOn w:val="TableNormal"/>
    <w:next w:val="TableGrid"/>
    <w:uiPriority w:val="59"/>
    <w:rsid w:val="0033009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basedOn w:val="DefaultParagraphFont"/>
    <w:rsid w:val="00330094"/>
  </w:style>
  <w:style w:type="paragraph" w:customStyle="1" w:styleId="EndNoteBibliographyTitle">
    <w:name w:val="EndNote Bibliography Title"/>
    <w:basedOn w:val="Normal"/>
    <w:link w:val="EndNoteBibliographyTitleChar"/>
    <w:rsid w:val="00330094"/>
    <w:pPr>
      <w:spacing w:after="0"/>
      <w:jc w:val="center"/>
    </w:pPr>
    <w:rPr>
      <w:rFonts w:eastAsiaTheme="minorEastAsia" w:cs="Arial"/>
      <w:noProof/>
      <w:lang w:bidi="en-US"/>
    </w:rPr>
  </w:style>
  <w:style w:type="character" w:customStyle="1" w:styleId="ListParagraphChar">
    <w:name w:val="List Paragraph Char"/>
    <w:basedOn w:val="DefaultParagraphFont"/>
    <w:link w:val="ListParagraph"/>
    <w:uiPriority w:val="34"/>
    <w:rsid w:val="00330094"/>
    <w:rPr>
      <w:rFonts w:ascii="Arial" w:eastAsiaTheme="minorEastAsia" w:hAnsi="Arial" w:cs="Times New Roman"/>
      <w:sz w:val="24"/>
      <w:lang w:bidi="en-US"/>
    </w:rPr>
  </w:style>
  <w:style w:type="character" w:customStyle="1" w:styleId="EndNoteBibliographyTitleChar">
    <w:name w:val="EndNote Bibliography Title Char"/>
    <w:basedOn w:val="ListParagraphChar"/>
    <w:link w:val="EndNoteBibliographyTitle"/>
    <w:rsid w:val="00330094"/>
    <w:rPr>
      <w:rFonts w:ascii="Arial" w:eastAsiaTheme="minorEastAsia" w:hAnsi="Arial" w:cs="Arial"/>
      <w:noProof/>
      <w:sz w:val="24"/>
      <w:lang w:bidi="en-US"/>
    </w:rPr>
  </w:style>
  <w:style w:type="paragraph" w:customStyle="1" w:styleId="EndNoteBibliography">
    <w:name w:val="EndNote Bibliography"/>
    <w:basedOn w:val="Normal"/>
    <w:link w:val="EndNoteBibliographyChar"/>
    <w:rsid w:val="00330094"/>
    <w:rPr>
      <w:rFonts w:eastAsiaTheme="minorEastAsia" w:cs="Arial"/>
      <w:noProof/>
      <w:lang w:bidi="en-US"/>
    </w:rPr>
  </w:style>
  <w:style w:type="character" w:customStyle="1" w:styleId="EndNoteBibliographyChar">
    <w:name w:val="EndNote Bibliography Char"/>
    <w:basedOn w:val="ListParagraphChar"/>
    <w:link w:val="EndNoteBibliography"/>
    <w:rsid w:val="00330094"/>
    <w:rPr>
      <w:rFonts w:ascii="Arial" w:eastAsiaTheme="minorEastAsia" w:hAnsi="Arial" w:cs="Arial"/>
      <w:noProof/>
      <w:sz w:val="24"/>
      <w:lang w:bidi="en-US"/>
    </w:rPr>
  </w:style>
  <w:style w:type="paragraph" w:styleId="EndnoteText">
    <w:name w:val="endnote text"/>
    <w:basedOn w:val="Normal"/>
    <w:link w:val="EndnoteTextChar"/>
    <w:uiPriority w:val="99"/>
    <w:semiHidden/>
    <w:unhideWhenUsed/>
    <w:rsid w:val="00330094"/>
    <w:pPr>
      <w:spacing w:after="0"/>
    </w:pPr>
    <w:rPr>
      <w:rFonts w:eastAsiaTheme="minorEastAsia" w:cs="Times New Roman"/>
      <w:sz w:val="20"/>
      <w:szCs w:val="20"/>
      <w:lang w:bidi="en-US"/>
    </w:rPr>
  </w:style>
  <w:style w:type="character" w:customStyle="1" w:styleId="EndnoteTextChar">
    <w:name w:val="Endnote Text Char"/>
    <w:basedOn w:val="DefaultParagraphFont"/>
    <w:link w:val="EndnoteText"/>
    <w:uiPriority w:val="99"/>
    <w:semiHidden/>
    <w:rsid w:val="00330094"/>
    <w:rPr>
      <w:rFonts w:ascii="Arial" w:eastAsiaTheme="minorEastAsia" w:hAnsi="Arial" w:cs="Times New Roman"/>
      <w:sz w:val="20"/>
      <w:szCs w:val="20"/>
      <w:lang w:bidi="en-US"/>
    </w:rPr>
  </w:style>
  <w:style w:type="character" w:styleId="EndnoteReference">
    <w:name w:val="endnote reference"/>
    <w:basedOn w:val="DefaultParagraphFont"/>
    <w:uiPriority w:val="99"/>
    <w:semiHidden/>
    <w:unhideWhenUsed/>
    <w:rsid w:val="00330094"/>
    <w:rPr>
      <w:vertAlign w:val="superscript"/>
    </w:rPr>
  </w:style>
  <w:style w:type="paragraph" w:customStyle="1" w:styleId="TableBullet1">
    <w:name w:val="Table Bullet 1"/>
    <w:basedOn w:val="ListParagraph"/>
    <w:qFormat/>
    <w:rsid w:val="00C57F0D"/>
    <w:pPr>
      <w:numPr>
        <w:numId w:val="40"/>
      </w:numPr>
      <w:spacing w:after="0"/>
      <w:ind w:left="360"/>
    </w:pPr>
    <w:rPr>
      <w:szCs w:val="24"/>
    </w:rPr>
  </w:style>
  <w:style w:type="paragraph" w:customStyle="1" w:styleId="TableBullet3">
    <w:name w:val="Table Bullet 3"/>
    <w:basedOn w:val="ListParagraph"/>
    <w:qFormat/>
    <w:rsid w:val="00C57F0D"/>
    <w:pPr>
      <w:numPr>
        <w:ilvl w:val="1"/>
        <w:numId w:val="40"/>
      </w:numPr>
      <w:spacing w:after="0"/>
      <w:ind w:left="1080"/>
    </w:pPr>
    <w:rPr>
      <w:szCs w:val="24"/>
    </w:rPr>
  </w:style>
  <w:style w:type="paragraph" w:customStyle="1" w:styleId="TableBullet2">
    <w:name w:val="Table Bullet 2"/>
    <w:basedOn w:val="ListParagraph"/>
    <w:qFormat/>
    <w:rsid w:val="00D93B81"/>
    <w:pPr>
      <w:numPr>
        <w:numId w:val="43"/>
      </w:numPr>
      <w:tabs>
        <w:tab w:val="num" w:pos="360"/>
      </w:tabs>
      <w:spacing w:after="0"/>
      <w:ind w:left="720"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8955">
      <w:bodyDiv w:val="1"/>
      <w:marLeft w:val="0"/>
      <w:marRight w:val="0"/>
      <w:marTop w:val="0"/>
      <w:marBottom w:val="0"/>
      <w:divBdr>
        <w:top w:val="none" w:sz="0" w:space="0" w:color="auto"/>
        <w:left w:val="none" w:sz="0" w:space="0" w:color="auto"/>
        <w:bottom w:val="none" w:sz="0" w:space="0" w:color="auto"/>
        <w:right w:val="none" w:sz="0" w:space="0" w:color="auto"/>
      </w:divBdr>
      <w:divsChild>
        <w:div w:id="1420522088">
          <w:marLeft w:val="0"/>
          <w:marRight w:val="1"/>
          <w:marTop w:val="0"/>
          <w:marBottom w:val="0"/>
          <w:divBdr>
            <w:top w:val="none" w:sz="0" w:space="0" w:color="auto"/>
            <w:left w:val="none" w:sz="0" w:space="0" w:color="auto"/>
            <w:bottom w:val="none" w:sz="0" w:space="0" w:color="auto"/>
            <w:right w:val="none" w:sz="0" w:space="0" w:color="auto"/>
          </w:divBdr>
          <w:divsChild>
            <w:div w:id="738557132">
              <w:marLeft w:val="0"/>
              <w:marRight w:val="0"/>
              <w:marTop w:val="0"/>
              <w:marBottom w:val="0"/>
              <w:divBdr>
                <w:top w:val="none" w:sz="0" w:space="0" w:color="auto"/>
                <w:left w:val="none" w:sz="0" w:space="0" w:color="auto"/>
                <w:bottom w:val="none" w:sz="0" w:space="0" w:color="auto"/>
                <w:right w:val="none" w:sz="0" w:space="0" w:color="auto"/>
              </w:divBdr>
              <w:divsChild>
                <w:div w:id="152986075">
                  <w:marLeft w:val="0"/>
                  <w:marRight w:val="1"/>
                  <w:marTop w:val="0"/>
                  <w:marBottom w:val="0"/>
                  <w:divBdr>
                    <w:top w:val="none" w:sz="0" w:space="0" w:color="auto"/>
                    <w:left w:val="none" w:sz="0" w:space="0" w:color="auto"/>
                    <w:bottom w:val="none" w:sz="0" w:space="0" w:color="auto"/>
                    <w:right w:val="none" w:sz="0" w:space="0" w:color="auto"/>
                  </w:divBdr>
                  <w:divsChild>
                    <w:div w:id="99420241">
                      <w:marLeft w:val="0"/>
                      <w:marRight w:val="0"/>
                      <w:marTop w:val="0"/>
                      <w:marBottom w:val="0"/>
                      <w:divBdr>
                        <w:top w:val="none" w:sz="0" w:space="0" w:color="auto"/>
                        <w:left w:val="none" w:sz="0" w:space="0" w:color="auto"/>
                        <w:bottom w:val="none" w:sz="0" w:space="0" w:color="auto"/>
                        <w:right w:val="none" w:sz="0" w:space="0" w:color="auto"/>
                      </w:divBdr>
                      <w:divsChild>
                        <w:div w:id="2105219574">
                          <w:marLeft w:val="0"/>
                          <w:marRight w:val="0"/>
                          <w:marTop w:val="0"/>
                          <w:marBottom w:val="0"/>
                          <w:divBdr>
                            <w:top w:val="none" w:sz="0" w:space="0" w:color="auto"/>
                            <w:left w:val="none" w:sz="0" w:space="0" w:color="auto"/>
                            <w:bottom w:val="none" w:sz="0" w:space="0" w:color="auto"/>
                            <w:right w:val="none" w:sz="0" w:space="0" w:color="auto"/>
                          </w:divBdr>
                          <w:divsChild>
                            <w:div w:id="1986007615">
                              <w:marLeft w:val="0"/>
                              <w:marRight w:val="0"/>
                              <w:marTop w:val="120"/>
                              <w:marBottom w:val="360"/>
                              <w:divBdr>
                                <w:top w:val="none" w:sz="0" w:space="0" w:color="auto"/>
                                <w:left w:val="none" w:sz="0" w:space="0" w:color="auto"/>
                                <w:bottom w:val="none" w:sz="0" w:space="0" w:color="auto"/>
                                <w:right w:val="none" w:sz="0" w:space="0" w:color="auto"/>
                              </w:divBdr>
                              <w:divsChild>
                                <w:div w:id="143857138">
                                  <w:marLeft w:val="0"/>
                                  <w:marRight w:val="0"/>
                                  <w:marTop w:val="0"/>
                                  <w:marBottom w:val="0"/>
                                  <w:divBdr>
                                    <w:top w:val="none" w:sz="0" w:space="0" w:color="auto"/>
                                    <w:left w:val="none" w:sz="0" w:space="0" w:color="auto"/>
                                    <w:bottom w:val="none" w:sz="0" w:space="0" w:color="auto"/>
                                    <w:right w:val="none" w:sz="0" w:space="0" w:color="auto"/>
                                  </w:divBdr>
                                  <w:divsChild>
                                    <w:div w:id="5974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158023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ail.ny.acog.org/website/OxytocinForInduction.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essdata.fda.gov/drugsatfda_docs/label/2007/018261s028lbl.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hrq.gov/research/findings/evidence-based-reports/eiltp.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afehealthcareforeverywoman.org/" TargetMode="External"/><Relationship Id="rId14" Type="http://schemas.openxmlformats.org/officeDocument/2006/relationships/hyperlink" Target="http://www.ncbi.nlm.nih.gov/pubmed/1580239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005A4-1462-4733-9A23-B6A09DDB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4814</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AHRQ Safety Program for Perinatal Care: Safe Medication Administration: Oxytocin</vt:lpstr>
    </vt:vector>
  </TitlesOfParts>
  <Company>RTI International under contract to AHRQ</Company>
  <LinksUpToDate>false</LinksUpToDate>
  <CharactersWithSpaces>32190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AHRQ Safety Program for Perinatal Care: Safe Medication Administration: Oxytocin</dc:title>
  <dc:subject>Oxytocin</dc:subject>
  <dc:creator>AHRQ</dc:creator>
  <cp:keywords>Safety Program for Perinatal Care, Safe Medication Administration, labor and delivery, Oxytocin, Magnesium Sulfate</cp:keywords>
  <cp:lastModifiedBy>Chris Heidenrich OCKT</cp:lastModifiedBy>
  <cp:revision>5</cp:revision>
  <cp:lastPrinted>2014-10-28T19:16:00Z</cp:lastPrinted>
  <dcterms:created xsi:type="dcterms:W3CDTF">2016-10-12T21:52:00Z</dcterms:created>
  <dcterms:modified xsi:type="dcterms:W3CDTF">2017-03-21T20:21:00Z</dcterms:modified>
</cp:coreProperties>
</file>