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B04" w:rsidRPr="00914F88" w:rsidRDefault="006A72DC" w:rsidP="00914F88">
      <w:pPr>
        <w:pStyle w:val="Heading1"/>
      </w:pPr>
      <w:bookmarkStart w:id="0" w:name="_MacBuGuideStaticData_15344H"/>
      <w:bookmarkStart w:id="1" w:name="_MacBuGuideStaticData_7935H"/>
      <w:r w:rsidRPr="00914F88">
        <w:t>How Patient and Family Engagement</w:t>
      </w:r>
      <w:r w:rsidRPr="00914F88">
        <w:br/>
        <w:t>Benefits Your Hospital</w:t>
      </w:r>
    </w:p>
    <w:bookmarkEnd w:id="0"/>
    <w:bookmarkEnd w:id="1"/>
    <w:p w:rsidR="005B019F" w:rsidRDefault="005B019F" w:rsidP="00A12414">
      <w:pPr>
        <w:sectPr w:rsidR="005B019F" w:rsidSect="00131799">
          <w:headerReference w:type="even" r:id="rId9"/>
          <w:headerReference w:type="default" r:id="rId10"/>
          <w:footerReference w:type="default" r:id="rId11"/>
          <w:headerReference w:type="first" r:id="rId12"/>
          <w:footerReference w:type="first" r:id="rId13"/>
          <w:type w:val="continuous"/>
          <w:pgSz w:w="12240" w:h="15840"/>
          <w:pgMar w:top="3240" w:right="547" w:bottom="547" w:left="547" w:header="518" w:footer="360" w:gutter="0"/>
          <w:cols w:space="720"/>
          <w:titlePg/>
          <w:docGrid w:linePitch="360"/>
        </w:sectPr>
      </w:pPr>
    </w:p>
    <w:p w:rsidR="00A748D2" w:rsidRPr="00F648CB" w:rsidRDefault="00A748D2" w:rsidP="00F648CB">
      <w:pPr>
        <w:pStyle w:val="BodyText"/>
      </w:pPr>
      <w:r w:rsidRPr="00F648CB">
        <w:lastRenderedPageBreak/>
        <w:t xml:space="preserve">Patient and family engagement is an area of increasing importance </w:t>
      </w:r>
      <w:r w:rsidR="000D113E" w:rsidRPr="00F648CB">
        <w:t xml:space="preserve">for hospitals. </w:t>
      </w:r>
      <w:r w:rsidR="001F0802">
        <w:t>Not only is e</w:t>
      </w:r>
      <w:r w:rsidRPr="00F648CB">
        <w:t>ngaging patients and families and providing patient- and family-centered care the right thing to do</w:t>
      </w:r>
      <w:r w:rsidR="001F0802">
        <w:t xml:space="preserve">, </w:t>
      </w:r>
      <w:r w:rsidR="0045599B">
        <w:t xml:space="preserve">but also </w:t>
      </w:r>
      <w:r w:rsidRPr="00F648CB">
        <w:t>the many individual benefits of patient and family engagement work together to contribute to</w:t>
      </w:r>
      <w:r w:rsidR="009F19A6">
        <w:t xml:space="preserve"> improved hospital performance.</w:t>
      </w:r>
    </w:p>
    <w:p w:rsidR="006A72DC" w:rsidRPr="0034375B" w:rsidRDefault="002A095B" w:rsidP="00F648CB">
      <w:pPr>
        <w:pStyle w:val="BodyText"/>
      </w:pPr>
      <w:r>
        <w:t>Building p</w:t>
      </w:r>
      <w:r w:rsidR="00A748D2">
        <w:t xml:space="preserve">atient and family engagement </w:t>
      </w:r>
      <w:r>
        <w:t>into your hospital’s current policies and practices can help</w:t>
      </w:r>
      <w:r w:rsidR="006A72DC" w:rsidRPr="0034375B">
        <w:t>:</w:t>
      </w:r>
    </w:p>
    <w:p w:rsidR="006A72DC" w:rsidRDefault="006A72DC" w:rsidP="006A72DC">
      <w:pPr>
        <w:pStyle w:val="ListBullet"/>
      </w:pPr>
      <w:r>
        <w:t>Improve quality and safety</w:t>
      </w:r>
    </w:p>
    <w:p w:rsidR="005D1420" w:rsidRDefault="005D1420" w:rsidP="005D1420">
      <w:pPr>
        <w:pStyle w:val="ListBullet"/>
      </w:pPr>
      <w:r>
        <w:t xml:space="preserve">Improve </w:t>
      </w:r>
      <w:r w:rsidR="00034F4D">
        <w:t>financial performance</w:t>
      </w:r>
    </w:p>
    <w:p w:rsidR="006A72DC" w:rsidRDefault="006A72DC" w:rsidP="006A72DC">
      <w:pPr>
        <w:pStyle w:val="ListBullet"/>
      </w:pPr>
      <w:r>
        <w:t>Improve CAHPS® Hospital Survey scores</w:t>
      </w:r>
    </w:p>
    <w:p w:rsidR="00034F4D" w:rsidRDefault="000E62C0" w:rsidP="006A72DC">
      <w:pPr>
        <w:pStyle w:val="ListBullet"/>
      </w:pPr>
      <w:r>
        <w:t>Improve</w:t>
      </w:r>
      <w:r w:rsidR="00034F4D">
        <w:t xml:space="preserve"> patient outcomes</w:t>
      </w:r>
    </w:p>
    <w:p w:rsidR="005D1420" w:rsidRDefault="00034F4D" w:rsidP="005D1420">
      <w:pPr>
        <w:pStyle w:val="ListBullet"/>
      </w:pPr>
      <w:r>
        <w:t>Enhance market share and competitiveness</w:t>
      </w:r>
    </w:p>
    <w:p w:rsidR="005D1420" w:rsidRDefault="00034F4D" w:rsidP="005D1420">
      <w:pPr>
        <w:pStyle w:val="ListBullet"/>
      </w:pPr>
      <w:r>
        <w:t>Increase employee satisfaction and retention</w:t>
      </w:r>
    </w:p>
    <w:p w:rsidR="006A72DC" w:rsidRDefault="00034F4D" w:rsidP="00D6629C">
      <w:pPr>
        <w:pStyle w:val="ListBullet"/>
        <w:spacing w:after="240"/>
      </w:pPr>
      <w:r>
        <w:t>Respond to Joint Commission standards</w:t>
      </w:r>
    </w:p>
    <w:p w:rsidR="004B753C" w:rsidRDefault="00575602" w:rsidP="00677FCD">
      <w:pPr>
        <w:pStyle w:val="ListBullet"/>
        <w:numPr>
          <w:ilvl w:val="0"/>
          <w:numId w:val="0"/>
        </w:numPr>
        <w:spacing w:after="240" w:line="280" w:lineRule="exact"/>
      </w:pPr>
      <w:r>
        <w:t xml:space="preserve">The strategies in the </w:t>
      </w:r>
      <w:r>
        <w:rPr>
          <w:i/>
        </w:rPr>
        <w:t xml:space="preserve">Guide </w:t>
      </w:r>
      <w:r>
        <w:t xml:space="preserve">can help achieve these outcomes. In a pilot implementation project, hospitals that implemented the strategies in the </w:t>
      </w:r>
      <w:r>
        <w:rPr>
          <w:i/>
        </w:rPr>
        <w:t xml:space="preserve">Guide </w:t>
      </w:r>
      <w:r>
        <w:t xml:space="preserve">observed </w:t>
      </w:r>
      <w:r w:rsidRPr="00DA484D">
        <w:t>improved patient experiences of care, increased staff satisfaction, and improved nursing time management.</w:t>
      </w:r>
    </w:p>
    <w:p w:rsidR="00677FCD" w:rsidRDefault="00677FCD" w:rsidP="00677FCD">
      <w:pPr>
        <w:pStyle w:val="ListBullet"/>
        <w:numPr>
          <w:ilvl w:val="0"/>
          <w:numId w:val="0"/>
        </w:numPr>
        <w:spacing w:before="1920" w:after="0" w:line="240" w:lineRule="atLeast"/>
        <w:rPr>
          <w:noProof/>
        </w:rPr>
      </w:pPr>
      <w:r>
        <w:rPr>
          <w:noProof/>
        </w:rPr>
        <w:drawing>
          <wp:inline distT="0" distB="0" distL="0" distR="0" wp14:anchorId="0CF75C62">
            <wp:extent cx="2456815" cy="792480"/>
            <wp:effectExtent l="0" t="0" r="635" b="0"/>
            <wp:docPr id="7" name="Picture 7" descr="There are two logos at the bottom of the page: the logo of the U.S. Department of Health and Human Services and the logo of the Agency for Healthcare Research and Quality (AHRQ):&#10;Advancing Excellence in Health Care. www.ahrq.go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6815" cy="792480"/>
                    </a:xfrm>
                    <a:prstGeom prst="rect">
                      <a:avLst/>
                    </a:prstGeom>
                    <a:noFill/>
                  </pic:spPr>
                </pic:pic>
              </a:graphicData>
            </a:graphic>
          </wp:inline>
        </w:drawing>
      </w:r>
    </w:p>
    <w:tbl>
      <w:tblPr>
        <w:tblW w:w="0" w:type="auto"/>
        <w:tblInd w:w="374" w:type="dxa"/>
        <w:shd w:val="clear" w:color="auto" w:fill="E4F7F8"/>
        <w:tblLook w:val="04A0" w:firstRow="1" w:lastRow="0" w:firstColumn="1" w:lastColumn="0" w:noHBand="0" w:noVBand="1"/>
        <w:tblCaption w:val="Text box"/>
        <w:tblDescription w:val="&quot;&quot;"/>
      </w:tblPr>
      <w:tblGrid>
        <w:gridCol w:w="5058"/>
      </w:tblGrid>
      <w:tr w:rsidR="00C56FCC" w:rsidRPr="00446F1B" w:rsidTr="008A1FDC">
        <w:trPr>
          <w:cantSplit/>
          <w:tblHeader/>
        </w:trPr>
        <w:tc>
          <w:tcPr>
            <w:tcW w:w="5058" w:type="dxa"/>
            <w:shd w:val="clear" w:color="auto" w:fill="E4F7F8"/>
          </w:tcPr>
          <w:p w:rsidR="00A765C7" w:rsidRPr="00446F1B" w:rsidRDefault="00677FCD" w:rsidP="00914F88">
            <w:pPr>
              <w:pStyle w:val="Heading2"/>
            </w:pPr>
            <w:r>
              <w:rPr>
                <w:noProof/>
              </w:rPr>
              <w:lastRenderedPageBreak/>
              <w:br w:type="column"/>
            </w:r>
            <w:r w:rsidR="00A765C7" w:rsidRPr="00446F1B">
              <w:t>Key Take</w:t>
            </w:r>
            <w:r w:rsidR="0045599B">
              <w:t>a</w:t>
            </w:r>
            <w:r w:rsidR="00A765C7" w:rsidRPr="00446F1B">
              <w:t>ways</w:t>
            </w:r>
          </w:p>
        </w:tc>
      </w:tr>
      <w:tr w:rsidR="00C56FCC" w:rsidRPr="00446F1B" w:rsidTr="00D6629C">
        <w:trPr>
          <w:trHeight w:val="6552"/>
        </w:trPr>
        <w:tc>
          <w:tcPr>
            <w:tcW w:w="5058" w:type="dxa"/>
            <w:shd w:val="clear" w:color="auto" w:fill="E4F7F8"/>
          </w:tcPr>
          <w:p w:rsidR="00A765C7" w:rsidRPr="00446F1B" w:rsidRDefault="00A765C7" w:rsidP="00D6629C">
            <w:pPr>
              <w:pStyle w:val="ListBullet"/>
              <w:spacing w:line="300" w:lineRule="exact"/>
              <w:rPr>
                <w:rStyle w:val="Strong"/>
                <w:b w:val="0"/>
                <w:bCs w:val="0"/>
              </w:rPr>
            </w:pPr>
            <w:r w:rsidRPr="00446F1B">
              <w:rPr>
                <w:bCs/>
              </w:rPr>
              <w:t>Patient and family engagement is not a new or separate initiative. It is a critical part of what your hospital is already doing to improve quality and safety</w:t>
            </w:r>
            <w:r w:rsidR="000C3946">
              <w:rPr>
                <w:rStyle w:val="Strong"/>
                <w:b w:val="0"/>
              </w:rPr>
              <w:t>.</w:t>
            </w:r>
          </w:p>
          <w:p w:rsidR="00A765C7" w:rsidRPr="00446F1B" w:rsidRDefault="00A765C7" w:rsidP="00D6629C">
            <w:pPr>
              <w:pStyle w:val="ListBullet"/>
              <w:spacing w:line="300" w:lineRule="exact"/>
            </w:pPr>
            <w:r w:rsidRPr="00446F1B">
              <w:t xml:space="preserve">Patient and family engagement improves multiple aspects of hospital performance, including quality, safety, </w:t>
            </w:r>
            <w:proofErr w:type="gramStart"/>
            <w:r w:rsidRPr="00446F1B">
              <w:t>financial</w:t>
            </w:r>
            <w:proofErr w:type="gramEnd"/>
            <w:r w:rsidRPr="00446F1B">
              <w:t xml:space="preserve"> performance, patient experiences of care, patient outcomes, and employee satisfaction.</w:t>
            </w:r>
          </w:p>
          <w:p w:rsidR="00A765C7" w:rsidRPr="00446F1B" w:rsidRDefault="00A765C7" w:rsidP="00D6629C">
            <w:pPr>
              <w:pStyle w:val="ListBullet"/>
              <w:spacing w:line="300" w:lineRule="exact"/>
            </w:pPr>
            <w:r w:rsidRPr="00446F1B">
              <w:t>Together, the multiple individual benefits of patient and family engagement lead to improved hospital performance.</w:t>
            </w:r>
          </w:p>
          <w:p w:rsidR="00A765C7" w:rsidRPr="00446F1B" w:rsidRDefault="00A765C7" w:rsidP="00D6629C">
            <w:pPr>
              <w:pStyle w:val="ListBullet"/>
              <w:spacing w:line="300" w:lineRule="exact"/>
            </w:pPr>
            <w:r w:rsidRPr="00446F1B">
              <w:t xml:space="preserve">The </w:t>
            </w:r>
            <w:r w:rsidRPr="00446F1B">
              <w:rPr>
                <w:i/>
              </w:rPr>
              <w:t>Guide to Patient and Family Engagement in Hospital Quality and Safety</w:t>
            </w:r>
            <w:r w:rsidR="00531143">
              <w:t xml:space="preserve"> </w:t>
            </w:r>
            <w:r w:rsidRPr="00446F1B">
              <w:t xml:space="preserve">is an evidence-based resource that helps hospitals </w:t>
            </w:r>
            <w:proofErr w:type="gramStart"/>
            <w:r w:rsidRPr="00446F1B">
              <w:t>develop</w:t>
            </w:r>
            <w:proofErr w:type="gramEnd"/>
            <w:r w:rsidRPr="00446F1B">
              <w:t xml:space="preserve"> effective partnerships with patients and family members, with the ultimate goal of improving hospital quality and safety.</w:t>
            </w:r>
            <w:r w:rsidR="00A75220">
              <w:rPr>
                <w:rStyle w:val="FootnoteReference"/>
              </w:rPr>
              <w:footnoteReference w:id="1"/>
            </w:r>
          </w:p>
        </w:tc>
      </w:tr>
    </w:tbl>
    <w:p w:rsidR="00A765C7" w:rsidRDefault="00A765C7" w:rsidP="00247CA5">
      <w:pPr>
        <w:pStyle w:val="ListBullet"/>
        <w:numPr>
          <w:ilvl w:val="0"/>
          <w:numId w:val="0"/>
        </w:numPr>
        <w:ind w:left="374" w:hanging="187"/>
      </w:pPr>
    </w:p>
    <w:p w:rsidR="00A765C7" w:rsidRDefault="00A765C7" w:rsidP="00247CA5">
      <w:pPr>
        <w:pStyle w:val="ListBullet"/>
        <w:numPr>
          <w:ilvl w:val="0"/>
          <w:numId w:val="0"/>
        </w:numPr>
        <w:ind w:left="374" w:hanging="187"/>
        <w:sectPr w:rsidR="00A765C7" w:rsidSect="00DE3B1F">
          <w:footerReference w:type="default" r:id="rId15"/>
          <w:footnotePr>
            <w:numFmt w:val="chicago"/>
          </w:footnotePr>
          <w:type w:val="continuous"/>
          <w:pgSz w:w="12240" w:h="15840"/>
          <w:pgMar w:top="3240" w:right="547" w:bottom="540" w:left="540" w:header="518" w:footer="360" w:gutter="0"/>
          <w:cols w:num="2" w:space="720"/>
          <w:docGrid w:linePitch="360"/>
        </w:sectPr>
      </w:pPr>
    </w:p>
    <w:p w:rsidR="002E439F" w:rsidRPr="001742B2" w:rsidRDefault="002E439F" w:rsidP="00B86636">
      <w:pPr>
        <w:pStyle w:val="Heading2"/>
        <w:spacing w:before="0" w:after="240"/>
      </w:pPr>
      <w:r w:rsidRPr="001742B2">
        <w:lastRenderedPageBreak/>
        <w:t xml:space="preserve">What are the </w:t>
      </w:r>
      <w:r w:rsidR="00714C13">
        <w:t>b</w:t>
      </w:r>
      <w:r w:rsidRPr="001742B2">
        <w:t xml:space="preserve">enefits of </w:t>
      </w:r>
      <w:r w:rsidR="00714C13">
        <w:t>p</w:t>
      </w:r>
      <w:r w:rsidRPr="001742B2">
        <w:t xml:space="preserve">atient and </w:t>
      </w:r>
      <w:r w:rsidR="00714C13">
        <w:t>f</w:t>
      </w:r>
      <w:r w:rsidRPr="001742B2">
        <w:t xml:space="preserve">amily </w:t>
      </w:r>
      <w:r w:rsidR="00714C13">
        <w:t>e</w:t>
      </w:r>
      <w:r w:rsidRPr="001742B2">
        <w:t>ngagement?</w:t>
      </w:r>
    </w:p>
    <w:p w:rsidR="00180FD1" w:rsidRDefault="00180FD1" w:rsidP="00B86636">
      <w:pPr>
        <w:pStyle w:val="Heading2"/>
        <w:sectPr w:rsidR="00180FD1" w:rsidSect="00131799">
          <w:headerReference w:type="default" r:id="rId16"/>
          <w:footerReference w:type="default" r:id="rId17"/>
          <w:pgSz w:w="12240" w:h="15840"/>
          <w:pgMar w:top="2016" w:right="547" w:bottom="547" w:left="547" w:header="518" w:footer="360" w:gutter="0"/>
          <w:cols w:space="720"/>
          <w:docGrid w:linePitch="360"/>
        </w:sectPr>
      </w:pPr>
    </w:p>
    <w:p w:rsidR="001D1A51" w:rsidRDefault="002E439F" w:rsidP="00B86636">
      <w:pPr>
        <w:pStyle w:val="Heading3"/>
        <w:spacing w:before="0"/>
      </w:pPr>
      <w:r w:rsidRPr="005E68AC">
        <w:lastRenderedPageBreak/>
        <w:t>Overall improvements</w:t>
      </w:r>
      <w:r w:rsidR="00EB2206">
        <w:t xml:space="preserve"> </w:t>
      </w:r>
      <w:r w:rsidRPr="005E68AC">
        <w:t>in</w:t>
      </w:r>
      <w:r w:rsidR="00975776">
        <w:t xml:space="preserve"> </w:t>
      </w:r>
      <w:r w:rsidR="0030299F">
        <w:t>quality and safety</w:t>
      </w:r>
    </w:p>
    <w:p w:rsidR="000D113E" w:rsidRDefault="004667C4" w:rsidP="00F648CB">
      <w:pPr>
        <w:pStyle w:val="BodyText"/>
      </w:pPr>
      <w:r>
        <w:t>When you</w:t>
      </w:r>
      <w:r w:rsidR="00575602">
        <w:t>r</w:t>
      </w:r>
      <w:r>
        <w:t xml:space="preserve"> approach </w:t>
      </w:r>
      <w:r w:rsidR="00575602">
        <w:t xml:space="preserve">to </w:t>
      </w:r>
      <w:r>
        <w:t xml:space="preserve">care centers on patients and families, they become </w:t>
      </w:r>
      <w:r w:rsidR="002E439F">
        <w:t xml:space="preserve">allies </w:t>
      </w:r>
      <w:r>
        <w:t xml:space="preserve">in your efforts to improve </w:t>
      </w:r>
      <w:r w:rsidR="002E439F">
        <w:t>quality and safety</w:t>
      </w:r>
      <w:r w:rsidR="005D1420">
        <w:t xml:space="preserve">. </w:t>
      </w:r>
      <w:r>
        <w:t xml:space="preserve">They contribute </w:t>
      </w:r>
      <w:r w:rsidR="002E439F">
        <w:t xml:space="preserve">through </w:t>
      </w:r>
      <w:r w:rsidR="002E439F" w:rsidRPr="00913000">
        <w:t>“informed choices, safe medication use, infection control initiatives, observing care processes, reporting complications, and practicing self-management.”</w:t>
      </w:r>
      <w:hyperlink w:anchor="EN1" w:history="1">
        <w:r w:rsidR="006B3C61" w:rsidRPr="00DB06D2">
          <w:rPr>
            <w:rStyle w:val="Hyperlink"/>
            <w:color w:val="000000" w:themeColor="text1"/>
            <w:u w:val="none"/>
            <w:vertAlign w:val="superscript"/>
          </w:rPr>
          <w:t>1</w:t>
        </w:r>
      </w:hyperlink>
      <w:r w:rsidR="0008581C">
        <w:rPr>
          <w:rStyle w:val="CommentReference"/>
        </w:rPr>
        <w:t xml:space="preserve"> </w:t>
      </w:r>
      <w:r>
        <w:t>All this</w:t>
      </w:r>
      <w:r w:rsidR="005139C0">
        <w:t xml:space="preserve"> </w:t>
      </w:r>
      <w:r w:rsidR="002A095B" w:rsidRPr="003526BA">
        <w:t>translate</w:t>
      </w:r>
      <w:r w:rsidR="000B6C62">
        <w:t>s</w:t>
      </w:r>
      <w:r w:rsidR="002A095B" w:rsidRPr="003526BA">
        <w:t xml:space="preserve"> into measurable improvements in quality</w:t>
      </w:r>
      <w:r w:rsidR="002A095B">
        <w:t xml:space="preserve"> and safety.</w:t>
      </w:r>
      <w:hyperlink w:anchor="EN2" w:history="1">
        <w:r w:rsidR="006B3C61" w:rsidRPr="00DB06D2">
          <w:rPr>
            <w:rStyle w:val="Hyperlink"/>
            <w:color w:val="000000" w:themeColor="text1"/>
            <w:u w:val="none"/>
            <w:vertAlign w:val="superscript"/>
          </w:rPr>
          <w:t>2</w:t>
        </w:r>
      </w:hyperlink>
    </w:p>
    <w:p w:rsidR="002E439F" w:rsidRDefault="004B29DC" w:rsidP="00B86636">
      <w:pPr>
        <w:pStyle w:val="BodyText"/>
      </w:pPr>
      <w:r>
        <w:t xml:space="preserve">For example, </w:t>
      </w:r>
      <w:proofErr w:type="spellStart"/>
      <w:r w:rsidR="00B85D04">
        <w:t>Planetree</w:t>
      </w:r>
      <w:proofErr w:type="spellEnd"/>
      <w:r w:rsidR="00B85D04">
        <w:t xml:space="preserve"> </w:t>
      </w:r>
      <w:r>
        <w:t>h</w:t>
      </w:r>
      <w:r w:rsidR="00187DAA">
        <w:t xml:space="preserve">ospitals </w:t>
      </w:r>
      <w:r w:rsidR="005D1420">
        <w:t>that implemented</w:t>
      </w:r>
      <w:r w:rsidR="00187DAA">
        <w:t xml:space="preserve"> patient-centered strategies exceeded </w:t>
      </w:r>
      <w:r w:rsidR="000749AF">
        <w:t>Centers for Medicare &amp; Medicaid Services</w:t>
      </w:r>
      <w:r w:rsidR="00187DAA">
        <w:t xml:space="preserve"> national averages on several core quality measures, including care for heart attack, pneumonia, heart failure, and surgical site</w:t>
      </w:r>
      <w:r w:rsidR="005D1420">
        <w:t>s</w:t>
      </w:r>
      <w:r w:rsidR="00187DAA">
        <w:t>.</w:t>
      </w:r>
      <w:hyperlink w:anchor="EN3" w:history="1">
        <w:r w:rsidR="006B3C61" w:rsidRPr="00DB06D2">
          <w:rPr>
            <w:rStyle w:val="Hyperlink"/>
            <w:color w:val="000000" w:themeColor="text1"/>
            <w:u w:val="none"/>
            <w:vertAlign w:val="superscript"/>
          </w:rPr>
          <w:t>3</w:t>
        </w:r>
      </w:hyperlink>
      <w:r w:rsidR="000B6C62">
        <w:t xml:space="preserve"> </w:t>
      </w:r>
      <w:r w:rsidR="000B6C62" w:rsidRPr="00F251EF">
        <w:t xml:space="preserve">When </w:t>
      </w:r>
      <w:r w:rsidR="00575602" w:rsidRPr="00C10009">
        <w:t>Georgia Health Sciences</w:t>
      </w:r>
      <w:r w:rsidR="000B6C62" w:rsidRPr="00F251EF">
        <w:t xml:space="preserve"> Medical</w:t>
      </w:r>
      <w:r w:rsidR="000B6C62">
        <w:t xml:space="preserve"> Center </w:t>
      </w:r>
      <w:r w:rsidR="000D113E">
        <w:t>implemented</w:t>
      </w:r>
      <w:r w:rsidR="009C078A">
        <w:t xml:space="preserve"> changes to </w:t>
      </w:r>
      <w:r w:rsidR="0045599B">
        <w:t xml:space="preserve">its </w:t>
      </w:r>
      <w:r w:rsidR="009C078A">
        <w:t>visitation policy</w:t>
      </w:r>
      <w:r w:rsidR="000D113E">
        <w:t xml:space="preserve"> to promote patient and family engagement</w:t>
      </w:r>
      <w:r w:rsidR="009C078A">
        <w:t>, the</w:t>
      </w:r>
      <w:r w:rsidR="0045599B">
        <w:t xml:space="preserve"> center</w:t>
      </w:r>
      <w:r w:rsidR="009C078A">
        <w:t xml:space="preserve"> saw a </w:t>
      </w:r>
      <w:r w:rsidR="002E439F">
        <w:t>62</w:t>
      </w:r>
      <w:r w:rsidR="00531FE8">
        <w:t> </w:t>
      </w:r>
      <w:r w:rsidR="002E439F">
        <w:t>percent reduction in medication errors, a 40 percent reduction in falls, and a 50 percent decrease in length of stay.</w:t>
      </w:r>
      <w:hyperlink w:anchor="EN4" w:history="1">
        <w:r w:rsidR="006B3C61" w:rsidRPr="00DB06D2">
          <w:rPr>
            <w:rStyle w:val="Hyperlink"/>
            <w:color w:val="000000" w:themeColor="text1"/>
            <w:u w:val="none"/>
            <w:vertAlign w:val="superscript"/>
          </w:rPr>
          <w:t>4</w:t>
        </w:r>
      </w:hyperlink>
    </w:p>
    <w:p w:rsidR="001D1A51" w:rsidRPr="00914F88" w:rsidRDefault="0030299F" w:rsidP="00914F88">
      <w:pPr>
        <w:pStyle w:val="Heading3"/>
      </w:pPr>
      <w:r>
        <w:t>Improved financial performance</w:t>
      </w:r>
    </w:p>
    <w:p w:rsidR="00F648CB" w:rsidRDefault="00023BAE" w:rsidP="00103A82">
      <w:pPr>
        <w:pStyle w:val="BodyText"/>
        <w:rPr>
          <w:rStyle w:val="referencenumbers"/>
        </w:rPr>
      </w:pPr>
      <w:r w:rsidRPr="00236D98">
        <w:t>R</w:t>
      </w:r>
      <w:r w:rsidR="005D1420" w:rsidRPr="00236D98">
        <w:t>esearch from the Gallup Management Journal shows that patient and family engagement “consistently predicts hospital performance on an array of crucial business outcomes, including EBITA (earnings before the deduction of interest, tax, and amortization) per adjusted admission and net revenue per adjusted admission.”</w:t>
      </w:r>
      <w:hyperlink w:anchor="EN5" w:history="1">
        <w:r w:rsidR="006B3C61" w:rsidRPr="00DB06D2">
          <w:rPr>
            <w:rStyle w:val="Hyperlink"/>
            <w:color w:val="000000" w:themeColor="text1"/>
            <w:u w:val="none"/>
            <w:vertAlign w:val="superscript"/>
          </w:rPr>
          <w:t>5</w:t>
        </w:r>
      </w:hyperlink>
      <w:r w:rsidR="00714C13">
        <w:t xml:space="preserve"> </w:t>
      </w:r>
      <w:r w:rsidR="002E439F">
        <w:t>Patient</w:t>
      </w:r>
      <w:r w:rsidR="002C3FA9">
        <w:t>-</w:t>
      </w:r>
      <w:r w:rsidR="002E439F">
        <w:t>and family-centered care also decreases litigation and malpractice claims</w:t>
      </w:r>
      <w:hyperlink w:anchor="EN6" w:history="1">
        <w:r w:rsidR="006B3C61" w:rsidRPr="00DB06D2">
          <w:rPr>
            <w:rStyle w:val="Hyperlink"/>
            <w:color w:val="000000" w:themeColor="text1"/>
            <w:u w:val="none"/>
            <w:vertAlign w:val="superscript"/>
          </w:rPr>
          <w:t>6</w:t>
        </w:r>
      </w:hyperlink>
      <w:r w:rsidR="0011515F">
        <w:t xml:space="preserve"> a</w:t>
      </w:r>
      <w:r w:rsidR="005465C4">
        <w:t xml:space="preserve">nd </w:t>
      </w:r>
      <w:r w:rsidR="002E439F">
        <w:t xml:space="preserve">leads to lower costs per case due to </w:t>
      </w:r>
      <w:r w:rsidR="002E439F" w:rsidRPr="004874A7">
        <w:t>fewer complications and shorter length of stay.</w:t>
      </w:r>
      <w:hyperlink w:anchor="EN7" w:history="1">
        <w:r w:rsidR="006B3C61" w:rsidRPr="00DB06D2">
          <w:rPr>
            <w:rStyle w:val="Hyperlink"/>
            <w:color w:val="000000" w:themeColor="text1"/>
            <w:u w:val="none"/>
            <w:vertAlign w:val="superscript"/>
          </w:rPr>
          <w:t>7</w:t>
        </w:r>
      </w:hyperlink>
      <w:proofErr w:type="gramStart"/>
      <w:r w:rsidR="006B3C61" w:rsidRPr="006B3C61">
        <w:rPr>
          <w:vertAlign w:val="superscript"/>
        </w:rPr>
        <w:t>,</w:t>
      </w:r>
      <w:proofErr w:type="gramEnd"/>
      <w:r w:rsidR="00840B7C">
        <w:fldChar w:fldCharType="begin"/>
      </w:r>
      <w:r w:rsidR="00840B7C">
        <w:instrText xml:space="preserve"> HYPERLINK \l "EN8" </w:instrText>
      </w:r>
      <w:r w:rsidR="00840B7C">
        <w:fldChar w:fldCharType="separate"/>
      </w:r>
      <w:r w:rsidR="006B3C61" w:rsidRPr="00DB06D2">
        <w:rPr>
          <w:rStyle w:val="Hyperlink"/>
          <w:color w:val="000000" w:themeColor="text1"/>
          <w:u w:val="none"/>
          <w:vertAlign w:val="superscript"/>
        </w:rPr>
        <w:t>8</w:t>
      </w:r>
      <w:r w:rsidR="00840B7C">
        <w:rPr>
          <w:rStyle w:val="Hyperlink"/>
          <w:color w:val="000000" w:themeColor="text1"/>
          <w:u w:val="none"/>
          <w:vertAlign w:val="superscript"/>
        </w:rPr>
        <w:fldChar w:fldCharType="end"/>
      </w:r>
      <w:r w:rsidR="00714C13">
        <w:t xml:space="preserve"> </w:t>
      </w:r>
      <w:r w:rsidR="002E439F">
        <w:t xml:space="preserve">It can </w:t>
      </w:r>
      <w:r w:rsidR="005465C4">
        <w:t xml:space="preserve">also </w:t>
      </w:r>
      <w:r w:rsidR="002E439F">
        <w:t>improve patient flow</w:t>
      </w:r>
      <w:r w:rsidR="000D113E">
        <w:t xml:space="preserve"> and bed capacity</w:t>
      </w:r>
      <w:r w:rsidR="002E439F">
        <w:t xml:space="preserve"> and reduce overcrowding, with engaged patients and families serving as an early warning system for potential bottlenecks in care </w:t>
      </w:r>
      <w:r w:rsidR="002E439F" w:rsidRPr="00F40355">
        <w:t>processes.</w:t>
      </w:r>
      <w:hyperlink w:anchor="EN9" w:history="1">
        <w:r w:rsidR="006B3C61" w:rsidRPr="00DB06D2">
          <w:rPr>
            <w:rStyle w:val="Hyperlink"/>
            <w:color w:val="000000" w:themeColor="text1"/>
            <w:u w:val="none"/>
            <w:vertAlign w:val="superscript"/>
          </w:rPr>
          <w:t>9</w:t>
        </w:r>
      </w:hyperlink>
      <w:r w:rsidR="002E439F" w:rsidRPr="00F40355">
        <w:t xml:space="preserve"> </w:t>
      </w:r>
      <w:r w:rsidR="00DE37CB" w:rsidRPr="00F40355">
        <w:t>When patients and families remain disengaged, hospitals waste resources in the form of delays and waste due to higher call volume, repetitive patient education efforts, increased diagnostic tests, and a greater need for referrals.</w:t>
      </w:r>
      <w:hyperlink w:anchor="EN10" w:history="1">
        <w:r w:rsidR="006B3C61" w:rsidRPr="00DB06D2">
          <w:rPr>
            <w:rStyle w:val="Hyperlink"/>
            <w:color w:val="000000" w:themeColor="text1"/>
            <w:u w:val="none"/>
            <w:vertAlign w:val="superscript"/>
          </w:rPr>
          <w:t>10</w:t>
        </w:r>
      </w:hyperlink>
      <w:proofErr w:type="gramStart"/>
      <w:r w:rsidR="006B3C61" w:rsidRPr="006B3C61">
        <w:rPr>
          <w:vertAlign w:val="superscript"/>
        </w:rPr>
        <w:t>,</w:t>
      </w:r>
      <w:proofErr w:type="gramEnd"/>
      <w:r w:rsidR="00840B7C">
        <w:fldChar w:fldCharType="begin"/>
      </w:r>
      <w:r w:rsidR="00840B7C">
        <w:instrText xml:space="preserve"> HYPERLINK \l "EN11" </w:instrText>
      </w:r>
      <w:r w:rsidR="00840B7C">
        <w:fldChar w:fldCharType="separate"/>
      </w:r>
      <w:r w:rsidR="006B3C61" w:rsidRPr="00DB06D2">
        <w:rPr>
          <w:rStyle w:val="Hyperlink"/>
          <w:color w:val="000000" w:themeColor="text1"/>
          <w:u w:val="none"/>
          <w:vertAlign w:val="superscript"/>
        </w:rPr>
        <w:t>11</w:t>
      </w:r>
      <w:r w:rsidR="00840B7C">
        <w:rPr>
          <w:rStyle w:val="Hyperlink"/>
          <w:color w:val="000000" w:themeColor="text1"/>
          <w:u w:val="none"/>
          <w:vertAlign w:val="superscript"/>
        </w:rPr>
        <w:fldChar w:fldCharType="end"/>
      </w:r>
    </w:p>
    <w:p w:rsidR="001D1A51" w:rsidRPr="00914F88" w:rsidRDefault="00D41E13" w:rsidP="000749AF">
      <w:pPr>
        <w:pStyle w:val="Heading3"/>
        <w:spacing w:before="0"/>
      </w:pPr>
      <w:r>
        <w:rPr>
          <w:rStyle w:val="Heading2Char"/>
          <w:color w:val="auto"/>
          <w:kern w:val="0"/>
          <w:sz w:val="26"/>
          <w:szCs w:val="26"/>
        </w:rPr>
        <w:br w:type="column"/>
      </w:r>
      <w:r w:rsidR="002E439F" w:rsidRPr="00914F88">
        <w:rPr>
          <w:rStyle w:val="Heading2Char"/>
          <w:color w:val="auto"/>
          <w:kern w:val="0"/>
          <w:sz w:val="26"/>
          <w:szCs w:val="26"/>
        </w:rPr>
        <w:lastRenderedPageBreak/>
        <w:t xml:space="preserve">Improved CAHPS Hospital Survey </w:t>
      </w:r>
      <w:r w:rsidR="00DE37CB" w:rsidRPr="00914F88">
        <w:rPr>
          <w:rStyle w:val="Heading2Char"/>
          <w:color w:val="auto"/>
          <w:kern w:val="0"/>
          <w:sz w:val="26"/>
          <w:szCs w:val="26"/>
        </w:rPr>
        <w:br/>
      </w:r>
      <w:r w:rsidR="002E439F" w:rsidRPr="00914F88">
        <w:rPr>
          <w:rStyle w:val="Heading2Char"/>
          <w:color w:val="auto"/>
          <w:kern w:val="0"/>
          <w:sz w:val="26"/>
          <w:szCs w:val="26"/>
        </w:rPr>
        <w:t xml:space="preserve">scores </w:t>
      </w:r>
      <w:r w:rsidR="0030299F" w:rsidRPr="00914F88">
        <w:rPr>
          <w:rStyle w:val="Heading2Char"/>
          <w:color w:val="auto"/>
          <w:kern w:val="0"/>
          <w:sz w:val="26"/>
          <w:szCs w:val="26"/>
        </w:rPr>
        <w:t>and patient experiences of care</w:t>
      </w:r>
    </w:p>
    <w:p w:rsidR="005465C4" w:rsidRDefault="002E439F" w:rsidP="00B86636">
      <w:pPr>
        <w:pStyle w:val="BodyText"/>
        <w:spacing w:after="60"/>
      </w:pPr>
      <w:r w:rsidRPr="00835796">
        <w:t xml:space="preserve">Many of the </w:t>
      </w:r>
      <w:r>
        <w:t xml:space="preserve">CAHPS Hospital Survey </w:t>
      </w:r>
      <w:r w:rsidRPr="00913000">
        <w:t>measures reflect key elements of patient and family engagement</w:t>
      </w:r>
      <w:r w:rsidR="001A1747">
        <w:t xml:space="preserve"> </w:t>
      </w:r>
      <w:r w:rsidRPr="00913000">
        <w:t xml:space="preserve">—particularly related to patient-provider communication, pain management, </w:t>
      </w:r>
      <w:r>
        <w:t xml:space="preserve">medications, </w:t>
      </w:r>
      <w:r w:rsidRPr="00913000">
        <w:t xml:space="preserve">and discharge information. </w:t>
      </w:r>
      <w:r w:rsidR="005465C4">
        <w:rPr>
          <w:rFonts w:cs="Arial"/>
        </w:rPr>
        <w:t xml:space="preserve">In </w:t>
      </w:r>
      <w:r w:rsidR="005465C4" w:rsidRPr="001D1114">
        <w:t xml:space="preserve">2012, Medicare </w:t>
      </w:r>
      <w:r w:rsidR="005465C4" w:rsidRPr="00B05450">
        <w:t>institute</w:t>
      </w:r>
      <w:r w:rsidR="0067569F">
        <w:t>d</w:t>
      </w:r>
      <w:r w:rsidR="005465C4" w:rsidRPr="001D1114">
        <w:t xml:space="preserve"> the national hospital value-based purchasing program</w:t>
      </w:r>
      <w:r w:rsidR="005465C4">
        <w:t xml:space="preserve">. Under this program, achievement and improvement on patient experiences of </w:t>
      </w:r>
      <w:r w:rsidR="00847409">
        <w:t>care scores (based on the CAHPS</w:t>
      </w:r>
      <w:r w:rsidR="005465C4">
        <w:t xml:space="preserve"> Hospital Survey) </w:t>
      </w:r>
      <w:r w:rsidR="0067569F">
        <w:t xml:space="preserve">are </w:t>
      </w:r>
      <w:r w:rsidR="005465C4">
        <w:t>used to calculate value-based incentive payments.</w:t>
      </w:r>
      <w:hyperlink w:anchor="EN12" w:history="1">
        <w:r w:rsidR="006B3C61" w:rsidRPr="00531FE8">
          <w:rPr>
            <w:rStyle w:val="Hyperlink"/>
            <w:color w:val="000000" w:themeColor="text1"/>
            <w:u w:val="none"/>
            <w:vertAlign w:val="superscript"/>
          </w:rPr>
          <w:t>12</w:t>
        </w:r>
      </w:hyperlink>
      <w:proofErr w:type="gramStart"/>
      <w:r w:rsidR="006B3C61" w:rsidRPr="006B3C61">
        <w:rPr>
          <w:vertAlign w:val="superscript"/>
        </w:rPr>
        <w:t>,</w:t>
      </w:r>
      <w:proofErr w:type="gramEnd"/>
      <w:r w:rsidR="00840B7C">
        <w:fldChar w:fldCharType="begin"/>
      </w:r>
      <w:r w:rsidR="00840B7C">
        <w:instrText xml:space="preserve"> HYPERLINK \l "EN13" </w:instrText>
      </w:r>
      <w:r w:rsidR="00840B7C">
        <w:fldChar w:fldCharType="separate"/>
      </w:r>
      <w:r w:rsidR="006B3C61" w:rsidRPr="00531FE8">
        <w:rPr>
          <w:rStyle w:val="Hyperlink"/>
          <w:color w:val="000000" w:themeColor="text1"/>
          <w:u w:val="none"/>
          <w:vertAlign w:val="superscript"/>
        </w:rPr>
        <w:t>13</w:t>
      </w:r>
      <w:r w:rsidR="00840B7C">
        <w:rPr>
          <w:rStyle w:val="Hyperlink"/>
          <w:color w:val="000000" w:themeColor="text1"/>
          <w:u w:val="none"/>
          <w:vertAlign w:val="superscript"/>
        </w:rPr>
        <w:fldChar w:fldCharType="end"/>
      </w:r>
      <w:r w:rsidR="005465C4">
        <w:t xml:space="preserve"> </w:t>
      </w:r>
      <w:r w:rsidR="001B1835">
        <w:t>R</w:t>
      </w:r>
      <w:r w:rsidR="005465C4">
        <w:t xml:space="preserve">eimbursement </w:t>
      </w:r>
      <w:r w:rsidR="0067569F">
        <w:t xml:space="preserve">is </w:t>
      </w:r>
      <w:r w:rsidR="005465C4">
        <w:t>tied to bench</w:t>
      </w:r>
      <w:r w:rsidR="00847409">
        <w:t>marked performance on the CAHPS</w:t>
      </w:r>
      <w:r w:rsidR="005465C4">
        <w:t xml:space="preserve"> Hospital Survey, and hospitals </w:t>
      </w:r>
      <w:r w:rsidR="0067569F">
        <w:t>ar</w:t>
      </w:r>
      <w:r w:rsidR="005465C4">
        <w:t>e rewarded or penalized based on thei</w:t>
      </w:r>
      <w:r w:rsidR="00847409">
        <w:t>r performance on specific CAHPS</w:t>
      </w:r>
      <w:r w:rsidR="005465C4">
        <w:t xml:space="preserve"> measures.</w:t>
      </w:r>
    </w:p>
    <w:p w:rsidR="002E439F" w:rsidRDefault="002E439F" w:rsidP="00B86636">
      <w:pPr>
        <w:pStyle w:val="BodyText"/>
        <w:spacing w:after="60"/>
      </w:pPr>
      <w:r w:rsidRPr="00913000">
        <w:t>Hospitals that have implemented strategies to improve patient engagement have seen subsequent improvements in patients’ ratings of care.</w:t>
      </w:r>
      <w:hyperlink w:anchor="EN14" w:history="1">
        <w:r w:rsidR="006B3C61" w:rsidRPr="00531FE8">
          <w:rPr>
            <w:rStyle w:val="Hyperlink"/>
            <w:color w:val="000000" w:themeColor="text1"/>
            <w:u w:val="none"/>
            <w:vertAlign w:val="superscript"/>
          </w:rPr>
          <w:t>14</w:t>
        </w:r>
      </w:hyperlink>
      <w:r w:rsidRPr="00913000">
        <w:t xml:space="preserve"> </w:t>
      </w:r>
      <w:r>
        <w:t xml:space="preserve">At </w:t>
      </w:r>
      <w:r w:rsidR="00575602">
        <w:t xml:space="preserve">Georgia Health Sciences </w:t>
      </w:r>
      <w:r>
        <w:t>Medical Center, implementing patient and family engagement strategies on one unit led to an increase in patient satisfaction scores from the 10</w:t>
      </w:r>
      <w:r w:rsidRPr="001A1747">
        <w:rPr>
          <w:vertAlign w:val="superscript"/>
        </w:rPr>
        <w:t>th</w:t>
      </w:r>
      <w:r>
        <w:t xml:space="preserve"> to the 95</w:t>
      </w:r>
      <w:r w:rsidRPr="00C95ACB">
        <w:rPr>
          <w:vertAlign w:val="superscript"/>
        </w:rPr>
        <w:t>th</w:t>
      </w:r>
      <w:r>
        <w:t xml:space="preserve"> percentile.</w:t>
      </w:r>
      <w:hyperlink w:anchor="EN4" w:history="1">
        <w:r w:rsidR="006B3C61" w:rsidRPr="00531FE8">
          <w:rPr>
            <w:rStyle w:val="Hyperlink"/>
            <w:color w:val="000000" w:themeColor="text1"/>
            <w:u w:val="none"/>
            <w:vertAlign w:val="superscript"/>
          </w:rPr>
          <w:t>4</w:t>
        </w:r>
      </w:hyperlink>
      <w:r>
        <w:t xml:space="preserve"> </w:t>
      </w:r>
      <w:r w:rsidR="00682FB3">
        <w:t>At Sharp Coronado Hospital</w:t>
      </w:r>
      <w:r w:rsidR="00132D53">
        <w:t xml:space="preserve"> in California</w:t>
      </w:r>
      <w:r w:rsidR="00682FB3">
        <w:t xml:space="preserve">, a medical-surgical unit </w:t>
      </w:r>
      <w:r w:rsidR="005465C4">
        <w:t>that implemented</w:t>
      </w:r>
      <w:r w:rsidR="00682FB3">
        <w:t xml:space="preserve"> patient-centered</w:t>
      </w:r>
      <w:r w:rsidR="00A26A5D">
        <w:t xml:space="preserve"> strategies</w:t>
      </w:r>
      <w:r w:rsidR="00682FB3">
        <w:t xml:space="preserve"> consistently demonstrated higher overall patient sat</w:t>
      </w:r>
      <w:r w:rsidR="005465C4">
        <w:t>isfaction scores than a unit that</w:t>
      </w:r>
      <w:r w:rsidR="00682FB3">
        <w:t xml:space="preserve"> had not.</w:t>
      </w:r>
      <w:hyperlink w:anchor="EN7" w:history="1">
        <w:r w:rsidR="006B3C61" w:rsidRPr="00531FE8">
          <w:rPr>
            <w:rStyle w:val="Hyperlink"/>
            <w:color w:val="000000" w:themeColor="text1"/>
            <w:u w:val="none"/>
            <w:vertAlign w:val="superscript"/>
          </w:rPr>
          <w:t>7</w:t>
        </w:r>
      </w:hyperlink>
      <w:r w:rsidR="006B3B5B">
        <w:rPr>
          <w:rStyle w:val="referencenumbers"/>
        </w:rPr>
        <w:t xml:space="preserve"> </w:t>
      </w:r>
      <w:r w:rsidR="006B3B5B">
        <w:t>At Anne Arundel Medical Center</w:t>
      </w:r>
      <w:r w:rsidR="00132D53">
        <w:t xml:space="preserve"> in Maryland</w:t>
      </w:r>
      <w:r w:rsidR="006B3B5B">
        <w:t>, implementing nurse bedside shift report and communication strategies contributed to</w:t>
      </w:r>
      <w:r w:rsidR="00847409">
        <w:t xml:space="preserve"> significant increases in CAHPS</w:t>
      </w:r>
      <w:r w:rsidR="006B3B5B">
        <w:t xml:space="preserve"> Hospital Survey </w:t>
      </w:r>
      <w:r w:rsidR="00A668F5">
        <w:t xml:space="preserve">scores </w:t>
      </w:r>
      <w:r w:rsidR="006B3B5B">
        <w:t>in the domains of communication with nurses, communication with doctors, pain management, and staf</w:t>
      </w:r>
      <w:r w:rsidR="006B3B5B" w:rsidRPr="00F251EF">
        <w:t>f responsiveness.</w:t>
      </w:r>
      <w:hyperlink w:anchor="EN15" w:history="1">
        <w:r w:rsidR="006B3C61" w:rsidRPr="00531FE8">
          <w:rPr>
            <w:rStyle w:val="Hyperlink"/>
            <w:color w:val="000000" w:themeColor="text1"/>
            <w:u w:val="none"/>
            <w:vertAlign w:val="superscript"/>
          </w:rPr>
          <w:t>15</w:t>
        </w:r>
      </w:hyperlink>
    </w:p>
    <w:p w:rsidR="001D1A51" w:rsidRPr="004B753C" w:rsidRDefault="002E439F" w:rsidP="00914F88">
      <w:pPr>
        <w:pStyle w:val="Heading3"/>
      </w:pPr>
      <w:r w:rsidRPr="004B753C">
        <w:t>Better</w:t>
      </w:r>
      <w:r w:rsidR="0030299F" w:rsidRPr="004B753C">
        <w:t xml:space="preserve"> patient outcomes</w:t>
      </w:r>
    </w:p>
    <w:p w:rsidR="002E439F" w:rsidRPr="00714C13" w:rsidRDefault="002E439F" w:rsidP="00F648CB">
      <w:pPr>
        <w:pStyle w:val="BodyText"/>
      </w:pPr>
      <w:r>
        <w:t xml:space="preserve">Engaging patients and families through improved communication and other practices </w:t>
      </w:r>
      <w:r w:rsidR="005465C4">
        <w:t xml:space="preserve">also </w:t>
      </w:r>
      <w:proofErr w:type="gramStart"/>
      <w:r>
        <w:t>has</w:t>
      </w:r>
      <w:proofErr w:type="gramEnd"/>
      <w:r>
        <w:t xml:space="preserve"> a positive effect on patient outcomes </w:t>
      </w:r>
      <w:r w:rsidR="001A1747">
        <w:t>—</w:t>
      </w:r>
      <w:r w:rsidRPr="00A73945">
        <w:t xml:space="preserve"> specifically, emotional health, symptom resolution, functioning, pain control, and physiologic measures such as blood pressure and blood sugar levels.</w:t>
      </w:r>
      <w:hyperlink w:anchor="EN16" w:history="1">
        <w:r w:rsidR="006B3C61" w:rsidRPr="00531FE8">
          <w:rPr>
            <w:rStyle w:val="Hyperlink"/>
            <w:color w:val="000000" w:themeColor="text1"/>
            <w:u w:val="none"/>
            <w:vertAlign w:val="superscript"/>
          </w:rPr>
          <w:t>16</w:t>
        </w:r>
      </w:hyperlink>
      <w:proofErr w:type="gramStart"/>
      <w:r w:rsidR="006B3C61" w:rsidRPr="006B3C61">
        <w:rPr>
          <w:vertAlign w:val="superscript"/>
        </w:rPr>
        <w:t>,</w:t>
      </w:r>
      <w:proofErr w:type="gramEnd"/>
      <w:r w:rsidR="00840B7C">
        <w:fldChar w:fldCharType="begin"/>
      </w:r>
      <w:r w:rsidR="00840B7C">
        <w:instrText xml:space="preserve"> HYPERLINK \l "EN17" </w:instrText>
      </w:r>
      <w:r w:rsidR="00840B7C">
        <w:fldChar w:fldCharType="separate"/>
      </w:r>
      <w:r w:rsidR="006B3C61" w:rsidRPr="00531FE8">
        <w:rPr>
          <w:rStyle w:val="Hyperlink"/>
          <w:color w:val="000000" w:themeColor="text1"/>
          <w:u w:val="none"/>
          <w:vertAlign w:val="superscript"/>
        </w:rPr>
        <w:t>17</w:t>
      </w:r>
      <w:r w:rsidR="00840B7C">
        <w:rPr>
          <w:rStyle w:val="Hyperlink"/>
          <w:color w:val="000000" w:themeColor="text1"/>
          <w:u w:val="none"/>
          <w:vertAlign w:val="superscript"/>
        </w:rPr>
        <w:fldChar w:fldCharType="end"/>
      </w:r>
      <w:r w:rsidR="0011515F">
        <w:t xml:space="preserve"> I</w:t>
      </w:r>
      <w:r>
        <w:t>n addition, strategies that promote patient and family engagement can help hospitals reduce their rate of preventable readmissions.</w:t>
      </w:r>
      <w:hyperlink w:anchor="EN18" w:history="1">
        <w:r w:rsidR="006B3C61" w:rsidRPr="00531FE8">
          <w:rPr>
            <w:rStyle w:val="Hyperlink"/>
            <w:color w:val="000000" w:themeColor="text1"/>
            <w:u w:val="none"/>
            <w:vertAlign w:val="superscript"/>
          </w:rPr>
          <w:t>18</w:t>
        </w:r>
      </w:hyperlink>
    </w:p>
    <w:p w:rsidR="001D1A51" w:rsidRDefault="002E439F" w:rsidP="00914F88">
      <w:pPr>
        <w:pStyle w:val="Heading3"/>
      </w:pPr>
      <w:r>
        <w:lastRenderedPageBreak/>
        <w:t xml:space="preserve">Enhanced hospital </w:t>
      </w:r>
      <w:r w:rsidRPr="005E68AC">
        <w:t>m</w:t>
      </w:r>
      <w:r w:rsidR="0030299F">
        <w:t xml:space="preserve">arket share and </w:t>
      </w:r>
      <w:r w:rsidR="0030299F" w:rsidRPr="0031117B">
        <w:t>competitiveness</w:t>
      </w:r>
    </w:p>
    <w:p w:rsidR="00C558BC" w:rsidRDefault="002E439F" w:rsidP="00F648CB">
      <w:pPr>
        <w:pStyle w:val="BodyText"/>
      </w:pPr>
      <w:r>
        <w:t xml:space="preserve">For many hospitals, establishing a brand identity around patient and family engagement becomes a competitive </w:t>
      </w:r>
      <w:r w:rsidR="00D76335">
        <w:t xml:space="preserve">edge </w:t>
      </w:r>
      <w:r>
        <w:t>in the marketplace. By incorporating patient</w:t>
      </w:r>
      <w:r w:rsidR="002C3FA9">
        <w:t>-</w:t>
      </w:r>
      <w:r>
        <w:t xml:space="preserve">and family-centered care into their business model, Cleveland Clinic </w:t>
      </w:r>
      <w:r w:rsidR="00132D53">
        <w:t xml:space="preserve">in Ohio </w:t>
      </w:r>
      <w:r>
        <w:t xml:space="preserve">increased </w:t>
      </w:r>
      <w:r w:rsidR="00132D53">
        <w:t xml:space="preserve">its </w:t>
      </w:r>
      <w:r>
        <w:t xml:space="preserve">market share with </w:t>
      </w:r>
      <w:r w:rsidR="00D76335">
        <w:t xml:space="preserve">additions </w:t>
      </w:r>
      <w:r>
        <w:t>in both new and returning patients.</w:t>
      </w:r>
      <w:hyperlink w:anchor="EN19" w:history="1">
        <w:r w:rsidR="006B3C61" w:rsidRPr="00BA5583">
          <w:rPr>
            <w:rStyle w:val="Hyperlink"/>
            <w:color w:val="000000" w:themeColor="text1"/>
            <w:u w:val="none"/>
            <w:vertAlign w:val="superscript"/>
          </w:rPr>
          <w:t>19</w:t>
        </w:r>
      </w:hyperlink>
      <w:r w:rsidR="00466C49">
        <w:t xml:space="preserve"> S</w:t>
      </w:r>
      <w:r>
        <w:t xml:space="preserve">imilarly, as a result of </w:t>
      </w:r>
      <w:r w:rsidR="005465C4">
        <w:t xml:space="preserve">implementing </w:t>
      </w:r>
      <w:r>
        <w:t>patient and family engagement strategies, Griffin Hospital in Connecticut saw growth in both inpatient and outpatient volume.</w:t>
      </w:r>
      <w:hyperlink w:anchor="EN8" w:history="1">
        <w:r w:rsidR="006B3C61" w:rsidRPr="00BA5583">
          <w:rPr>
            <w:rStyle w:val="Hyperlink"/>
            <w:color w:val="000000" w:themeColor="text1"/>
            <w:u w:val="none"/>
            <w:vertAlign w:val="superscript"/>
          </w:rPr>
          <w:t>8</w:t>
        </w:r>
      </w:hyperlink>
      <w:r w:rsidR="00351BCD">
        <w:t xml:space="preserve"> These experiences are bolstered by findings from </w:t>
      </w:r>
      <w:r w:rsidR="005465C4">
        <w:t xml:space="preserve">a survey of </w:t>
      </w:r>
      <w:r w:rsidR="00132D53">
        <w:t xml:space="preserve">more than </w:t>
      </w:r>
      <w:r w:rsidR="005465C4">
        <w:t>2</w:t>
      </w:r>
      <w:r w:rsidR="00351BCD">
        <w:t>,000 patients in which</w:t>
      </w:r>
      <w:r w:rsidR="005465C4">
        <w:t xml:space="preserve"> 41 percent indicated they would be willing to switch hospitals for a better patient experience.</w:t>
      </w:r>
      <w:hyperlink w:anchor="EN20" w:history="1">
        <w:r w:rsidR="006B3C61" w:rsidRPr="00BA5583">
          <w:rPr>
            <w:rStyle w:val="Hyperlink"/>
            <w:color w:val="000000" w:themeColor="text1"/>
            <w:u w:val="none"/>
            <w:vertAlign w:val="superscript"/>
          </w:rPr>
          <w:t>20</w:t>
        </w:r>
      </w:hyperlink>
    </w:p>
    <w:p w:rsidR="001D1A51" w:rsidRPr="0031117B" w:rsidRDefault="002E439F" w:rsidP="00914F88">
      <w:pPr>
        <w:pStyle w:val="Heading3"/>
      </w:pPr>
      <w:r w:rsidRPr="0031117B">
        <w:t>Increased employee satisfaction</w:t>
      </w:r>
      <w:r w:rsidR="00C558BC" w:rsidRPr="0031117B">
        <w:br/>
      </w:r>
      <w:r w:rsidRPr="0031117B">
        <w:t>and retention</w:t>
      </w:r>
    </w:p>
    <w:p w:rsidR="0015433A" w:rsidRPr="00F251EF" w:rsidRDefault="002E439F" w:rsidP="00F648CB">
      <w:pPr>
        <w:pStyle w:val="BodyText"/>
        <w:rPr>
          <w:rStyle w:val="referencenumbers"/>
        </w:rPr>
      </w:pPr>
      <w:r>
        <w:t>Patient and family engagement strategies also help improve employees’ satisfaction with their work. This, in turn, leads to higher levels of retention and an improved ability to recruit quality talent. At Bronson Methodist Hospital</w:t>
      </w:r>
      <w:r w:rsidR="00132D53">
        <w:t xml:space="preserve"> in Michigan</w:t>
      </w:r>
      <w:r>
        <w:t>, implementing patient</w:t>
      </w:r>
      <w:r w:rsidR="002C3FA9">
        <w:t>-</w:t>
      </w:r>
      <w:r>
        <w:t xml:space="preserve">and family-centered care practices led to a decrease in the average nurse turnover rate (from 21 to 7 percent). The </w:t>
      </w:r>
      <w:r w:rsidR="00132D53">
        <w:t xml:space="preserve">hospital </w:t>
      </w:r>
      <w:r>
        <w:t>estimates that higher nursing staff retention has led to a savings of $3 million over 5 years.</w:t>
      </w:r>
      <w:hyperlink w:anchor="EN21" w:history="1">
        <w:r w:rsidR="006B3C61" w:rsidRPr="00BA5583">
          <w:rPr>
            <w:rStyle w:val="Hyperlink"/>
            <w:color w:val="000000" w:themeColor="text1"/>
            <w:u w:val="none"/>
            <w:vertAlign w:val="superscript"/>
          </w:rPr>
          <w:t>21</w:t>
        </w:r>
      </w:hyperlink>
      <w:r>
        <w:t xml:space="preserve"> </w:t>
      </w:r>
      <w:r w:rsidR="0015433A">
        <w:t xml:space="preserve">As another example, </w:t>
      </w:r>
      <w:r w:rsidR="001926E3">
        <w:t xml:space="preserve">Bronson’s experience engaging patients and families in </w:t>
      </w:r>
      <w:r w:rsidR="0015433A">
        <w:t xml:space="preserve">nurse </w:t>
      </w:r>
      <w:r w:rsidR="001926E3">
        <w:t xml:space="preserve">bedside </w:t>
      </w:r>
      <w:r w:rsidR="0015433A">
        <w:t>change</w:t>
      </w:r>
      <w:r w:rsidR="00FA5079">
        <w:t>-</w:t>
      </w:r>
      <w:r w:rsidR="0015433A">
        <w:t>of</w:t>
      </w:r>
      <w:r w:rsidR="00FA5079">
        <w:t>-</w:t>
      </w:r>
      <w:r w:rsidR="0015433A">
        <w:t xml:space="preserve">shift </w:t>
      </w:r>
      <w:r w:rsidR="001926E3">
        <w:t xml:space="preserve">report </w:t>
      </w:r>
      <w:r w:rsidR="0015433A">
        <w:t>increased both nurse and physician satisfaction</w:t>
      </w:r>
      <w:r w:rsidR="001D1837">
        <w:t>, as assessed with a staff survey</w:t>
      </w:r>
      <w:r w:rsidR="0015433A">
        <w:t>.</w:t>
      </w:r>
      <w:hyperlink w:anchor="EN22" w:history="1">
        <w:r w:rsidR="006B3C61" w:rsidRPr="00BA5583">
          <w:rPr>
            <w:rStyle w:val="Hyperlink"/>
            <w:color w:val="000000" w:themeColor="text1"/>
            <w:u w:val="none"/>
            <w:vertAlign w:val="superscript"/>
          </w:rPr>
          <w:t>22</w:t>
        </w:r>
      </w:hyperlink>
      <w:hyperlink w:anchor="EN23" w:history="1">
        <w:r w:rsidR="006B3C61" w:rsidRPr="00BA5583">
          <w:rPr>
            <w:rStyle w:val="Hyperlink"/>
            <w:color w:val="000000" w:themeColor="text1"/>
            <w:u w:val="none"/>
            <w:vertAlign w:val="superscript"/>
          </w:rPr>
          <w:t>-</w:t>
        </w:r>
      </w:hyperlink>
      <w:hyperlink w:anchor="EN24" w:history="1">
        <w:r w:rsidR="006B3C61" w:rsidRPr="00BA5583">
          <w:rPr>
            <w:rStyle w:val="Hyperlink"/>
            <w:color w:val="000000" w:themeColor="text1"/>
            <w:u w:val="none"/>
            <w:vertAlign w:val="superscript"/>
          </w:rPr>
          <w:t>24</w:t>
        </w:r>
      </w:hyperlink>
      <w:r w:rsidR="006B3B5B">
        <w:rPr>
          <w:rStyle w:val="referencenumbers"/>
        </w:rPr>
        <w:t xml:space="preserve"> </w:t>
      </w:r>
    </w:p>
    <w:p w:rsidR="001D1A51" w:rsidRPr="00914F88" w:rsidRDefault="005B019F" w:rsidP="00914F88">
      <w:pPr>
        <w:pStyle w:val="Heading3"/>
        <w:spacing w:before="0"/>
      </w:pPr>
      <w:r w:rsidRPr="00914F88">
        <w:br w:type="column"/>
      </w:r>
      <w:r w:rsidR="002E439F" w:rsidRPr="00914F88">
        <w:lastRenderedPageBreak/>
        <w:t xml:space="preserve">Better response to </w:t>
      </w:r>
      <w:r w:rsidR="00C558BC" w:rsidRPr="00914F88">
        <w:br/>
      </w:r>
      <w:r w:rsidR="002E439F" w:rsidRPr="00914F88">
        <w:t>Joint Commission standards</w:t>
      </w:r>
    </w:p>
    <w:p w:rsidR="002E439F" w:rsidRDefault="002E439F" w:rsidP="0031117B">
      <w:pPr>
        <w:pStyle w:val="BodyText"/>
        <w:spacing w:after="360"/>
      </w:pPr>
      <w:r>
        <w:t>Patient and family engagement helps hospitals respond to Joint Commission standards that recognize the need for patients and families to b</w:t>
      </w:r>
      <w:r w:rsidR="000D113E">
        <w:t xml:space="preserve">e “active and informed </w:t>
      </w:r>
      <w:proofErr w:type="spellStart"/>
      <w:r w:rsidR="000D113E">
        <w:t>decision</w:t>
      </w:r>
      <w:r>
        <w:t>makers</w:t>
      </w:r>
      <w:proofErr w:type="spellEnd"/>
      <w:r>
        <w:t xml:space="preserve"> throughout the course of care.”</w:t>
      </w:r>
      <w:hyperlink w:anchor="EN15" w:history="1">
        <w:r w:rsidR="006B3C61" w:rsidRPr="009F19A6">
          <w:rPr>
            <w:rStyle w:val="Hyperlink"/>
            <w:color w:val="000000" w:themeColor="text1"/>
            <w:u w:val="none"/>
            <w:vertAlign w:val="superscript"/>
          </w:rPr>
          <w:t>15</w:t>
        </w:r>
      </w:hyperlink>
    </w:p>
    <w:tbl>
      <w:tblPr>
        <w:tblW w:w="0" w:type="auto"/>
        <w:shd w:val="clear" w:color="auto" w:fill="E4F7F8"/>
        <w:tblLook w:val="04A0" w:firstRow="1" w:lastRow="0" w:firstColumn="1" w:lastColumn="0" w:noHBand="0" w:noVBand="1"/>
        <w:tblCaption w:val="Text boc"/>
        <w:tblDescription w:val="&quot;&quot;"/>
      </w:tblPr>
      <w:tblGrid>
        <w:gridCol w:w="5432"/>
      </w:tblGrid>
      <w:tr w:rsidR="00103A82" w:rsidRPr="00446F1B" w:rsidTr="00446F1B">
        <w:trPr>
          <w:tblHeader/>
        </w:trPr>
        <w:tc>
          <w:tcPr>
            <w:tcW w:w="5432" w:type="dxa"/>
            <w:shd w:val="clear" w:color="auto" w:fill="E4F7F8"/>
          </w:tcPr>
          <w:p w:rsidR="00103A82" w:rsidRPr="00446F1B" w:rsidRDefault="00103A82" w:rsidP="00446F1B">
            <w:pPr>
              <w:pStyle w:val="Heading4"/>
              <w:spacing w:before="120"/>
              <w:ind w:left="216"/>
            </w:pPr>
            <w:r w:rsidRPr="00446F1B">
              <w:t>Joint Commission standards that relate to patient and family engagement</w:t>
            </w:r>
          </w:p>
        </w:tc>
      </w:tr>
      <w:tr w:rsidR="00103A82" w:rsidRPr="00446F1B" w:rsidTr="00446F1B">
        <w:tc>
          <w:tcPr>
            <w:tcW w:w="5432" w:type="dxa"/>
            <w:shd w:val="clear" w:color="auto" w:fill="E4F7F8"/>
          </w:tcPr>
          <w:p w:rsidR="00103A82" w:rsidRPr="00446F1B" w:rsidRDefault="00103A82" w:rsidP="00446F1B">
            <w:pPr>
              <w:pStyle w:val="sidebartext"/>
              <w:spacing w:before="80"/>
              <w:ind w:left="216" w:right="216"/>
            </w:pPr>
            <w:r w:rsidRPr="00446F1B">
              <w:rPr>
                <w:b/>
              </w:rPr>
              <w:t>PC.02.01.21</w:t>
            </w:r>
            <w:r w:rsidRPr="00446F1B">
              <w:t xml:space="preserve"> The hospital effectively communicates with patients when providing care, treatment, and services.</w:t>
            </w:r>
          </w:p>
          <w:p w:rsidR="00103A82" w:rsidRPr="00446F1B" w:rsidRDefault="00103A82" w:rsidP="00446F1B">
            <w:pPr>
              <w:pStyle w:val="sidebartext"/>
              <w:spacing w:before="80"/>
              <w:ind w:left="216" w:right="216"/>
            </w:pPr>
            <w:r w:rsidRPr="00446F1B">
              <w:rPr>
                <w:b/>
              </w:rPr>
              <w:t>PC.02.02.01</w:t>
            </w:r>
            <w:r w:rsidRPr="00446F1B">
              <w:t xml:space="preserve"> The hospital coordinates the patient’s care, treatment, and services based on the patient’s needs.</w:t>
            </w:r>
          </w:p>
          <w:p w:rsidR="00103A82" w:rsidRPr="00446F1B" w:rsidRDefault="00103A82" w:rsidP="00446F1B">
            <w:pPr>
              <w:pStyle w:val="sidebartext"/>
              <w:spacing w:before="80"/>
              <w:ind w:left="216" w:right="216"/>
            </w:pPr>
            <w:r w:rsidRPr="00446F1B">
              <w:rPr>
                <w:b/>
              </w:rPr>
              <w:t>PC.02.03.01</w:t>
            </w:r>
            <w:r w:rsidRPr="00446F1B">
              <w:t xml:space="preserve"> The hospital provides patient education and training based on each patient’s needs and abilities.</w:t>
            </w:r>
          </w:p>
          <w:p w:rsidR="00103A82" w:rsidRPr="00446F1B" w:rsidRDefault="00103A82" w:rsidP="00446F1B">
            <w:pPr>
              <w:pStyle w:val="sidebartext"/>
              <w:spacing w:before="80"/>
              <w:ind w:left="216" w:right="216"/>
            </w:pPr>
            <w:r w:rsidRPr="00446F1B">
              <w:rPr>
                <w:b/>
              </w:rPr>
              <w:t>PC.04.01.05</w:t>
            </w:r>
            <w:r w:rsidRPr="00446F1B">
              <w:t xml:space="preserve"> Before the hospital discharges or transfers a </w:t>
            </w:r>
            <w:proofErr w:type="gramStart"/>
            <w:r w:rsidRPr="00446F1B">
              <w:t>patient,</w:t>
            </w:r>
            <w:proofErr w:type="gramEnd"/>
            <w:r w:rsidRPr="00446F1B">
              <w:t xml:space="preserve"> it informs and educates the patient about his or her followup care, treatment, and services.</w:t>
            </w:r>
          </w:p>
          <w:p w:rsidR="00103A82" w:rsidRPr="00446F1B" w:rsidRDefault="00103A82" w:rsidP="00446F1B">
            <w:pPr>
              <w:pStyle w:val="sidebartext"/>
              <w:spacing w:before="80"/>
              <w:ind w:left="216" w:right="216"/>
            </w:pPr>
            <w:r w:rsidRPr="00446F1B">
              <w:rPr>
                <w:b/>
              </w:rPr>
              <w:t>R1.01.01.03</w:t>
            </w:r>
            <w:r w:rsidRPr="00446F1B">
              <w:t xml:space="preserve"> The hospital respects the patient’s right to receive information in a manner he or she understands.</w:t>
            </w:r>
          </w:p>
          <w:p w:rsidR="00103A82" w:rsidRPr="00446F1B" w:rsidRDefault="00103A82" w:rsidP="00446F1B">
            <w:pPr>
              <w:pStyle w:val="sidebartext"/>
              <w:spacing w:before="80"/>
              <w:ind w:left="216" w:right="216"/>
            </w:pPr>
            <w:r w:rsidRPr="00446F1B">
              <w:rPr>
                <w:b/>
              </w:rPr>
              <w:t>R1.01.02.01</w:t>
            </w:r>
            <w:r w:rsidRPr="00446F1B">
              <w:t xml:space="preserve"> The hospital respects the patient’s right to participate in decisions about his or her care, treatment, and services.</w:t>
            </w:r>
          </w:p>
          <w:p w:rsidR="00103A82" w:rsidRPr="00446F1B" w:rsidRDefault="00103A82" w:rsidP="00132D53">
            <w:pPr>
              <w:pStyle w:val="footnote"/>
              <w:spacing w:before="160" w:after="160" w:line="240" w:lineRule="auto"/>
              <w:ind w:left="216"/>
            </w:pPr>
            <w:r w:rsidRPr="00446F1B">
              <w:t xml:space="preserve">Advancing effective communication, cultural competence, and patient- and family-centered care: A roadmap for hospitals. Oakbrook Terrace, IL: </w:t>
            </w:r>
            <w:r w:rsidRPr="00446F1B">
              <w:br/>
              <w:t>Joint Commission; 2010.</w:t>
            </w:r>
          </w:p>
        </w:tc>
      </w:tr>
    </w:tbl>
    <w:p w:rsidR="00C558BC" w:rsidRDefault="00C558BC" w:rsidP="007C2376">
      <w:pPr>
        <w:spacing w:after="0" w:line="240" w:lineRule="auto"/>
      </w:pPr>
    </w:p>
    <w:p w:rsidR="00D60C9A" w:rsidRDefault="00D60C9A" w:rsidP="00D60C9A">
      <w:pPr>
        <w:spacing w:after="60"/>
        <w:rPr>
          <w:rFonts w:ascii="Arial" w:hAnsi="Arial" w:cs="Arial"/>
          <w:b/>
          <w:sz w:val="20"/>
          <w:szCs w:val="20"/>
        </w:rPr>
        <w:sectPr w:rsidR="00D60C9A" w:rsidSect="00C558BC">
          <w:footerReference w:type="default" r:id="rId18"/>
          <w:type w:val="continuous"/>
          <w:pgSz w:w="12240" w:h="15840"/>
          <w:pgMar w:top="2016" w:right="547" w:bottom="540" w:left="540" w:header="518" w:footer="360" w:gutter="0"/>
          <w:cols w:num="2" w:space="720"/>
          <w:docGrid w:linePitch="360"/>
        </w:sectPr>
      </w:pPr>
    </w:p>
    <w:p w:rsidR="00820419" w:rsidRDefault="00820419" w:rsidP="00914F88">
      <w:pPr>
        <w:pStyle w:val="Heading1"/>
        <w:sectPr w:rsidR="00820419" w:rsidSect="00180FD1">
          <w:type w:val="continuous"/>
          <w:pgSz w:w="12240" w:h="15840"/>
          <w:pgMar w:top="2016" w:right="547" w:bottom="540" w:left="540" w:header="518" w:footer="360" w:gutter="0"/>
          <w:cols w:space="720"/>
          <w:docGrid w:linePitch="360"/>
        </w:sectPr>
      </w:pPr>
    </w:p>
    <w:p w:rsidR="00846AA7" w:rsidRPr="00914F88" w:rsidRDefault="00846AA7" w:rsidP="00B86636">
      <w:pPr>
        <w:pStyle w:val="Heading2"/>
        <w:spacing w:before="0"/>
      </w:pPr>
      <w:r w:rsidRPr="00914F88">
        <w:lastRenderedPageBreak/>
        <w:t>References</w:t>
      </w:r>
    </w:p>
    <w:p w:rsidR="00A22B77" w:rsidRDefault="00A22B77" w:rsidP="001B1835">
      <w:pPr>
        <w:pStyle w:val="references"/>
        <w:sectPr w:rsidR="00A22B77" w:rsidSect="00820419">
          <w:footerReference w:type="default" r:id="rId19"/>
          <w:pgSz w:w="12240" w:h="15840"/>
          <w:pgMar w:top="1440" w:right="547" w:bottom="540" w:left="540" w:header="518" w:footer="360" w:gutter="0"/>
          <w:cols w:space="720"/>
          <w:docGrid w:linePitch="360"/>
        </w:sectPr>
      </w:pPr>
    </w:p>
    <w:p w:rsidR="00C56FCC" w:rsidRDefault="00C56FCC" w:rsidP="00C56FCC">
      <w:pPr>
        <w:pStyle w:val="references"/>
        <w:spacing w:line="240" w:lineRule="atLeast"/>
      </w:pPr>
      <w:bookmarkStart w:id="2" w:name="EN1"/>
      <w:bookmarkStart w:id="3" w:name="_ENREF_1"/>
      <w:r>
        <w:lastRenderedPageBreak/>
        <w:t>1</w:t>
      </w:r>
      <w:bookmarkEnd w:id="2"/>
      <w:r>
        <w:t>.</w:t>
      </w:r>
      <w:r>
        <w:tab/>
        <w:t>Coulter A, Ellins J. Effectiveness of strategies for informing, educating, and involving patients. BMJ. 2007;335(7609):24-7.</w:t>
      </w:r>
      <w:bookmarkEnd w:id="3"/>
    </w:p>
    <w:p w:rsidR="00C56FCC" w:rsidRDefault="00C56FCC" w:rsidP="00C56FCC">
      <w:pPr>
        <w:pStyle w:val="references"/>
        <w:spacing w:line="240" w:lineRule="atLeast"/>
      </w:pPr>
      <w:bookmarkStart w:id="4" w:name="EN2"/>
      <w:bookmarkStart w:id="5" w:name="_ENREF_2"/>
      <w:r>
        <w:t>2</w:t>
      </w:r>
      <w:bookmarkEnd w:id="4"/>
      <w:r>
        <w:t>.</w:t>
      </w:r>
      <w:r>
        <w:tab/>
        <w:t>Johnson B, Abraham M, Edgman-Levitan S, Sodomka P, Schlucter J, Ford D. Partnering with patients and families to design a patient-and-family-centered health care system. 2008.</w:t>
      </w:r>
      <w:bookmarkEnd w:id="5"/>
    </w:p>
    <w:p w:rsidR="00C56FCC" w:rsidRDefault="00C56FCC" w:rsidP="00C56FCC">
      <w:pPr>
        <w:pStyle w:val="references"/>
        <w:spacing w:line="240" w:lineRule="atLeast"/>
      </w:pPr>
      <w:bookmarkStart w:id="6" w:name="EN3"/>
      <w:bookmarkStart w:id="7" w:name="_ENREF_3"/>
      <w:r>
        <w:t>3</w:t>
      </w:r>
      <w:bookmarkEnd w:id="6"/>
      <w:r>
        <w:t>.</w:t>
      </w:r>
      <w:r>
        <w:tab/>
        <w:t>Frampton S, Guastello S. Patient-centered care: more than the sum of its parts. AJN. 2010;110(9):5.</w:t>
      </w:r>
      <w:bookmarkEnd w:id="7"/>
    </w:p>
    <w:p w:rsidR="00C56FCC" w:rsidRDefault="00C56FCC" w:rsidP="00C56FCC">
      <w:pPr>
        <w:pStyle w:val="references"/>
        <w:spacing w:line="240" w:lineRule="atLeast"/>
      </w:pPr>
      <w:bookmarkStart w:id="8" w:name="EN4"/>
      <w:bookmarkStart w:id="9" w:name="_ENREF_4"/>
      <w:r>
        <w:t>4</w:t>
      </w:r>
      <w:bookmarkEnd w:id="8"/>
      <w:r>
        <w:t>.</w:t>
      </w:r>
      <w:r>
        <w:tab/>
        <w:t xml:space="preserve">Connor M, Marshall R. Changing the view that families are visitors in adult hospital settings.  </w:t>
      </w:r>
      <w:r w:rsidRPr="00C56FCC">
        <w:rPr>
          <w:i/>
        </w:rPr>
        <w:t>Presented at Hospitals Moving Forward with Patient- and Family-centered Care</w:t>
      </w:r>
      <w:r>
        <w:t xml:space="preserve"> </w:t>
      </w:r>
      <w:bookmarkEnd w:id="9"/>
    </w:p>
    <w:p w:rsidR="00C56FCC" w:rsidRDefault="00C56FCC" w:rsidP="00C56FCC">
      <w:pPr>
        <w:pStyle w:val="references"/>
        <w:spacing w:line="240" w:lineRule="atLeast"/>
      </w:pPr>
      <w:bookmarkStart w:id="10" w:name="EN5"/>
      <w:bookmarkStart w:id="11" w:name="_ENREF_5"/>
      <w:r>
        <w:t>5</w:t>
      </w:r>
      <w:bookmarkEnd w:id="10"/>
      <w:r>
        <w:t>.</w:t>
      </w:r>
      <w:r>
        <w:tab/>
        <w:t>Robison J. What is the "patient experience"? Hospitals are becoming increasingly frustrated - and wasting money - trying to hit the wrong target. Gallup Management Journal Online. 2010:1-3.</w:t>
      </w:r>
      <w:bookmarkEnd w:id="11"/>
    </w:p>
    <w:p w:rsidR="00C56FCC" w:rsidRDefault="00C56FCC" w:rsidP="00C56FCC">
      <w:pPr>
        <w:pStyle w:val="references"/>
        <w:spacing w:line="240" w:lineRule="atLeast"/>
      </w:pPr>
      <w:bookmarkStart w:id="12" w:name="EN6"/>
      <w:bookmarkStart w:id="13" w:name="_ENREF_6"/>
      <w:r>
        <w:t>6</w:t>
      </w:r>
      <w:bookmarkEnd w:id="12"/>
      <w:r>
        <w:t>.</w:t>
      </w:r>
      <w:r>
        <w:tab/>
        <w:t>Hickson GB, Federspiel CF, Pichert JW, Miller CS, Gauld-Jaeger J, Bost P. Patient complaints and malpractice risk. JAMA. 2002;287(22):2951-7.</w:t>
      </w:r>
      <w:bookmarkEnd w:id="13"/>
    </w:p>
    <w:p w:rsidR="00C56FCC" w:rsidRDefault="00C56FCC" w:rsidP="00C56FCC">
      <w:pPr>
        <w:pStyle w:val="references"/>
        <w:spacing w:line="240" w:lineRule="atLeast"/>
      </w:pPr>
      <w:bookmarkStart w:id="14" w:name="EN7"/>
      <w:bookmarkStart w:id="15" w:name="_ENREF_7"/>
      <w:r>
        <w:t>7</w:t>
      </w:r>
      <w:bookmarkEnd w:id="14"/>
      <w:r>
        <w:t>.</w:t>
      </w:r>
      <w:r>
        <w:tab/>
        <w:t>Stone S. A retrospective evaluation of the impact of the Planetree patient-centered model of care on inpatient quality outcomes. HERD. 2008;1(4):55-69.</w:t>
      </w:r>
      <w:bookmarkEnd w:id="15"/>
    </w:p>
    <w:p w:rsidR="00C56FCC" w:rsidRDefault="00C56FCC" w:rsidP="00C56FCC">
      <w:pPr>
        <w:pStyle w:val="references"/>
        <w:spacing w:line="240" w:lineRule="atLeast"/>
      </w:pPr>
      <w:bookmarkStart w:id="16" w:name="EN8"/>
      <w:bookmarkStart w:id="17" w:name="_ENREF_8"/>
      <w:r>
        <w:t>8</w:t>
      </w:r>
      <w:bookmarkEnd w:id="16"/>
      <w:r>
        <w:t>.</w:t>
      </w:r>
      <w:r>
        <w:tab/>
        <w:t>Charmel PA, Frampton SB. Building the business case for patient-centered care. Healthc Financ Manage. 2008;62(3):80-5.</w:t>
      </w:r>
      <w:bookmarkEnd w:id="17"/>
    </w:p>
    <w:p w:rsidR="00C56FCC" w:rsidRDefault="00C56FCC" w:rsidP="00C56FCC">
      <w:pPr>
        <w:pStyle w:val="references"/>
        <w:spacing w:line="240" w:lineRule="atLeast"/>
      </w:pPr>
      <w:bookmarkStart w:id="18" w:name="EN9"/>
      <w:bookmarkStart w:id="19" w:name="_ENREF_9"/>
      <w:r>
        <w:t>9</w:t>
      </w:r>
      <w:bookmarkEnd w:id="18"/>
      <w:r>
        <w:t>.</w:t>
      </w:r>
      <w:r>
        <w:tab/>
        <w:t>Hall MF. Looking to improve financial results? Start by listening to patients. Healthc Financ Manage. 2008;62(10):76-80.</w:t>
      </w:r>
      <w:bookmarkEnd w:id="19"/>
    </w:p>
    <w:p w:rsidR="00C56FCC" w:rsidRDefault="00C56FCC" w:rsidP="00C56FCC">
      <w:pPr>
        <w:pStyle w:val="references"/>
        <w:spacing w:line="240" w:lineRule="atLeast"/>
      </w:pPr>
      <w:bookmarkStart w:id="20" w:name="EN10"/>
      <w:bookmarkStart w:id="21" w:name="_ENREF_10"/>
      <w:r>
        <w:t>10</w:t>
      </w:r>
      <w:bookmarkEnd w:id="20"/>
      <w:r>
        <w:t>.</w:t>
      </w:r>
      <w:r>
        <w:tab/>
        <w:t>Stewart M, Brown JB, Donner A, McWhinney IR, Oates J, Weston WW, et al. The impact of patient-centered care on outcomes. J Fam Pract. 2000;49(9):796-804.</w:t>
      </w:r>
      <w:bookmarkEnd w:id="21"/>
    </w:p>
    <w:p w:rsidR="00C56FCC" w:rsidRDefault="00C56FCC" w:rsidP="00C56FCC">
      <w:pPr>
        <w:pStyle w:val="references"/>
        <w:spacing w:line="240" w:lineRule="atLeast"/>
      </w:pPr>
      <w:bookmarkStart w:id="22" w:name="EN11"/>
      <w:bookmarkStart w:id="23" w:name="_ENREF_11"/>
      <w:r>
        <w:t>11</w:t>
      </w:r>
      <w:bookmarkEnd w:id="22"/>
      <w:r>
        <w:t>.</w:t>
      </w:r>
      <w:r>
        <w:tab/>
        <w:t>Conway J, Johnson B, Edgman-Lefitan S, Schlucter J, Ford D, Sodomka P, et al. Partnering with patients and families to design a patient- and family-centered health care system: a roadmap for the future: a work in progress. Bethesda, MD: Institute for Family-Centered Care, 2006.</w:t>
      </w:r>
      <w:bookmarkEnd w:id="23"/>
    </w:p>
    <w:p w:rsidR="00C56FCC" w:rsidRDefault="00C56FCC" w:rsidP="00C56FCC">
      <w:pPr>
        <w:pStyle w:val="references"/>
        <w:spacing w:line="240" w:lineRule="atLeast"/>
      </w:pPr>
      <w:bookmarkStart w:id="24" w:name="EN12"/>
      <w:bookmarkStart w:id="25" w:name="_ENREF_12"/>
      <w:r>
        <w:t>12</w:t>
      </w:r>
      <w:bookmarkEnd w:id="24"/>
      <w:r>
        <w:t>.</w:t>
      </w:r>
      <w:r>
        <w:tab/>
        <w:t xml:space="preserve">HCAHPS fact sheet (CAHPS hospital survey): Centers for Medicare and Medicaid Services; 2010 [updated 2010/09/15/]. Available from: </w:t>
      </w:r>
      <w:hyperlink r:id="rId20" w:tooltip="Link to HCAHPS Fact Sheet" w:history="1">
        <w:r w:rsidRPr="008A1FDC">
          <w:rPr>
            <w:rStyle w:val="Hyperlink"/>
          </w:rPr>
          <w:t>http://www.hcahpsonline.org/files/HCAHPS%20Fact%20Sheet,%</w:t>
        </w:r>
        <w:bookmarkStart w:id="26" w:name="_GoBack"/>
        <w:bookmarkEnd w:id="26"/>
        <w:r w:rsidRPr="008A1FDC">
          <w:rPr>
            <w:rStyle w:val="Hyperlink"/>
          </w:rPr>
          <w:t>2</w:t>
        </w:r>
        <w:r w:rsidRPr="008A1FDC">
          <w:rPr>
            <w:rStyle w:val="Hyperlink"/>
          </w:rPr>
          <w:t>0revised1,%2</w:t>
        </w:r>
        <w:r w:rsidRPr="008A1FDC">
          <w:rPr>
            <w:rStyle w:val="Hyperlink"/>
          </w:rPr>
          <w:t>0</w:t>
        </w:r>
        <w:r w:rsidRPr="008A1FDC">
          <w:rPr>
            <w:rStyle w:val="Hyperlink"/>
          </w:rPr>
          <w:t>3-31-09.pdf</w:t>
        </w:r>
      </w:hyperlink>
      <w:r>
        <w:t>.</w:t>
      </w:r>
      <w:bookmarkEnd w:id="25"/>
    </w:p>
    <w:p w:rsidR="00C56FCC" w:rsidRDefault="00C56FCC" w:rsidP="00C56FCC">
      <w:pPr>
        <w:pStyle w:val="references"/>
        <w:spacing w:line="240" w:lineRule="atLeast"/>
      </w:pPr>
      <w:bookmarkStart w:id="27" w:name="EN13"/>
      <w:bookmarkStart w:id="28" w:name="_ENREF_13"/>
      <w:r>
        <w:t>13</w:t>
      </w:r>
      <w:bookmarkEnd w:id="27"/>
      <w:r>
        <w:t>.</w:t>
      </w:r>
      <w:r>
        <w:tab/>
        <w:t>Centers for Medicare and Medicaid Services. Plan to implement a Medicare hospital value-based purchasing plan. Washington, DC: U.S. Department of Health and Human Services; , 2007.</w:t>
      </w:r>
      <w:bookmarkEnd w:id="28"/>
    </w:p>
    <w:p w:rsidR="00C56FCC" w:rsidRDefault="00C56FCC" w:rsidP="00C56FCC">
      <w:pPr>
        <w:pStyle w:val="references"/>
        <w:spacing w:line="240" w:lineRule="atLeast"/>
      </w:pPr>
      <w:bookmarkStart w:id="29" w:name="EN14"/>
      <w:bookmarkStart w:id="30" w:name="_ENREF_14"/>
      <w:r>
        <w:t>14</w:t>
      </w:r>
      <w:bookmarkEnd w:id="29"/>
      <w:r>
        <w:t>.</w:t>
      </w:r>
      <w:r>
        <w:tab/>
        <w:t>Iacono S. A study on the relationship of patient satisfaction and utilization of a Planetree model in care delivery. PlaneTalk Newsletter. 2001.</w:t>
      </w:r>
      <w:bookmarkEnd w:id="30"/>
    </w:p>
    <w:p w:rsidR="00C56FCC" w:rsidRDefault="00C56FCC" w:rsidP="00C56FCC">
      <w:pPr>
        <w:pStyle w:val="references"/>
        <w:spacing w:line="240" w:lineRule="atLeast"/>
      </w:pPr>
      <w:bookmarkStart w:id="31" w:name="EN15"/>
      <w:bookmarkStart w:id="32" w:name="_ENREF_15"/>
      <w:r>
        <w:lastRenderedPageBreak/>
        <w:t>15</w:t>
      </w:r>
      <w:bookmarkEnd w:id="31"/>
      <w:r>
        <w:t>.</w:t>
      </w:r>
      <w:r>
        <w:tab/>
        <w:t>The Joint Commission. Advancing effective communication, cultural competence, and patient- and family-centered care. 2010 Prepublication edition - not for distribution.</w:t>
      </w:r>
      <w:bookmarkEnd w:id="32"/>
    </w:p>
    <w:p w:rsidR="00C56FCC" w:rsidRDefault="00C56FCC" w:rsidP="00C56FCC">
      <w:pPr>
        <w:pStyle w:val="references"/>
        <w:spacing w:line="240" w:lineRule="atLeast"/>
      </w:pPr>
      <w:bookmarkStart w:id="33" w:name="EN16"/>
      <w:bookmarkStart w:id="34" w:name="_ENREF_16"/>
      <w:r>
        <w:t>16</w:t>
      </w:r>
      <w:bookmarkEnd w:id="33"/>
      <w:r>
        <w:t>.</w:t>
      </w:r>
      <w:r>
        <w:tab/>
        <w:t>Epstein RM, Street RL, Jr. Patient-centered care for the 21st century: physicians' roles, health systems and patients' preferences. Philadelphia: American Board of Internal Medicine Foundation; 2008.</w:t>
      </w:r>
      <w:bookmarkEnd w:id="34"/>
    </w:p>
    <w:p w:rsidR="00C56FCC" w:rsidRDefault="00C56FCC" w:rsidP="00C56FCC">
      <w:pPr>
        <w:pStyle w:val="references"/>
        <w:spacing w:line="240" w:lineRule="atLeast"/>
      </w:pPr>
      <w:bookmarkStart w:id="35" w:name="EN17"/>
      <w:bookmarkStart w:id="36" w:name="_ENREF_17"/>
      <w:r>
        <w:t>17</w:t>
      </w:r>
      <w:bookmarkEnd w:id="35"/>
      <w:r>
        <w:t>.</w:t>
      </w:r>
      <w:r>
        <w:tab/>
        <w:t>Roter D. Which facets of communication have strong effects on outcome: a meta-analysis. In: Stewart M, Roter D, editors. Communicating with medical patients. Newbury Park, CA: Sage; 1989.</w:t>
      </w:r>
      <w:bookmarkEnd w:id="36"/>
    </w:p>
    <w:p w:rsidR="00C56FCC" w:rsidRDefault="00C56FCC" w:rsidP="00C56FCC">
      <w:pPr>
        <w:pStyle w:val="references"/>
        <w:spacing w:line="240" w:lineRule="atLeast"/>
      </w:pPr>
      <w:bookmarkStart w:id="37" w:name="EN18"/>
      <w:bookmarkStart w:id="38" w:name="_ENREF_18"/>
      <w:r>
        <w:t>18</w:t>
      </w:r>
      <w:bookmarkEnd w:id="37"/>
      <w:r>
        <w:t>.</w:t>
      </w:r>
      <w:r>
        <w:tab/>
        <w:t>Steffens L, Jaeger S, Herrmann S, Thomas K, Barker K, Eggleston A. Hospital readmission: the move toward pay for performance. J Nurs Adm. 2009;39(11):462-4.</w:t>
      </w:r>
      <w:bookmarkEnd w:id="38"/>
    </w:p>
    <w:p w:rsidR="00C56FCC" w:rsidRDefault="00C56FCC" w:rsidP="00C56FCC">
      <w:pPr>
        <w:pStyle w:val="references"/>
        <w:spacing w:line="240" w:lineRule="atLeast"/>
      </w:pPr>
      <w:bookmarkStart w:id="39" w:name="EN19"/>
      <w:bookmarkStart w:id="40" w:name="_ENREF_19"/>
      <w:r>
        <w:t>19</w:t>
      </w:r>
      <w:bookmarkEnd w:id="39"/>
      <w:r>
        <w:t>.</w:t>
      </w:r>
      <w:r>
        <w:tab/>
        <w:t>Anderson J. Exploring the role of board leaders in patient- and family-centered care: a conversation.</w:t>
      </w:r>
      <w:r w:rsidRPr="00C56FCC">
        <w:rPr>
          <w:i/>
        </w:rPr>
        <w:t xml:space="preserve"> Presented at Hospitals and Communities Moving Forward with Patient- and Family-Centered Care: An Intensive Training Seminar</w:t>
      </w:r>
      <w:r>
        <w:t>. Pinehurst, NC: Institute for Patient- and Family-Centered Care; 2010.</w:t>
      </w:r>
      <w:bookmarkEnd w:id="40"/>
    </w:p>
    <w:p w:rsidR="00C56FCC" w:rsidRDefault="00C56FCC" w:rsidP="00C56FCC">
      <w:pPr>
        <w:pStyle w:val="references"/>
        <w:spacing w:line="240" w:lineRule="atLeast"/>
      </w:pPr>
      <w:bookmarkStart w:id="41" w:name="EN20"/>
      <w:bookmarkStart w:id="42" w:name="_ENREF_20"/>
      <w:r>
        <w:t>20</w:t>
      </w:r>
      <w:bookmarkEnd w:id="41"/>
      <w:r>
        <w:t>.</w:t>
      </w:r>
      <w:r>
        <w:tab/>
        <w:t>Grote KD, Newman JRS, Sutaria SS. A better hospital experience. McKinsey Quarterly.</w:t>
      </w:r>
      <w:bookmarkEnd w:id="42"/>
    </w:p>
    <w:p w:rsidR="00C56FCC" w:rsidRDefault="00C56FCC" w:rsidP="00C56FCC">
      <w:pPr>
        <w:pStyle w:val="references"/>
        <w:spacing w:line="240" w:lineRule="atLeast"/>
      </w:pPr>
      <w:bookmarkStart w:id="43" w:name="EN21"/>
      <w:bookmarkStart w:id="44" w:name="_ENREF_21"/>
      <w:r>
        <w:t>21</w:t>
      </w:r>
      <w:bookmarkEnd w:id="43"/>
      <w:r>
        <w:t>.</w:t>
      </w:r>
      <w:r>
        <w:tab/>
        <w:t>McCarthy D. Case study: achieving a culture of patient- and family-centered care at Bronson Methodist Hospital. Quality Matters. 2007.</w:t>
      </w:r>
      <w:bookmarkEnd w:id="44"/>
    </w:p>
    <w:p w:rsidR="00C56FCC" w:rsidRDefault="00C56FCC" w:rsidP="00C56FCC">
      <w:pPr>
        <w:pStyle w:val="references"/>
        <w:spacing w:line="240" w:lineRule="atLeast"/>
      </w:pPr>
      <w:bookmarkStart w:id="45" w:name="EN22"/>
      <w:bookmarkStart w:id="46" w:name="_ENREF_22"/>
      <w:r>
        <w:t>22</w:t>
      </w:r>
      <w:bookmarkEnd w:id="45"/>
      <w:r>
        <w:t>.</w:t>
      </w:r>
      <w:r>
        <w:tab/>
        <w:t>Chaboyer W, McMurray A, Johnson J, Hardy L, Wallis M, Sylvia Chu FY. Bedside handover: quality improvement strategy to "transform care at the bedside". J Nurs Care Qual. 2009;24(2):136-42.</w:t>
      </w:r>
      <w:bookmarkEnd w:id="46"/>
    </w:p>
    <w:p w:rsidR="00C56FCC" w:rsidRDefault="00C56FCC" w:rsidP="00C56FCC">
      <w:pPr>
        <w:pStyle w:val="references"/>
        <w:spacing w:line="240" w:lineRule="atLeast"/>
      </w:pPr>
      <w:bookmarkStart w:id="47" w:name="EN23"/>
      <w:bookmarkStart w:id="48" w:name="_ENREF_23"/>
      <w:r>
        <w:t>23</w:t>
      </w:r>
      <w:bookmarkEnd w:id="47"/>
      <w:r>
        <w:t>.</w:t>
      </w:r>
      <w:r>
        <w:tab/>
        <w:t>Chaboyer W, McMurray A, Wallis M. Bedside nursing handover: a case study. Int J Nurs Pract. 2010;16(1):</w:t>
      </w:r>
      <w:r w:rsidR="000C3946">
        <w:br/>
      </w:r>
      <w:r>
        <w:t>27-34.</w:t>
      </w:r>
      <w:bookmarkEnd w:id="48"/>
    </w:p>
    <w:p w:rsidR="00820419" w:rsidRPr="001B1835" w:rsidRDefault="00C56FCC" w:rsidP="0011515F">
      <w:pPr>
        <w:pStyle w:val="references"/>
        <w:spacing w:line="240" w:lineRule="atLeast"/>
      </w:pPr>
      <w:bookmarkStart w:id="49" w:name="EN24"/>
      <w:bookmarkStart w:id="50" w:name="_ENREF_24"/>
      <w:r>
        <w:t>24</w:t>
      </w:r>
      <w:bookmarkEnd w:id="49"/>
      <w:r>
        <w:t>.</w:t>
      </w:r>
      <w:r>
        <w:tab/>
        <w:t>Anderson CD, Mangino RR. Nurse shift report: who says you can't talk in front of the patient? Nurs Adm Q. 2006;30(2):112-22.</w:t>
      </w:r>
      <w:bookmarkEnd w:id="50"/>
    </w:p>
    <w:sectPr w:rsidR="00820419" w:rsidRPr="001B1835" w:rsidSect="00A22B77">
      <w:type w:val="continuous"/>
      <w:pgSz w:w="12240" w:h="15840"/>
      <w:pgMar w:top="2016" w:right="547" w:bottom="540" w:left="540" w:header="518" w:footer="36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9A6" w:rsidRPr="00B86636" w:rsidRDefault="009F19A6" w:rsidP="00B86636">
      <w:pPr>
        <w:pStyle w:val="Footer"/>
        <w:spacing w:after="0" w:line="240" w:lineRule="auto"/>
        <w:rPr>
          <w:sz w:val="8"/>
          <w:szCs w:val="8"/>
        </w:rPr>
      </w:pPr>
    </w:p>
  </w:endnote>
  <w:endnote w:type="continuationSeparator" w:id="0">
    <w:p w:rsidR="009F19A6" w:rsidRPr="00B86636" w:rsidRDefault="009F19A6" w:rsidP="00B86636">
      <w:pPr>
        <w:spacing w:after="0" w:line="240" w:lineRule="auto"/>
        <w:rPr>
          <w:sz w:val="8"/>
          <w:szCs w:val="8"/>
        </w:rPr>
      </w:pPr>
      <w:r w:rsidRPr="00B86636">
        <w:rPr>
          <w:sz w:val="8"/>
          <w:szCs w:val="8"/>
        </w:rPr>
        <w:continuationSeparator/>
      </w:r>
    </w:p>
  </w:endnote>
  <w:endnote w:type="continuationNotice" w:id="1">
    <w:p w:rsidR="009F19A6" w:rsidRDefault="009F1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rbel Bold">
    <w:panose1 w:val="020B0703020204020204"/>
    <w:charset w:val="00"/>
    <w:family w:val="auto"/>
    <w:pitch w:val="variable"/>
    <w:sig w:usb0="A00002EF" w:usb1="4000A44B" w:usb2="00000000"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A6" w:rsidRPr="00EE4676" w:rsidRDefault="009F19A6" w:rsidP="00262A81">
    <w:pPr>
      <w:pStyle w:val="Footer"/>
      <w:tabs>
        <w:tab w:val="clear" w:pos="540"/>
      </w:tabs>
      <w:jc w:val="right"/>
    </w:pPr>
    <w:r>
      <w:tab/>
    </w:r>
    <w:r w:rsidRPr="008C28E3">
      <w:t xml:space="preserve">Guide </w:t>
    </w:r>
    <w:r>
      <w:t xml:space="preserve">to Patient and Family </w:t>
    </w:r>
    <w:proofErr w:type="gramStart"/>
    <w:r>
      <w:t>Engagement</w:t>
    </w:r>
    <w:r>
      <w:tab/>
    </w:r>
    <w:r w:rsidRPr="00D45C8C">
      <w:rPr>
        <w:rStyle w:val="Footerdots"/>
      </w:rPr>
      <w:t>::</w:t>
    </w:r>
    <w:proofErr w:type="gramEnd"/>
    <w:r>
      <w:rPr>
        <w:rStyle w:val="Footerdots"/>
      </w:rPr>
      <w:t xml:space="preserve"> </w:t>
    </w:r>
    <w:r w:rsidRPr="008C28E3">
      <w:rPr>
        <w:rStyle w:val="PageNumber"/>
        <w:sz w:val="26"/>
        <w:szCs w:val="26"/>
      </w:rPr>
      <w:fldChar w:fldCharType="begin"/>
    </w:r>
    <w:r w:rsidRPr="008C28E3">
      <w:rPr>
        <w:rStyle w:val="PageNumber"/>
        <w:sz w:val="26"/>
        <w:szCs w:val="26"/>
      </w:rPr>
      <w:instrText xml:space="preserve"> PAGE </w:instrText>
    </w:r>
    <w:r w:rsidRPr="008C28E3">
      <w:rPr>
        <w:rStyle w:val="PageNumber"/>
        <w:sz w:val="26"/>
        <w:szCs w:val="26"/>
      </w:rPr>
      <w:fldChar w:fldCharType="separate"/>
    </w:r>
    <w:r>
      <w:rPr>
        <w:rStyle w:val="PageNumber"/>
        <w:noProof/>
        <w:sz w:val="26"/>
        <w:szCs w:val="26"/>
      </w:rPr>
      <w:t>1</w:t>
    </w:r>
    <w:r w:rsidRPr="008C28E3">
      <w:rPr>
        <w:rStyle w:val="PageNumber"/>
        <w:sz w:val="26"/>
        <w:szCs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A6" w:rsidRDefault="009F19A6" w:rsidP="00131799">
    <w:pPr>
      <w:pStyle w:val="Footer"/>
      <w:jc w:val="right"/>
    </w:pPr>
    <w:r w:rsidRPr="0020447A">
      <w:t xml:space="preserve">Guide to Patient and Family </w:t>
    </w:r>
    <w:proofErr w:type="gramStart"/>
    <w:r w:rsidRPr="0020447A">
      <w:t>Engagement</w:t>
    </w:r>
    <w:r w:rsidRPr="0020447A">
      <w:tab/>
      <w:t>::</w:t>
    </w:r>
    <w:proofErr w:type="gramEnd"/>
    <w:r>
      <w:t xml:space="preserve"> </w:t>
    </w:r>
    <w:r w:rsidRPr="0020447A">
      <w:rPr>
        <w:rStyle w:val="PageNumber"/>
        <w:b/>
        <w:sz w:val="26"/>
        <w:szCs w:val="26"/>
      </w:rPr>
      <w:fldChar w:fldCharType="begin"/>
    </w:r>
    <w:r w:rsidRPr="0020447A">
      <w:rPr>
        <w:rStyle w:val="PageNumber"/>
        <w:b/>
        <w:sz w:val="26"/>
        <w:szCs w:val="26"/>
      </w:rPr>
      <w:instrText xml:space="preserve"> PAGE </w:instrText>
    </w:r>
    <w:r w:rsidRPr="0020447A">
      <w:rPr>
        <w:rStyle w:val="PageNumber"/>
        <w:b/>
        <w:sz w:val="26"/>
        <w:szCs w:val="26"/>
      </w:rPr>
      <w:fldChar w:fldCharType="separate"/>
    </w:r>
    <w:r w:rsidR="00840B7C">
      <w:rPr>
        <w:rStyle w:val="PageNumber"/>
        <w:b/>
        <w:noProof/>
        <w:sz w:val="26"/>
        <w:szCs w:val="26"/>
      </w:rPr>
      <w:t>1</w:t>
    </w:r>
    <w:r w:rsidRPr="0020447A">
      <w:rPr>
        <w:rStyle w:val="PageNumber"/>
        <w:b/>
        <w:sz w:val="26"/>
        <w:szCs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A6" w:rsidRDefault="009F19A6" w:rsidP="00B749E8">
    <w:pPr>
      <w:pStyle w:val="Footer"/>
      <w:tabs>
        <w:tab w:val="clear" w:pos="540"/>
      </w:tabs>
      <w:spacing w:after="0" w:line="240" w:lineRule="auto"/>
      <w:jc w:val="right"/>
    </w:pPr>
  </w:p>
  <w:p w:rsidR="009F19A6" w:rsidRPr="00EE4676" w:rsidRDefault="009F19A6" w:rsidP="00262A81">
    <w:pPr>
      <w:pStyle w:val="Footer"/>
      <w:tabs>
        <w:tab w:val="clear" w:pos="540"/>
      </w:tabs>
      <w:jc w:val="right"/>
    </w:pPr>
    <w:r>
      <w:tab/>
    </w:r>
    <w:r w:rsidRPr="008C28E3">
      <w:t xml:space="preserve">Guide </w:t>
    </w:r>
    <w:r>
      <w:t xml:space="preserve">to Patient and Family </w:t>
    </w:r>
    <w:proofErr w:type="gramStart"/>
    <w:r>
      <w:t>Engagement</w:t>
    </w:r>
    <w:r>
      <w:tab/>
    </w:r>
    <w:r w:rsidRPr="00D45C8C">
      <w:rPr>
        <w:rStyle w:val="Footerdots"/>
      </w:rPr>
      <w:t>::</w:t>
    </w:r>
    <w:proofErr w:type="gramEnd"/>
    <w:r>
      <w:rPr>
        <w:rStyle w:val="Footerdots"/>
      </w:rPr>
      <w:t xml:space="preserve"> </w:t>
    </w:r>
    <w:r w:rsidRPr="008C28E3">
      <w:rPr>
        <w:rStyle w:val="PageNumber"/>
        <w:sz w:val="26"/>
        <w:szCs w:val="26"/>
      </w:rPr>
      <w:fldChar w:fldCharType="begin"/>
    </w:r>
    <w:r w:rsidRPr="008C28E3">
      <w:rPr>
        <w:rStyle w:val="PageNumber"/>
        <w:sz w:val="26"/>
        <w:szCs w:val="26"/>
      </w:rPr>
      <w:instrText xml:space="preserve"> PAGE </w:instrText>
    </w:r>
    <w:r w:rsidRPr="008C28E3">
      <w:rPr>
        <w:rStyle w:val="PageNumber"/>
        <w:sz w:val="26"/>
        <w:szCs w:val="26"/>
      </w:rPr>
      <w:fldChar w:fldCharType="separate"/>
    </w:r>
    <w:r w:rsidR="00677FCD">
      <w:rPr>
        <w:rStyle w:val="PageNumber"/>
        <w:noProof/>
        <w:sz w:val="26"/>
        <w:szCs w:val="26"/>
      </w:rPr>
      <w:t>2</w:t>
    </w:r>
    <w:r w:rsidRPr="008C28E3">
      <w:rPr>
        <w:rStyle w:val="PageNumber"/>
        <w:sz w:val="26"/>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A6" w:rsidRDefault="009F19A6" w:rsidP="00B749E8">
    <w:pPr>
      <w:pStyle w:val="Footer"/>
      <w:tabs>
        <w:tab w:val="clear" w:pos="540"/>
      </w:tabs>
      <w:spacing w:after="0" w:line="240" w:lineRule="auto"/>
      <w:jc w:val="right"/>
    </w:pPr>
  </w:p>
  <w:p w:rsidR="009F19A6" w:rsidRPr="00EE4676" w:rsidRDefault="009F19A6" w:rsidP="00262A81">
    <w:pPr>
      <w:pStyle w:val="Footer"/>
      <w:tabs>
        <w:tab w:val="clear" w:pos="540"/>
      </w:tabs>
      <w:jc w:val="right"/>
    </w:pPr>
    <w:r>
      <w:tab/>
    </w:r>
    <w:r w:rsidRPr="008C28E3">
      <w:t xml:space="preserve">Guide </w:t>
    </w:r>
    <w:r>
      <w:t xml:space="preserve">to Patient and Family </w:t>
    </w:r>
    <w:proofErr w:type="gramStart"/>
    <w:r>
      <w:t>Engagement</w:t>
    </w:r>
    <w:r>
      <w:tab/>
    </w:r>
    <w:r w:rsidRPr="00D45C8C">
      <w:rPr>
        <w:rStyle w:val="Footerdots"/>
      </w:rPr>
      <w:t>::</w:t>
    </w:r>
    <w:proofErr w:type="gramEnd"/>
    <w:r>
      <w:rPr>
        <w:rStyle w:val="Footerdots"/>
      </w:rPr>
      <w:t xml:space="preserve"> </w:t>
    </w:r>
    <w:r w:rsidRPr="008C28E3">
      <w:rPr>
        <w:rStyle w:val="PageNumber"/>
        <w:sz w:val="26"/>
        <w:szCs w:val="26"/>
      </w:rPr>
      <w:fldChar w:fldCharType="begin"/>
    </w:r>
    <w:r w:rsidRPr="008C28E3">
      <w:rPr>
        <w:rStyle w:val="PageNumber"/>
        <w:sz w:val="26"/>
        <w:szCs w:val="26"/>
      </w:rPr>
      <w:instrText xml:space="preserve"> PAGE </w:instrText>
    </w:r>
    <w:r w:rsidRPr="008C28E3">
      <w:rPr>
        <w:rStyle w:val="PageNumber"/>
        <w:sz w:val="26"/>
        <w:szCs w:val="26"/>
      </w:rPr>
      <w:fldChar w:fldCharType="separate"/>
    </w:r>
    <w:r w:rsidR="00840B7C">
      <w:rPr>
        <w:rStyle w:val="PageNumber"/>
        <w:noProof/>
        <w:sz w:val="26"/>
        <w:szCs w:val="26"/>
      </w:rPr>
      <w:t>2</w:t>
    </w:r>
    <w:r w:rsidRPr="008C28E3">
      <w:rPr>
        <w:rStyle w:val="PageNumber"/>
        <w:sz w:val="26"/>
        <w:szCs w:val="2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A6" w:rsidRDefault="009F19A6" w:rsidP="00B749E8">
    <w:pPr>
      <w:pStyle w:val="Footer"/>
      <w:tabs>
        <w:tab w:val="clear" w:pos="540"/>
      </w:tabs>
      <w:spacing w:after="0" w:line="240" w:lineRule="auto"/>
      <w:jc w:val="right"/>
    </w:pPr>
  </w:p>
  <w:p w:rsidR="009F19A6" w:rsidRPr="00EE4676" w:rsidRDefault="009F19A6" w:rsidP="00262A81">
    <w:pPr>
      <w:pStyle w:val="Footer"/>
      <w:tabs>
        <w:tab w:val="clear" w:pos="540"/>
      </w:tabs>
      <w:jc w:val="right"/>
    </w:pPr>
    <w:r>
      <w:tab/>
    </w:r>
    <w:r w:rsidRPr="008C28E3">
      <w:t xml:space="preserve">Guide </w:t>
    </w:r>
    <w:r>
      <w:t xml:space="preserve">to Patient and Family </w:t>
    </w:r>
    <w:proofErr w:type="gramStart"/>
    <w:r>
      <w:t>Engagement</w:t>
    </w:r>
    <w:r>
      <w:tab/>
    </w:r>
    <w:r w:rsidRPr="00D45C8C">
      <w:rPr>
        <w:rStyle w:val="Footerdots"/>
      </w:rPr>
      <w:t>::</w:t>
    </w:r>
    <w:proofErr w:type="gramEnd"/>
    <w:r>
      <w:rPr>
        <w:rStyle w:val="Footerdots"/>
      </w:rPr>
      <w:t xml:space="preserve"> </w:t>
    </w:r>
    <w:r w:rsidRPr="008C28E3">
      <w:rPr>
        <w:rStyle w:val="PageNumber"/>
        <w:sz w:val="26"/>
        <w:szCs w:val="26"/>
      </w:rPr>
      <w:fldChar w:fldCharType="begin"/>
    </w:r>
    <w:r w:rsidRPr="008C28E3">
      <w:rPr>
        <w:rStyle w:val="PageNumber"/>
        <w:sz w:val="26"/>
        <w:szCs w:val="26"/>
      </w:rPr>
      <w:instrText xml:space="preserve"> PAGE </w:instrText>
    </w:r>
    <w:r w:rsidRPr="008C28E3">
      <w:rPr>
        <w:rStyle w:val="PageNumber"/>
        <w:sz w:val="26"/>
        <w:szCs w:val="26"/>
      </w:rPr>
      <w:fldChar w:fldCharType="separate"/>
    </w:r>
    <w:r w:rsidR="00840B7C">
      <w:rPr>
        <w:rStyle w:val="PageNumber"/>
        <w:noProof/>
        <w:sz w:val="26"/>
        <w:szCs w:val="26"/>
      </w:rPr>
      <w:t>3</w:t>
    </w:r>
    <w:r w:rsidRPr="008C28E3">
      <w:rPr>
        <w:rStyle w:val="PageNumber"/>
        <w:sz w:val="26"/>
        <w:szCs w:val="2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A6" w:rsidRDefault="009F19A6" w:rsidP="00B749E8">
    <w:pPr>
      <w:pStyle w:val="Footer"/>
      <w:tabs>
        <w:tab w:val="clear" w:pos="540"/>
      </w:tabs>
      <w:spacing w:after="0" w:line="240" w:lineRule="auto"/>
      <w:jc w:val="right"/>
    </w:pPr>
  </w:p>
  <w:p w:rsidR="009F19A6" w:rsidRPr="00EE4676" w:rsidRDefault="009F19A6" w:rsidP="00262A81">
    <w:pPr>
      <w:pStyle w:val="Footer"/>
      <w:tabs>
        <w:tab w:val="clear" w:pos="540"/>
      </w:tabs>
      <w:jc w:val="right"/>
    </w:pPr>
    <w:r>
      <w:tab/>
    </w:r>
    <w:r w:rsidRPr="008C28E3">
      <w:t xml:space="preserve">Guide </w:t>
    </w:r>
    <w:r>
      <w:t xml:space="preserve">to Patient and Family </w:t>
    </w:r>
    <w:proofErr w:type="gramStart"/>
    <w:r>
      <w:t>Engagement</w:t>
    </w:r>
    <w:r>
      <w:tab/>
    </w:r>
    <w:r w:rsidRPr="00D45C8C">
      <w:rPr>
        <w:rStyle w:val="Footerdots"/>
      </w:rPr>
      <w:t>::</w:t>
    </w:r>
    <w:proofErr w:type="gramEnd"/>
    <w:r>
      <w:rPr>
        <w:rStyle w:val="Footerdots"/>
      </w:rPr>
      <w:t xml:space="preserve"> </w:t>
    </w:r>
    <w:r w:rsidRPr="008C28E3">
      <w:rPr>
        <w:rStyle w:val="PageNumber"/>
        <w:sz w:val="26"/>
        <w:szCs w:val="26"/>
      </w:rPr>
      <w:fldChar w:fldCharType="begin"/>
    </w:r>
    <w:r w:rsidRPr="008C28E3">
      <w:rPr>
        <w:rStyle w:val="PageNumber"/>
        <w:sz w:val="26"/>
        <w:szCs w:val="26"/>
      </w:rPr>
      <w:instrText xml:space="preserve"> PAGE </w:instrText>
    </w:r>
    <w:r w:rsidRPr="008C28E3">
      <w:rPr>
        <w:rStyle w:val="PageNumber"/>
        <w:sz w:val="26"/>
        <w:szCs w:val="26"/>
      </w:rPr>
      <w:fldChar w:fldCharType="separate"/>
    </w:r>
    <w:r w:rsidR="00840B7C">
      <w:rPr>
        <w:rStyle w:val="PageNumber"/>
        <w:noProof/>
        <w:sz w:val="26"/>
        <w:szCs w:val="26"/>
      </w:rPr>
      <w:t>4</w:t>
    </w:r>
    <w:r w:rsidRPr="008C28E3">
      <w:rPr>
        <w:rStyle w:val="PageNumber"/>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9A6" w:rsidRDefault="009F19A6" w:rsidP="003E3DAE">
      <w:r>
        <w:separator/>
      </w:r>
    </w:p>
  </w:footnote>
  <w:footnote w:type="continuationSeparator" w:id="0">
    <w:p w:rsidR="009F19A6" w:rsidRDefault="009F19A6" w:rsidP="003E3DAE">
      <w:r>
        <w:continuationSeparator/>
      </w:r>
    </w:p>
  </w:footnote>
  <w:footnote w:id="1">
    <w:p w:rsidR="009F19A6" w:rsidRDefault="009F19A6" w:rsidP="00D6629C">
      <w:pPr>
        <w:pStyle w:val="FootnoteText"/>
        <w:ind w:right="-144"/>
      </w:pPr>
      <w:r>
        <w:rPr>
          <w:rStyle w:val="FootnoteReference"/>
        </w:rPr>
        <w:footnoteRef/>
      </w:r>
      <w:r>
        <w:t xml:space="preserve"> </w:t>
      </w:r>
      <w:r w:rsidRPr="00F36B28">
        <w:t xml:space="preserve">The </w:t>
      </w:r>
      <w:r w:rsidRPr="00CE6EB9">
        <w:rPr>
          <w:i/>
        </w:rPr>
        <w:t>Guide</w:t>
      </w:r>
      <w:r w:rsidRPr="00F36B28">
        <w:t xml:space="preserve"> was developed for the U.S. Department of Health and Human Services</w:t>
      </w:r>
      <w:r>
        <w:t>’</w:t>
      </w:r>
      <w:r w:rsidRPr="00F36B28">
        <w:t xml:space="preserve"> Agency for H</w:t>
      </w:r>
      <w:r>
        <w:t xml:space="preserve">ealthcare Research and Quality </w:t>
      </w:r>
      <w:r w:rsidRPr="00F36B28">
        <w:t xml:space="preserve">by a collaboration of partners with experience in and commitment to patient and family engagement, hospital quality, and safety. Led by the American Institutes for Research, the team included the Institute for Patient and Family-Centered Care, Consumers Advancing Patient Safety, the Joint Commission, and the Health Research and Educational Trust. Other organizations contributing to the project included </w:t>
      </w:r>
      <w:proofErr w:type="spellStart"/>
      <w:r w:rsidRPr="00F36B28">
        <w:t>Planetree</w:t>
      </w:r>
      <w:proofErr w:type="spellEnd"/>
      <w:r w:rsidRPr="00F36B28">
        <w:t>, the Maryland Patient Safety Center, Aurora Health Care</w:t>
      </w:r>
      <w:r>
        <w:t>, and Emory University Hospital</w:t>
      </w:r>
      <w:r w:rsidRPr="00F36B2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A6" w:rsidRDefault="009F19A6" w:rsidP="00446F1B">
    <w:pPr>
      <w:pStyle w:val="Header"/>
      <w:tabs>
        <w:tab w:val="clear" w:pos="4320"/>
        <w:tab w:val="clear" w:pos="8640"/>
        <w:tab w:val="center" w:pos="5576"/>
        <w:tab w:val="right" w:pos="11153"/>
      </w:tabs>
    </w:pPr>
    <w:r>
      <w:t>[Type text]</w:t>
    </w:r>
    <w:r>
      <w:tab/>
      <w:t>[Type text]</w:t>
    </w:r>
    <w:r>
      <w:tab/>
      <w:t>[Type text]</w:t>
    </w:r>
  </w:p>
  <w:p w:rsidR="009F19A6" w:rsidRDefault="009F19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A6" w:rsidRDefault="009F19A6" w:rsidP="0020447A">
    <w:pPr>
      <w:pStyle w:val="Header"/>
    </w:pPr>
    <w:r>
      <w:t>Information to Help Hospitals Get Started</w:t>
    </w:r>
  </w:p>
  <w:p w:rsidR="009F19A6" w:rsidRPr="006619D2" w:rsidRDefault="009F19A6" w:rsidP="004B753C">
    <w:pPr>
      <w:pStyle w:val="Header"/>
      <w:spacing w:before="480" w:line="240" w:lineRule="auto"/>
    </w:pPr>
    <w:r>
      <w:rPr>
        <w:noProof/>
      </w:rPr>
      <w:drawing>
        <wp:inline distT="0" distB="0" distL="0" distR="0">
          <wp:extent cx="7076694" cy="1104900"/>
          <wp:effectExtent l="0" t="0" r="0" b="0"/>
          <wp:docPr id="2" name="Picture 8" descr="Header ba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der bar graphic."/>
                  <pic:cNvPicPr>
                    <a:picLocks noChangeAspect="1" noChangeArrowheads="1"/>
                  </pic:cNvPicPr>
                </pic:nvPicPr>
                <pic:blipFill rotWithShape="1">
                  <a:blip r:embed="rId1">
                    <a:extLst>
                      <a:ext uri="{28A0092B-C50C-407E-A947-70E740481C1C}">
                        <a14:useLocalDpi xmlns:a14="http://schemas.microsoft.com/office/drawing/2010/main" val="0"/>
                      </a:ext>
                    </a:extLst>
                  </a:blip>
                  <a:srcRect l="3692" r="4742"/>
                  <a:stretch/>
                </pic:blipFill>
                <pic:spPr bwMode="auto">
                  <a:xfrm>
                    <a:off x="0" y="0"/>
                    <a:ext cx="7076440" cy="1104900"/>
                  </a:xfrm>
                  <a:prstGeom prst="rect">
                    <a:avLst/>
                  </a:prstGeom>
                  <a:noFill/>
                  <a:ln>
                    <a:noFill/>
                  </a:ln>
                  <a:extLst>
                    <a:ext uri="{53640926-AAD7-44D8-BBD7-CCE9431645EC}">
                      <a14:shadowObscured xmlns:a14="http://schemas.microsoft.com/office/drawing/2010/main"/>
                    </a:ext>
                    <a:ext uri="{FAA26D3D-D897-4be2-8F04-BA451C77F1D7}"/>
                  </a:extLst>
                </pic:spPr>
              </pic:pic>
            </a:graphicData>
          </a:graphic>
        </wp:inline>
      </w:drawing>
    </w:r>
    <w:r w:rsidRPr="00446F1B">
      <w:rPr>
        <w:b/>
        <w:noProof/>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A6" w:rsidRDefault="009F19A6" w:rsidP="00363E0C">
    <w:pPr>
      <w:pStyle w:val="Header"/>
      <w:spacing w:after="0"/>
    </w:pPr>
    <w:r>
      <w:t>Information to Help Hospitals Get Started</w:t>
    </w:r>
  </w:p>
  <w:p w:rsidR="009F19A6" w:rsidRDefault="00677FCD" w:rsidP="00677FCD">
    <w:pPr>
      <w:pStyle w:val="Header"/>
      <w:spacing w:line="240" w:lineRule="atLeast"/>
    </w:pPr>
    <w:r>
      <w:rPr>
        <w:noProof/>
      </w:rPr>
      <w:drawing>
        <wp:inline distT="0" distB="0" distL="0" distR="0" wp14:anchorId="45F65D49" wp14:editId="17659EC0">
          <wp:extent cx="7078345" cy="1109345"/>
          <wp:effectExtent l="0" t="0" r="8255" b="0"/>
          <wp:docPr id="8" name="Picture 8" descr="&quot;&quot;" title="Head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8345" cy="1109345"/>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A6" w:rsidRDefault="009F19A6" w:rsidP="0020447A">
    <w:pPr>
      <w:pStyle w:val="Header"/>
    </w:pPr>
    <w:r>
      <w:t>Information to Help Hospitals Get Started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E2693E"/>
    <w:lvl w:ilvl="0">
      <w:start w:val="1"/>
      <w:numFmt w:val="decimal"/>
      <w:lvlText w:val="%1."/>
      <w:lvlJc w:val="left"/>
      <w:pPr>
        <w:tabs>
          <w:tab w:val="num" w:pos="1800"/>
        </w:tabs>
        <w:ind w:left="1800" w:hanging="360"/>
      </w:pPr>
    </w:lvl>
  </w:abstractNum>
  <w:abstractNum w:abstractNumId="1">
    <w:nsid w:val="FFFFFF7D"/>
    <w:multiLevelType w:val="singleLevel"/>
    <w:tmpl w:val="1C80D40A"/>
    <w:lvl w:ilvl="0">
      <w:start w:val="1"/>
      <w:numFmt w:val="decimal"/>
      <w:lvlText w:val="%1."/>
      <w:lvlJc w:val="left"/>
      <w:pPr>
        <w:tabs>
          <w:tab w:val="num" w:pos="1440"/>
        </w:tabs>
        <w:ind w:left="1440" w:hanging="360"/>
      </w:pPr>
    </w:lvl>
  </w:abstractNum>
  <w:abstractNum w:abstractNumId="2">
    <w:nsid w:val="FFFFFF7E"/>
    <w:multiLevelType w:val="singleLevel"/>
    <w:tmpl w:val="F210EE7C"/>
    <w:lvl w:ilvl="0">
      <w:start w:val="1"/>
      <w:numFmt w:val="decimal"/>
      <w:lvlText w:val="%1."/>
      <w:lvlJc w:val="left"/>
      <w:pPr>
        <w:tabs>
          <w:tab w:val="num" w:pos="1080"/>
        </w:tabs>
        <w:ind w:left="1080" w:hanging="360"/>
      </w:pPr>
    </w:lvl>
  </w:abstractNum>
  <w:abstractNum w:abstractNumId="3">
    <w:nsid w:val="FFFFFF7F"/>
    <w:multiLevelType w:val="singleLevel"/>
    <w:tmpl w:val="BBF68260"/>
    <w:lvl w:ilvl="0">
      <w:start w:val="1"/>
      <w:numFmt w:val="decimal"/>
      <w:lvlText w:val="%1."/>
      <w:lvlJc w:val="left"/>
      <w:pPr>
        <w:tabs>
          <w:tab w:val="num" w:pos="720"/>
        </w:tabs>
        <w:ind w:left="720" w:hanging="360"/>
      </w:pPr>
    </w:lvl>
  </w:abstractNum>
  <w:abstractNum w:abstractNumId="4">
    <w:nsid w:val="FFFFFF80"/>
    <w:multiLevelType w:val="singleLevel"/>
    <w:tmpl w:val="8968D2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EB8B47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D67D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0B4C8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D2C0C34"/>
    <w:lvl w:ilvl="0">
      <w:start w:val="1"/>
      <w:numFmt w:val="decimal"/>
      <w:lvlText w:val="%1."/>
      <w:lvlJc w:val="left"/>
      <w:pPr>
        <w:tabs>
          <w:tab w:val="num" w:pos="360"/>
        </w:tabs>
        <w:ind w:left="360" w:hanging="360"/>
      </w:pPr>
    </w:lvl>
  </w:abstractNum>
  <w:abstractNum w:abstractNumId="9">
    <w:nsid w:val="FFFFFF89"/>
    <w:multiLevelType w:val="singleLevel"/>
    <w:tmpl w:val="013CDC4A"/>
    <w:lvl w:ilvl="0">
      <w:start w:val="1"/>
      <w:numFmt w:val="bullet"/>
      <w:lvlText w:val=""/>
      <w:lvlJc w:val="left"/>
      <w:pPr>
        <w:tabs>
          <w:tab w:val="num" w:pos="360"/>
        </w:tabs>
        <w:ind w:left="360" w:hanging="360"/>
      </w:pPr>
      <w:rPr>
        <w:rFonts w:ascii="Symbol" w:hAnsi="Symbol" w:hint="default"/>
      </w:rPr>
    </w:lvl>
  </w:abstractNum>
  <w:abstractNum w:abstractNumId="10">
    <w:nsid w:val="07976D2B"/>
    <w:multiLevelType w:val="hybridMultilevel"/>
    <w:tmpl w:val="BA0851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8E85F3B"/>
    <w:multiLevelType w:val="hybridMultilevel"/>
    <w:tmpl w:val="3972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C06CA4"/>
    <w:multiLevelType w:val="hybridMultilevel"/>
    <w:tmpl w:val="6E4845A0"/>
    <w:lvl w:ilvl="0" w:tplc="7602BA2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332A78"/>
    <w:multiLevelType w:val="hybridMultilevel"/>
    <w:tmpl w:val="DCDEEC86"/>
    <w:lvl w:ilvl="0" w:tplc="FB36D3C0">
      <w:start w:val="1"/>
      <w:numFmt w:val="bullet"/>
      <w:lvlText w:val=""/>
      <w:lvlJc w:val="left"/>
      <w:pPr>
        <w:ind w:left="720" w:hanging="360"/>
      </w:pPr>
      <w:rPr>
        <w:rFonts w:ascii="Wingdings" w:hAnsi="Wingdings" w:hint="default"/>
        <w:color w:val="008886"/>
        <w:sz w:val="30"/>
        <w:szCs w:val="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8D5F16"/>
    <w:multiLevelType w:val="hybridMultilevel"/>
    <w:tmpl w:val="209A0344"/>
    <w:lvl w:ilvl="0" w:tplc="FAB0B86C">
      <w:numFmt w:val="bullet"/>
      <w:pStyle w:val="ReportBullet"/>
      <w:lvlText w:val=""/>
      <w:lvlJc w:val="left"/>
      <w:pPr>
        <w:ind w:left="360" w:hanging="360"/>
      </w:pPr>
      <w:rPr>
        <w:rFonts w:ascii="Symbol" w:eastAsia="Cambria" w:hAnsi="Symbol" w:cs="Times New Roman" w:hint="default"/>
        <w:b/>
        <w:color w:val="4F709C"/>
      </w:rPr>
    </w:lvl>
    <w:lvl w:ilvl="1" w:tplc="FAB0B86C">
      <w:numFmt w:val="bullet"/>
      <w:lvlText w:val=""/>
      <w:lvlJc w:val="left"/>
      <w:pPr>
        <w:ind w:left="1080" w:hanging="360"/>
      </w:pPr>
      <w:rPr>
        <w:rFonts w:ascii="Symbol" w:eastAsia="Cambria" w:hAnsi="Symbol" w:cs="Times New Roman"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676B2C"/>
    <w:multiLevelType w:val="hybridMultilevel"/>
    <w:tmpl w:val="86A8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5E7F03"/>
    <w:multiLevelType w:val="hybridMultilevel"/>
    <w:tmpl w:val="BBC2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175723"/>
    <w:multiLevelType w:val="multilevel"/>
    <w:tmpl w:val="F132B0A0"/>
    <w:lvl w:ilvl="0">
      <w:start w:val="1"/>
      <w:numFmt w:val="bullet"/>
      <w:lvlText w:val=""/>
      <w:lvlJc w:val="left"/>
      <w:pPr>
        <w:ind w:left="160" w:firstLine="20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24421BF"/>
    <w:multiLevelType w:val="hybridMultilevel"/>
    <w:tmpl w:val="9B4C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F1980"/>
    <w:multiLevelType w:val="hybridMultilevel"/>
    <w:tmpl w:val="19505352"/>
    <w:lvl w:ilvl="0" w:tplc="45AC2F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0C0525"/>
    <w:multiLevelType w:val="hybridMultilevel"/>
    <w:tmpl w:val="929E2FC6"/>
    <w:lvl w:ilvl="0" w:tplc="449C93FC">
      <w:start w:val="1"/>
      <w:numFmt w:val="bullet"/>
      <w:pStyle w:val="ListBullet"/>
      <w:lvlText w:val=""/>
      <w:lvlJc w:val="left"/>
      <w:pPr>
        <w:ind w:left="-13" w:firstLine="200"/>
      </w:pPr>
      <w:rPr>
        <w:rFonts w:ascii="Symbol" w:hAnsi="Symbol" w:hint="default"/>
        <w:color w:val="00888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6977B3"/>
    <w:multiLevelType w:val="hybridMultilevel"/>
    <w:tmpl w:val="C0A4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274B79"/>
    <w:multiLevelType w:val="hybridMultilevel"/>
    <w:tmpl w:val="EBDA973C"/>
    <w:lvl w:ilvl="0" w:tplc="434E8EA0">
      <w:start w:val="1"/>
      <w:numFmt w:val="bullet"/>
      <w:pStyle w:val="sidebar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2B3A45"/>
    <w:multiLevelType w:val="hybridMultilevel"/>
    <w:tmpl w:val="70B4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F91F60"/>
    <w:multiLevelType w:val="hybridMultilevel"/>
    <w:tmpl w:val="AD18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C32DF2"/>
    <w:multiLevelType w:val="hybridMultilevel"/>
    <w:tmpl w:val="0956A592"/>
    <w:lvl w:ilvl="0" w:tplc="7E7CFE90">
      <w:start w:val="1"/>
      <w:numFmt w:val="bullet"/>
      <w:pStyle w:val="ListCheckbox"/>
      <w:lvlText w:val=""/>
      <w:lvlJc w:val="left"/>
      <w:pPr>
        <w:ind w:left="720" w:hanging="360"/>
      </w:pPr>
      <w:rPr>
        <w:rFonts w:ascii="Wingdings" w:hAnsi="Wingdings" w:hint="default"/>
        <w:color w:val="008886"/>
        <w:sz w:val="30"/>
        <w:szCs w:val="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F33152"/>
    <w:multiLevelType w:val="hybridMultilevel"/>
    <w:tmpl w:val="C0DA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840407"/>
    <w:multiLevelType w:val="hybridMultilevel"/>
    <w:tmpl w:val="93A6DEF4"/>
    <w:lvl w:ilvl="0" w:tplc="353E181A">
      <w:start w:val="1"/>
      <w:numFmt w:val="bullet"/>
      <w:pStyle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9"/>
  </w:num>
  <w:num w:numId="4">
    <w:abstractNumId w:val="13"/>
  </w:num>
  <w:num w:numId="5">
    <w:abstractNumId w:val="25"/>
  </w:num>
  <w:num w:numId="6">
    <w:abstractNumId w:val="17"/>
  </w:num>
  <w:num w:numId="7">
    <w:abstractNumId w:val="9"/>
  </w:num>
  <w:num w:numId="8">
    <w:abstractNumId w:val="7"/>
  </w:num>
  <w:num w:numId="9">
    <w:abstractNumId w:val="6"/>
  </w:num>
  <w:num w:numId="10">
    <w:abstractNumId w:val="5"/>
  </w:num>
  <w:num w:numId="11">
    <w:abstractNumId w:val="4"/>
  </w:num>
  <w:num w:numId="12">
    <w:abstractNumId w:val="18"/>
  </w:num>
  <w:num w:numId="13">
    <w:abstractNumId w:val="16"/>
  </w:num>
  <w:num w:numId="14">
    <w:abstractNumId w:val="27"/>
  </w:num>
  <w:num w:numId="15">
    <w:abstractNumId w:val="10"/>
  </w:num>
  <w:num w:numId="16">
    <w:abstractNumId w:val="14"/>
  </w:num>
  <w:num w:numId="17">
    <w:abstractNumId w:val="15"/>
  </w:num>
  <w:num w:numId="18">
    <w:abstractNumId w:val="22"/>
  </w:num>
  <w:num w:numId="19">
    <w:abstractNumId w:val="23"/>
  </w:num>
  <w:num w:numId="20">
    <w:abstractNumId w:val="24"/>
  </w:num>
  <w:num w:numId="21">
    <w:abstractNumId w:val="12"/>
  </w:num>
  <w:num w:numId="22">
    <w:abstractNumId w:val="21"/>
  </w:num>
  <w:num w:numId="23">
    <w:abstractNumId w:val="26"/>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47"/>
  <w:characterSpacingControl w:val="doNotCompress"/>
  <w:hdrShapeDefaults>
    <o:shapedefaults v:ext="edit" spidmax="14337"/>
  </w:hdrShapeDefaults>
  <w:footnotePr>
    <w:footnote w:id="-1"/>
    <w:footnote w:id="0"/>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orbe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 w:name="OpenInPublishingView" w:val="0"/>
    <w:docVar w:name="ShowDynamicGuides" w:val="1"/>
    <w:docVar w:name="ShowMarginGuides" w:val="0"/>
    <w:docVar w:name="ShowOutlines" w:val="0"/>
    <w:docVar w:name="ShowStaticGuides" w:val="0"/>
  </w:docVars>
  <w:rsids>
    <w:rsidRoot w:val="003E3DAE"/>
    <w:rsid w:val="000126DA"/>
    <w:rsid w:val="00012819"/>
    <w:rsid w:val="00023BAE"/>
    <w:rsid w:val="00034F4D"/>
    <w:rsid w:val="0004201F"/>
    <w:rsid w:val="00070494"/>
    <w:rsid w:val="000749AF"/>
    <w:rsid w:val="0008581C"/>
    <w:rsid w:val="00093502"/>
    <w:rsid w:val="000960CF"/>
    <w:rsid w:val="000A3C9F"/>
    <w:rsid w:val="000B35DB"/>
    <w:rsid w:val="000B378C"/>
    <w:rsid w:val="000B6C62"/>
    <w:rsid w:val="000B7047"/>
    <w:rsid w:val="000B7405"/>
    <w:rsid w:val="000C3946"/>
    <w:rsid w:val="000D113E"/>
    <w:rsid w:val="000E4785"/>
    <w:rsid w:val="000E4F84"/>
    <w:rsid w:val="000E62C0"/>
    <w:rsid w:val="000F1843"/>
    <w:rsid w:val="000F1F0C"/>
    <w:rsid w:val="000F7089"/>
    <w:rsid w:val="000F795B"/>
    <w:rsid w:val="00103A82"/>
    <w:rsid w:val="00106B04"/>
    <w:rsid w:val="0011515F"/>
    <w:rsid w:val="001162B4"/>
    <w:rsid w:val="00117BF1"/>
    <w:rsid w:val="00122D09"/>
    <w:rsid w:val="0012681D"/>
    <w:rsid w:val="00131799"/>
    <w:rsid w:val="00132D53"/>
    <w:rsid w:val="00140DFD"/>
    <w:rsid w:val="0015433A"/>
    <w:rsid w:val="001546F0"/>
    <w:rsid w:val="00175866"/>
    <w:rsid w:val="001801AC"/>
    <w:rsid w:val="00180FD1"/>
    <w:rsid w:val="00182B00"/>
    <w:rsid w:val="0018765C"/>
    <w:rsid w:val="00187DAA"/>
    <w:rsid w:val="00190D22"/>
    <w:rsid w:val="001926E3"/>
    <w:rsid w:val="00193E91"/>
    <w:rsid w:val="001A1747"/>
    <w:rsid w:val="001B1835"/>
    <w:rsid w:val="001B7EC7"/>
    <w:rsid w:val="001C3D0D"/>
    <w:rsid w:val="001D1837"/>
    <w:rsid w:val="001D1A51"/>
    <w:rsid w:val="001F0802"/>
    <w:rsid w:val="001F47DE"/>
    <w:rsid w:val="001F6BC8"/>
    <w:rsid w:val="002017DB"/>
    <w:rsid w:val="0020447A"/>
    <w:rsid w:val="002075CE"/>
    <w:rsid w:val="00222266"/>
    <w:rsid w:val="00236D98"/>
    <w:rsid w:val="00247907"/>
    <w:rsid w:val="00247CA5"/>
    <w:rsid w:val="00262A81"/>
    <w:rsid w:val="00262C0A"/>
    <w:rsid w:val="002763FE"/>
    <w:rsid w:val="002768BA"/>
    <w:rsid w:val="002772D8"/>
    <w:rsid w:val="0027786E"/>
    <w:rsid w:val="00281627"/>
    <w:rsid w:val="002A095B"/>
    <w:rsid w:val="002B5B65"/>
    <w:rsid w:val="002B6C0A"/>
    <w:rsid w:val="002C3FA9"/>
    <w:rsid w:val="002C429D"/>
    <w:rsid w:val="002D56D1"/>
    <w:rsid w:val="002E3B09"/>
    <w:rsid w:val="002E439F"/>
    <w:rsid w:val="002E65AB"/>
    <w:rsid w:val="0030299F"/>
    <w:rsid w:val="0031117B"/>
    <w:rsid w:val="0031574C"/>
    <w:rsid w:val="00322BCC"/>
    <w:rsid w:val="00324C48"/>
    <w:rsid w:val="00326D0E"/>
    <w:rsid w:val="00333574"/>
    <w:rsid w:val="00334282"/>
    <w:rsid w:val="00335A00"/>
    <w:rsid w:val="0034360B"/>
    <w:rsid w:val="00351BCD"/>
    <w:rsid w:val="00354407"/>
    <w:rsid w:val="0035674E"/>
    <w:rsid w:val="00356FFD"/>
    <w:rsid w:val="00363E0C"/>
    <w:rsid w:val="003673B3"/>
    <w:rsid w:val="0037074C"/>
    <w:rsid w:val="003806C0"/>
    <w:rsid w:val="00381B7D"/>
    <w:rsid w:val="00385A1B"/>
    <w:rsid w:val="003A6F36"/>
    <w:rsid w:val="003B0EC6"/>
    <w:rsid w:val="003C2808"/>
    <w:rsid w:val="003C4A58"/>
    <w:rsid w:val="003D1571"/>
    <w:rsid w:val="003D3AE4"/>
    <w:rsid w:val="003E3DAE"/>
    <w:rsid w:val="00416544"/>
    <w:rsid w:val="00442274"/>
    <w:rsid w:val="00442B7A"/>
    <w:rsid w:val="00445B9C"/>
    <w:rsid w:val="00446C35"/>
    <w:rsid w:val="00446F1B"/>
    <w:rsid w:val="00446FE5"/>
    <w:rsid w:val="00452F2A"/>
    <w:rsid w:val="0045599B"/>
    <w:rsid w:val="004571E8"/>
    <w:rsid w:val="00462F29"/>
    <w:rsid w:val="00463800"/>
    <w:rsid w:val="004667C4"/>
    <w:rsid w:val="00466C49"/>
    <w:rsid w:val="004670EC"/>
    <w:rsid w:val="00473CFB"/>
    <w:rsid w:val="00485A91"/>
    <w:rsid w:val="00486894"/>
    <w:rsid w:val="004A320E"/>
    <w:rsid w:val="004A362F"/>
    <w:rsid w:val="004A4B0D"/>
    <w:rsid w:val="004B19E6"/>
    <w:rsid w:val="004B21DB"/>
    <w:rsid w:val="004B29DC"/>
    <w:rsid w:val="004B4E32"/>
    <w:rsid w:val="004B6002"/>
    <w:rsid w:val="004B753C"/>
    <w:rsid w:val="004C390C"/>
    <w:rsid w:val="004E295A"/>
    <w:rsid w:val="004F17C7"/>
    <w:rsid w:val="004F1830"/>
    <w:rsid w:val="004F6D2E"/>
    <w:rsid w:val="005139C0"/>
    <w:rsid w:val="005176E7"/>
    <w:rsid w:val="00525344"/>
    <w:rsid w:val="00531143"/>
    <w:rsid w:val="005314BC"/>
    <w:rsid w:val="00531FE8"/>
    <w:rsid w:val="00535978"/>
    <w:rsid w:val="005465C4"/>
    <w:rsid w:val="00547C33"/>
    <w:rsid w:val="00572C76"/>
    <w:rsid w:val="00575602"/>
    <w:rsid w:val="005772BE"/>
    <w:rsid w:val="005B019F"/>
    <w:rsid w:val="005B1EDD"/>
    <w:rsid w:val="005D0D95"/>
    <w:rsid w:val="005D1420"/>
    <w:rsid w:val="005D3EA3"/>
    <w:rsid w:val="005D6D9D"/>
    <w:rsid w:val="005D7D03"/>
    <w:rsid w:val="005D7E45"/>
    <w:rsid w:val="005E0EE8"/>
    <w:rsid w:val="005E1296"/>
    <w:rsid w:val="005E44E6"/>
    <w:rsid w:val="005E7CE3"/>
    <w:rsid w:val="00604669"/>
    <w:rsid w:val="00611BF7"/>
    <w:rsid w:val="006220F7"/>
    <w:rsid w:val="00625A7A"/>
    <w:rsid w:val="00636A0F"/>
    <w:rsid w:val="00644495"/>
    <w:rsid w:val="006619D2"/>
    <w:rsid w:val="00662117"/>
    <w:rsid w:val="00663104"/>
    <w:rsid w:val="00672338"/>
    <w:rsid w:val="0067569F"/>
    <w:rsid w:val="00677FCD"/>
    <w:rsid w:val="00682FB3"/>
    <w:rsid w:val="00683282"/>
    <w:rsid w:val="00687A9F"/>
    <w:rsid w:val="00695A75"/>
    <w:rsid w:val="006A72DC"/>
    <w:rsid w:val="006B0177"/>
    <w:rsid w:val="006B2074"/>
    <w:rsid w:val="006B3B5B"/>
    <w:rsid w:val="006B3C61"/>
    <w:rsid w:val="006C49AF"/>
    <w:rsid w:val="006E2E6B"/>
    <w:rsid w:val="006F5D9D"/>
    <w:rsid w:val="00702068"/>
    <w:rsid w:val="00710C27"/>
    <w:rsid w:val="00714C13"/>
    <w:rsid w:val="007251CF"/>
    <w:rsid w:val="00732146"/>
    <w:rsid w:val="00732E8C"/>
    <w:rsid w:val="00754ABB"/>
    <w:rsid w:val="0075575A"/>
    <w:rsid w:val="00763E88"/>
    <w:rsid w:val="0078540D"/>
    <w:rsid w:val="007946AB"/>
    <w:rsid w:val="007A0AA3"/>
    <w:rsid w:val="007A6078"/>
    <w:rsid w:val="007A6459"/>
    <w:rsid w:val="007C2376"/>
    <w:rsid w:val="007C2EF7"/>
    <w:rsid w:val="007C4BC8"/>
    <w:rsid w:val="007C788E"/>
    <w:rsid w:val="007C789E"/>
    <w:rsid w:val="007E3722"/>
    <w:rsid w:val="007E4BFA"/>
    <w:rsid w:val="007F2C77"/>
    <w:rsid w:val="008026CF"/>
    <w:rsid w:val="00802EC1"/>
    <w:rsid w:val="00814CE9"/>
    <w:rsid w:val="00815A38"/>
    <w:rsid w:val="00820419"/>
    <w:rsid w:val="008206DB"/>
    <w:rsid w:val="00827742"/>
    <w:rsid w:val="00835B87"/>
    <w:rsid w:val="00837522"/>
    <w:rsid w:val="00837947"/>
    <w:rsid w:val="00840B7C"/>
    <w:rsid w:val="00841E97"/>
    <w:rsid w:val="00846AA7"/>
    <w:rsid w:val="00847409"/>
    <w:rsid w:val="00854080"/>
    <w:rsid w:val="00861415"/>
    <w:rsid w:val="0086334A"/>
    <w:rsid w:val="00863924"/>
    <w:rsid w:val="00864DD0"/>
    <w:rsid w:val="008654F8"/>
    <w:rsid w:val="00867E1B"/>
    <w:rsid w:val="00872EF5"/>
    <w:rsid w:val="008A1FDC"/>
    <w:rsid w:val="008A55E3"/>
    <w:rsid w:val="008B0CD3"/>
    <w:rsid w:val="008B76A1"/>
    <w:rsid w:val="008B7AAA"/>
    <w:rsid w:val="008D410B"/>
    <w:rsid w:val="008E6561"/>
    <w:rsid w:val="008E6B00"/>
    <w:rsid w:val="008F63B9"/>
    <w:rsid w:val="0090288A"/>
    <w:rsid w:val="00903E43"/>
    <w:rsid w:val="00914F88"/>
    <w:rsid w:val="00915FF5"/>
    <w:rsid w:val="0092023E"/>
    <w:rsid w:val="00920FEF"/>
    <w:rsid w:val="009308C1"/>
    <w:rsid w:val="0093753E"/>
    <w:rsid w:val="00950294"/>
    <w:rsid w:val="00950AF1"/>
    <w:rsid w:val="00954C8F"/>
    <w:rsid w:val="009559FB"/>
    <w:rsid w:val="0096490B"/>
    <w:rsid w:val="00975776"/>
    <w:rsid w:val="009849F5"/>
    <w:rsid w:val="009964CB"/>
    <w:rsid w:val="009B3039"/>
    <w:rsid w:val="009B7642"/>
    <w:rsid w:val="009C078A"/>
    <w:rsid w:val="009C6788"/>
    <w:rsid w:val="009D0F0B"/>
    <w:rsid w:val="009E2EF3"/>
    <w:rsid w:val="009E5AE3"/>
    <w:rsid w:val="009F19A6"/>
    <w:rsid w:val="009F7C5A"/>
    <w:rsid w:val="00A00388"/>
    <w:rsid w:val="00A04FAB"/>
    <w:rsid w:val="00A07C04"/>
    <w:rsid w:val="00A12414"/>
    <w:rsid w:val="00A1348D"/>
    <w:rsid w:val="00A22B77"/>
    <w:rsid w:val="00A26882"/>
    <w:rsid w:val="00A26A5D"/>
    <w:rsid w:val="00A3069E"/>
    <w:rsid w:val="00A30B42"/>
    <w:rsid w:val="00A32B37"/>
    <w:rsid w:val="00A3422B"/>
    <w:rsid w:val="00A35723"/>
    <w:rsid w:val="00A45806"/>
    <w:rsid w:val="00A525C1"/>
    <w:rsid w:val="00A60679"/>
    <w:rsid w:val="00A668F5"/>
    <w:rsid w:val="00A748D2"/>
    <w:rsid w:val="00A751EA"/>
    <w:rsid w:val="00A75220"/>
    <w:rsid w:val="00A765C7"/>
    <w:rsid w:val="00A829AE"/>
    <w:rsid w:val="00A847D9"/>
    <w:rsid w:val="00A84CC5"/>
    <w:rsid w:val="00A90965"/>
    <w:rsid w:val="00A91781"/>
    <w:rsid w:val="00AA1465"/>
    <w:rsid w:val="00AA68C7"/>
    <w:rsid w:val="00AA7E63"/>
    <w:rsid w:val="00AB0F1B"/>
    <w:rsid w:val="00AB4F27"/>
    <w:rsid w:val="00AB6D91"/>
    <w:rsid w:val="00AE0A62"/>
    <w:rsid w:val="00AF2327"/>
    <w:rsid w:val="00AF456A"/>
    <w:rsid w:val="00AF4AFA"/>
    <w:rsid w:val="00B05450"/>
    <w:rsid w:val="00B2689A"/>
    <w:rsid w:val="00B3052E"/>
    <w:rsid w:val="00B32B71"/>
    <w:rsid w:val="00B340DD"/>
    <w:rsid w:val="00B40D67"/>
    <w:rsid w:val="00B416F7"/>
    <w:rsid w:val="00B46C8C"/>
    <w:rsid w:val="00B47C3D"/>
    <w:rsid w:val="00B507D8"/>
    <w:rsid w:val="00B507DC"/>
    <w:rsid w:val="00B509A6"/>
    <w:rsid w:val="00B51CD7"/>
    <w:rsid w:val="00B6392D"/>
    <w:rsid w:val="00B67359"/>
    <w:rsid w:val="00B710AA"/>
    <w:rsid w:val="00B71813"/>
    <w:rsid w:val="00B749E8"/>
    <w:rsid w:val="00B776EF"/>
    <w:rsid w:val="00B826B3"/>
    <w:rsid w:val="00B8421E"/>
    <w:rsid w:val="00B85D04"/>
    <w:rsid w:val="00B86636"/>
    <w:rsid w:val="00B940E8"/>
    <w:rsid w:val="00BA214F"/>
    <w:rsid w:val="00BA5583"/>
    <w:rsid w:val="00BC3667"/>
    <w:rsid w:val="00BC371B"/>
    <w:rsid w:val="00BC5F70"/>
    <w:rsid w:val="00BC618C"/>
    <w:rsid w:val="00BD6DAF"/>
    <w:rsid w:val="00BD7FF2"/>
    <w:rsid w:val="00BF01D9"/>
    <w:rsid w:val="00C10009"/>
    <w:rsid w:val="00C16FE9"/>
    <w:rsid w:val="00C1764C"/>
    <w:rsid w:val="00C310EE"/>
    <w:rsid w:val="00C46E84"/>
    <w:rsid w:val="00C52467"/>
    <w:rsid w:val="00C558BC"/>
    <w:rsid w:val="00C56FCC"/>
    <w:rsid w:val="00C57FF2"/>
    <w:rsid w:val="00C62AC1"/>
    <w:rsid w:val="00C6703F"/>
    <w:rsid w:val="00C67516"/>
    <w:rsid w:val="00C67AF6"/>
    <w:rsid w:val="00C71364"/>
    <w:rsid w:val="00C724EF"/>
    <w:rsid w:val="00C73D92"/>
    <w:rsid w:val="00C83406"/>
    <w:rsid w:val="00C87839"/>
    <w:rsid w:val="00CA19D0"/>
    <w:rsid w:val="00CB271D"/>
    <w:rsid w:val="00CB33A3"/>
    <w:rsid w:val="00CC48B3"/>
    <w:rsid w:val="00CD238A"/>
    <w:rsid w:val="00CD7F62"/>
    <w:rsid w:val="00CE0C2A"/>
    <w:rsid w:val="00CE2D92"/>
    <w:rsid w:val="00CF2825"/>
    <w:rsid w:val="00CF5428"/>
    <w:rsid w:val="00CF69DB"/>
    <w:rsid w:val="00CF7D41"/>
    <w:rsid w:val="00D01225"/>
    <w:rsid w:val="00D03D20"/>
    <w:rsid w:val="00D22E2E"/>
    <w:rsid w:val="00D41E13"/>
    <w:rsid w:val="00D45C8C"/>
    <w:rsid w:val="00D60C9A"/>
    <w:rsid w:val="00D61E00"/>
    <w:rsid w:val="00D63E68"/>
    <w:rsid w:val="00D6629C"/>
    <w:rsid w:val="00D76335"/>
    <w:rsid w:val="00D90B09"/>
    <w:rsid w:val="00D937E0"/>
    <w:rsid w:val="00D95E9F"/>
    <w:rsid w:val="00DA3D42"/>
    <w:rsid w:val="00DB06D2"/>
    <w:rsid w:val="00DD5903"/>
    <w:rsid w:val="00DE0296"/>
    <w:rsid w:val="00DE2106"/>
    <w:rsid w:val="00DE37CB"/>
    <w:rsid w:val="00DE3B1F"/>
    <w:rsid w:val="00DE756B"/>
    <w:rsid w:val="00E00C9C"/>
    <w:rsid w:val="00E025B7"/>
    <w:rsid w:val="00E04D08"/>
    <w:rsid w:val="00E075B0"/>
    <w:rsid w:val="00E12DA2"/>
    <w:rsid w:val="00E13F77"/>
    <w:rsid w:val="00E15624"/>
    <w:rsid w:val="00E17459"/>
    <w:rsid w:val="00E33ABC"/>
    <w:rsid w:val="00E361E0"/>
    <w:rsid w:val="00E503C3"/>
    <w:rsid w:val="00E51153"/>
    <w:rsid w:val="00E51CB6"/>
    <w:rsid w:val="00E5525B"/>
    <w:rsid w:val="00E56F0B"/>
    <w:rsid w:val="00E63C2F"/>
    <w:rsid w:val="00E66D15"/>
    <w:rsid w:val="00E73764"/>
    <w:rsid w:val="00E90DE8"/>
    <w:rsid w:val="00EA1A46"/>
    <w:rsid w:val="00EB0D12"/>
    <w:rsid w:val="00EB2206"/>
    <w:rsid w:val="00EC23F9"/>
    <w:rsid w:val="00EC49D6"/>
    <w:rsid w:val="00EC704E"/>
    <w:rsid w:val="00ED07EE"/>
    <w:rsid w:val="00EF05EA"/>
    <w:rsid w:val="00EF52C7"/>
    <w:rsid w:val="00EF7E41"/>
    <w:rsid w:val="00F05F10"/>
    <w:rsid w:val="00F06075"/>
    <w:rsid w:val="00F07695"/>
    <w:rsid w:val="00F12E74"/>
    <w:rsid w:val="00F15094"/>
    <w:rsid w:val="00F15E40"/>
    <w:rsid w:val="00F228CE"/>
    <w:rsid w:val="00F24D10"/>
    <w:rsid w:val="00F251EF"/>
    <w:rsid w:val="00F35F21"/>
    <w:rsid w:val="00F40303"/>
    <w:rsid w:val="00F40355"/>
    <w:rsid w:val="00F44DA0"/>
    <w:rsid w:val="00F44FC5"/>
    <w:rsid w:val="00F45B16"/>
    <w:rsid w:val="00F52554"/>
    <w:rsid w:val="00F5603F"/>
    <w:rsid w:val="00F56E7F"/>
    <w:rsid w:val="00F61707"/>
    <w:rsid w:val="00F648CB"/>
    <w:rsid w:val="00F7491E"/>
    <w:rsid w:val="00F934BB"/>
    <w:rsid w:val="00FA20FF"/>
    <w:rsid w:val="00FA5079"/>
    <w:rsid w:val="00FB24BB"/>
    <w:rsid w:val="00FC7A76"/>
    <w:rsid w:val="00FC7A94"/>
    <w:rsid w:val="00FD00A1"/>
    <w:rsid w:val="00FD0514"/>
    <w:rsid w:val="00FD3CE5"/>
    <w:rsid w:val="00FE2749"/>
    <w:rsid w:val="00FE3260"/>
    <w:rsid w:val="00FF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023E"/>
    <w:pPr>
      <w:spacing w:after="80" w:line="320" w:lineRule="exact"/>
    </w:pPr>
    <w:rPr>
      <w:rFonts w:ascii="Corbel" w:hAnsi="Corbel"/>
      <w:sz w:val="22"/>
      <w:szCs w:val="24"/>
    </w:rPr>
  </w:style>
  <w:style w:type="paragraph" w:styleId="Heading1">
    <w:name w:val="heading 1"/>
    <w:basedOn w:val="Title"/>
    <w:next w:val="Normal"/>
    <w:link w:val="Heading1Char"/>
    <w:uiPriority w:val="9"/>
    <w:qFormat/>
    <w:rsid w:val="00914F88"/>
    <w:pPr>
      <w:outlineLvl w:val="0"/>
    </w:pPr>
  </w:style>
  <w:style w:type="paragraph" w:styleId="Heading2">
    <w:name w:val="heading 2"/>
    <w:next w:val="Normal"/>
    <w:link w:val="Heading2Char"/>
    <w:uiPriority w:val="9"/>
    <w:unhideWhenUsed/>
    <w:qFormat/>
    <w:rsid w:val="00914F88"/>
    <w:pPr>
      <w:keepNext/>
      <w:keepLines/>
      <w:spacing w:before="200" w:line="320" w:lineRule="exact"/>
      <w:outlineLvl w:val="1"/>
    </w:pPr>
    <w:rPr>
      <w:rFonts w:ascii="Rockwell" w:eastAsia="MS Gothic" w:hAnsi="Rockwell"/>
      <w:color w:val="008886"/>
      <w:kern w:val="32"/>
      <w:sz w:val="32"/>
      <w:szCs w:val="32"/>
    </w:rPr>
  </w:style>
  <w:style w:type="paragraph" w:styleId="Heading3">
    <w:name w:val="heading 3"/>
    <w:next w:val="Normal"/>
    <w:link w:val="Heading3Char"/>
    <w:uiPriority w:val="9"/>
    <w:unhideWhenUsed/>
    <w:qFormat/>
    <w:rsid w:val="00914F88"/>
    <w:pPr>
      <w:keepNext/>
      <w:keepLines/>
      <w:spacing w:before="200" w:line="320" w:lineRule="exact"/>
      <w:outlineLvl w:val="2"/>
    </w:pPr>
    <w:rPr>
      <w:rFonts w:ascii="Rockwell" w:eastAsia="MS Gothic" w:hAnsi="Rockwell"/>
      <w:bCs/>
      <w:sz w:val="26"/>
      <w:szCs w:val="26"/>
    </w:rPr>
  </w:style>
  <w:style w:type="paragraph" w:styleId="Heading4">
    <w:name w:val="heading 4"/>
    <w:next w:val="Normal"/>
    <w:link w:val="Heading4Char"/>
    <w:uiPriority w:val="9"/>
    <w:unhideWhenUsed/>
    <w:qFormat/>
    <w:rsid w:val="00914F88"/>
    <w:pPr>
      <w:spacing w:before="80" w:after="80"/>
      <w:outlineLvl w:val="3"/>
    </w:pPr>
    <w:rPr>
      <w:rFonts w:ascii="Rockwell" w:eastAsia="MS Gothic" w:hAnsi="Rockwell"/>
      <w:bCs/>
      <w:color w:val="008886"/>
      <w:sz w:val="22"/>
      <w:szCs w:val="24"/>
    </w:rPr>
  </w:style>
  <w:style w:type="paragraph" w:styleId="Heading9">
    <w:name w:val="heading 9"/>
    <w:basedOn w:val="Normal"/>
    <w:next w:val="Normal"/>
    <w:link w:val="Heading9Char"/>
    <w:uiPriority w:val="9"/>
    <w:semiHidden/>
    <w:unhideWhenUsed/>
    <w:qFormat/>
    <w:rsid w:val="0037074C"/>
    <w:pPr>
      <w:keepNext/>
      <w:keepLines/>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E2749"/>
    <w:pPr>
      <w:tabs>
        <w:tab w:val="center" w:pos="4320"/>
        <w:tab w:val="right" w:pos="8640"/>
      </w:tabs>
    </w:pPr>
    <w:rPr>
      <w:color w:val="4D4D4D"/>
      <w:szCs w:val="22"/>
    </w:rPr>
  </w:style>
  <w:style w:type="character" w:customStyle="1" w:styleId="HeaderChar">
    <w:name w:val="Header Char"/>
    <w:link w:val="Header"/>
    <w:uiPriority w:val="99"/>
    <w:rsid w:val="00FE2749"/>
    <w:rPr>
      <w:rFonts w:ascii="Corbel" w:hAnsi="Corbel"/>
      <w:color w:val="4D4D4D"/>
      <w:sz w:val="22"/>
      <w:szCs w:val="22"/>
    </w:rPr>
  </w:style>
  <w:style w:type="paragraph" w:styleId="Footer">
    <w:name w:val="footer"/>
    <w:basedOn w:val="Normal"/>
    <w:link w:val="FooterChar"/>
    <w:uiPriority w:val="99"/>
    <w:unhideWhenUsed/>
    <w:qFormat/>
    <w:rsid w:val="008B7AAA"/>
    <w:pPr>
      <w:tabs>
        <w:tab w:val="left" w:pos="540"/>
      </w:tabs>
    </w:pPr>
    <w:rPr>
      <w:rFonts w:ascii="Corbel Bold" w:hAnsi="Corbel Bold"/>
      <w:color w:val="8D8E8D"/>
      <w:position w:val="-2"/>
      <w:szCs w:val="22"/>
    </w:rPr>
  </w:style>
  <w:style w:type="character" w:customStyle="1" w:styleId="FooterChar">
    <w:name w:val="Footer Char"/>
    <w:link w:val="Footer"/>
    <w:uiPriority w:val="99"/>
    <w:rsid w:val="008B7AAA"/>
    <w:rPr>
      <w:rFonts w:ascii="Corbel Bold" w:hAnsi="Corbel Bold"/>
      <w:color w:val="8D8E8D"/>
      <w:position w:val="-2"/>
      <w:sz w:val="22"/>
      <w:szCs w:val="22"/>
    </w:rPr>
  </w:style>
  <w:style w:type="paragraph" w:styleId="BalloonText">
    <w:name w:val="Balloon Text"/>
    <w:basedOn w:val="Normal"/>
    <w:link w:val="BalloonTextChar"/>
    <w:uiPriority w:val="99"/>
    <w:semiHidden/>
    <w:unhideWhenUsed/>
    <w:rsid w:val="0020447A"/>
    <w:rPr>
      <w:rFonts w:ascii="Lucida Grande" w:hAnsi="Lucida Grande" w:cs="Lucida Grande"/>
      <w:sz w:val="18"/>
      <w:szCs w:val="18"/>
    </w:rPr>
  </w:style>
  <w:style w:type="character" w:customStyle="1" w:styleId="BalloonTextChar">
    <w:name w:val="Balloon Text Char"/>
    <w:link w:val="BalloonText"/>
    <w:uiPriority w:val="99"/>
    <w:semiHidden/>
    <w:rsid w:val="0020447A"/>
    <w:rPr>
      <w:rFonts w:ascii="Lucida Grande" w:hAnsi="Lucida Grande" w:cs="Lucida Grande"/>
      <w:sz w:val="18"/>
      <w:szCs w:val="18"/>
    </w:rPr>
  </w:style>
  <w:style w:type="character" w:styleId="PageNumber">
    <w:name w:val="page number"/>
    <w:basedOn w:val="DefaultParagraphFont"/>
    <w:uiPriority w:val="99"/>
    <w:semiHidden/>
    <w:unhideWhenUsed/>
    <w:rsid w:val="00D937E0"/>
  </w:style>
  <w:style w:type="paragraph" w:styleId="Title">
    <w:name w:val="Title"/>
    <w:basedOn w:val="Normal"/>
    <w:next w:val="Normal"/>
    <w:link w:val="TitleChar"/>
    <w:uiPriority w:val="10"/>
    <w:qFormat/>
    <w:rsid w:val="004670EC"/>
    <w:pPr>
      <w:spacing w:after="360" w:line="560" w:lineRule="exact"/>
      <w:contextualSpacing/>
    </w:pPr>
    <w:rPr>
      <w:rFonts w:ascii="Rockwell" w:eastAsia="MS Gothic" w:hAnsi="Rockwell"/>
      <w:color w:val="008886"/>
      <w:kern w:val="28"/>
      <w:sz w:val="52"/>
      <w:szCs w:val="52"/>
    </w:rPr>
  </w:style>
  <w:style w:type="character" w:customStyle="1" w:styleId="TitleChar">
    <w:name w:val="Title Char"/>
    <w:link w:val="Title"/>
    <w:uiPriority w:val="10"/>
    <w:rsid w:val="004670EC"/>
    <w:rPr>
      <w:rFonts w:ascii="Rockwell" w:eastAsia="MS Gothic" w:hAnsi="Rockwell" w:cs="Times New Roman"/>
      <w:color w:val="008886"/>
      <w:kern w:val="28"/>
      <w:sz w:val="52"/>
      <w:szCs w:val="52"/>
    </w:rPr>
  </w:style>
  <w:style w:type="character" w:customStyle="1" w:styleId="Heading1Char">
    <w:name w:val="Heading 1 Char"/>
    <w:link w:val="Heading1"/>
    <w:uiPriority w:val="9"/>
    <w:rsid w:val="00914F88"/>
    <w:rPr>
      <w:rFonts w:ascii="Rockwell" w:eastAsia="MS Gothic" w:hAnsi="Rockwell" w:cs="Times New Roman"/>
      <w:color w:val="008886"/>
      <w:kern w:val="28"/>
      <w:sz w:val="52"/>
      <w:szCs w:val="52"/>
    </w:rPr>
  </w:style>
  <w:style w:type="paragraph" w:customStyle="1" w:styleId="ListCheckbox">
    <w:name w:val="List Checkbox"/>
    <w:basedOn w:val="Normal"/>
    <w:qFormat/>
    <w:rsid w:val="009964CB"/>
    <w:pPr>
      <w:numPr>
        <w:numId w:val="5"/>
      </w:numPr>
      <w:spacing w:after="180"/>
      <w:ind w:left="900" w:right="90"/>
    </w:pPr>
    <w:rPr>
      <w:szCs w:val="22"/>
    </w:rPr>
  </w:style>
  <w:style w:type="character" w:styleId="Strong">
    <w:name w:val="Strong"/>
    <w:uiPriority w:val="22"/>
    <w:qFormat/>
    <w:rsid w:val="00C52467"/>
    <w:rPr>
      <w:b/>
      <w:bCs/>
    </w:rPr>
  </w:style>
  <w:style w:type="character" w:styleId="Emphasis">
    <w:name w:val="Emphasis"/>
    <w:uiPriority w:val="20"/>
    <w:qFormat/>
    <w:rsid w:val="00B507DC"/>
    <w:rPr>
      <w:i/>
      <w:iCs/>
    </w:rPr>
  </w:style>
  <w:style w:type="character" w:customStyle="1" w:styleId="Footerdots">
    <w:name w:val="Footer dots"/>
    <w:uiPriority w:val="1"/>
    <w:qFormat/>
    <w:rsid w:val="00D45C8C"/>
    <w:rPr>
      <w:rFonts w:ascii="Corbel" w:hAnsi="Corbel"/>
      <w:color w:val="008886"/>
    </w:rPr>
  </w:style>
  <w:style w:type="character" w:customStyle="1" w:styleId="HeaderStrong">
    <w:name w:val="Header Strong"/>
    <w:uiPriority w:val="1"/>
    <w:qFormat/>
    <w:rsid w:val="00FE2749"/>
    <w:rPr>
      <w:rFonts w:ascii="Rockwell" w:hAnsi="Rockwell"/>
      <w:b/>
    </w:rPr>
  </w:style>
  <w:style w:type="character" w:customStyle="1" w:styleId="Heading2Char">
    <w:name w:val="Heading 2 Char"/>
    <w:link w:val="Heading2"/>
    <w:uiPriority w:val="9"/>
    <w:rsid w:val="00914F88"/>
    <w:rPr>
      <w:rFonts w:ascii="Rockwell" w:eastAsia="MS Gothic" w:hAnsi="Rockwell" w:cs="Times New Roman"/>
      <w:color w:val="008886"/>
      <w:kern w:val="32"/>
      <w:sz w:val="32"/>
      <w:szCs w:val="32"/>
    </w:rPr>
  </w:style>
  <w:style w:type="paragraph" w:styleId="ListBullet">
    <w:name w:val="List Bullet"/>
    <w:basedOn w:val="Normal"/>
    <w:uiPriority w:val="99"/>
    <w:unhideWhenUsed/>
    <w:qFormat/>
    <w:rsid w:val="009964CB"/>
    <w:pPr>
      <w:numPr>
        <w:numId w:val="2"/>
      </w:numPr>
      <w:spacing w:after="100"/>
      <w:ind w:left="374" w:right="446" w:hanging="187"/>
    </w:pPr>
    <w:rPr>
      <w:szCs w:val="22"/>
    </w:rPr>
  </w:style>
  <w:style w:type="paragraph" w:styleId="ListParagraph">
    <w:name w:val="List Paragraph"/>
    <w:basedOn w:val="Normal"/>
    <w:autoRedefine/>
    <w:uiPriority w:val="34"/>
    <w:qFormat/>
    <w:rsid w:val="002A095B"/>
    <w:pPr>
      <w:numPr>
        <w:numId w:val="21"/>
      </w:numPr>
      <w:spacing w:after="100"/>
      <w:ind w:right="446"/>
    </w:pPr>
    <w:rPr>
      <w:szCs w:val="22"/>
    </w:rPr>
  </w:style>
  <w:style w:type="character" w:customStyle="1" w:styleId="BulletStrong">
    <w:name w:val="Bullet Strong"/>
    <w:uiPriority w:val="1"/>
    <w:qFormat/>
    <w:rsid w:val="003D1571"/>
    <w:rPr>
      <w:rFonts w:ascii="Rockwell" w:hAnsi="Rockwell"/>
      <w:b w:val="0"/>
      <w:color w:val="008886"/>
    </w:rPr>
  </w:style>
  <w:style w:type="paragraph" w:customStyle="1" w:styleId="Bullet">
    <w:name w:val="Bullet"/>
    <w:basedOn w:val="Normal"/>
    <w:rsid w:val="00175866"/>
    <w:pPr>
      <w:numPr>
        <w:numId w:val="14"/>
      </w:numPr>
      <w:spacing w:before="120" w:after="120" w:line="240" w:lineRule="auto"/>
    </w:pPr>
    <w:rPr>
      <w:rFonts w:ascii="Times New Roman" w:eastAsia="Times New Roman" w:hAnsi="Times New Roman"/>
      <w:sz w:val="24"/>
    </w:rPr>
  </w:style>
  <w:style w:type="paragraph" w:customStyle="1" w:styleId="ReportBullet">
    <w:name w:val="Report Bullet"/>
    <w:qFormat/>
    <w:rsid w:val="006B2074"/>
    <w:pPr>
      <w:numPr>
        <w:numId w:val="16"/>
      </w:numPr>
      <w:spacing w:after="120" w:line="276" w:lineRule="auto"/>
    </w:pPr>
    <w:rPr>
      <w:rFonts w:ascii="Times New Roman" w:eastAsia="Calibri" w:hAnsi="Times New Roman"/>
      <w:sz w:val="24"/>
      <w:szCs w:val="22"/>
    </w:rPr>
  </w:style>
  <w:style w:type="character" w:customStyle="1" w:styleId="Heading3Char">
    <w:name w:val="Heading 3 Char"/>
    <w:link w:val="Heading3"/>
    <w:uiPriority w:val="9"/>
    <w:rsid w:val="00914F88"/>
    <w:rPr>
      <w:rFonts w:ascii="Rockwell" w:eastAsia="MS Gothic" w:hAnsi="Rockwell" w:cs="Times New Roman"/>
      <w:bCs/>
      <w:sz w:val="26"/>
      <w:szCs w:val="26"/>
    </w:rPr>
  </w:style>
  <w:style w:type="character" w:customStyle="1" w:styleId="Heading4Char">
    <w:name w:val="Heading 4 Char"/>
    <w:link w:val="Heading4"/>
    <w:uiPriority w:val="9"/>
    <w:rsid w:val="00914F88"/>
    <w:rPr>
      <w:rFonts w:ascii="Rockwell" w:eastAsia="MS Gothic" w:hAnsi="Rockwell" w:cs="Times New Roman"/>
      <w:bCs/>
      <w:color w:val="008886"/>
      <w:sz w:val="22"/>
    </w:rPr>
  </w:style>
  <w:style w:type="paragraph" w:styleId="Quote">
    <w:name w:val="Quote"/>
    <w:basedOn w:val="Normal"/>
    <w:next w:val="Normal"/>
    <w:link w:val="QuoteChar"/>
    <w:uiPriority w:val="29"/>
    <w:qFormat/>
    <w:rsid w:val="0034360B"/>
    <w:pPr>
      <w:ind w:left="144" w:right="144"/>
    </w:pPr>
    <w:rPr>
      <w:i/>
      <w:iCs/>
      <w:color w:val="000000"/>
    </w:rPr>
  </w:style>
  <w:style w:type="character" w:customStyle="1" w:styleId="QuoteChar">
    <w:name w:val="Quote Char"/>
    <w:link w:val="Quote"/>
    <w:uiPriority w:val="29"/>
    <w:rsid w:val="0034360B"/>
    <w:rPr>
      <w:rFonts w:ascii="Corbel" w:hAnsi="Corbel"/>
      <w:i/>
      <w:iCs/>
      <w:color w:val="000000"/>
      <w:sz w:val="22"/>
    </w:rPr>
  </w:style>
  <w:style w:type="character" w:styleId="Hyperlink">
    <w:name w:val="Hyperlink"/>
    <w:unhideWhenUsed/>
    <w:rsid w:val="0034360B"/>
    <w:rPr>
      <w:color w:val="0000FF"/>
      <w:u w:val="single"/>
    </w:rPr>
  </w:style>
  <w:style w:type="paragraph" w:customStyle="1" w:styleId="sidebartext">
    <w:name w:val="sidebar text"/>
    <w:basedOn w:val="Normal"/>
    <w:qFormat/>
    <w:rsid w:val="00525344"/>
    <w:pPr>
      <w:spacing w:before="160" w:after="0"/>
    </w:pPr>
    <w:rPr>
      <w:color w:val="000000"/>
    </w:rPr>
  </w:style>
  <w:style w:type="character" w:customStyle="1" w:styleId="sidebarpublication">
    <w:name w:val="sidebar publication"/>
    <w:uiPriority w:val="1"/>
    <w:qFormat/>
    <w:rsid w:val="00B507D8"/>
    <w:rPr>
      <w:b/>
      <w:i/>
    </w:rPr>
  </w:style>
  <w:style w:type="paragraph" w:customStyle="1" w:styleId="sidebarheader">
    <w:name w:val="sidebar header"/>
    <w:basedOn w:val="Heading3"/>
    <w:qFormat/>
    <w:rsid w:val="00525344"/>
    <w:pPr>
      <w:spacing w:before="0"/>
    </w:pPr>
    <w:rPr>
      <w:rFonts w:ascii="Corbel" w:hAnsi="Corbel"/>
      <w:color w:val="000000"/>
      <w:sz w:val="28"/>
      <w:szCs w:val="28"/>
      <w:u w:val="dotted"/>
    </w:rPr>
  </w:style>
  <w:style w:type="character" w:styleId="FollowedHyperlink">
    <w:name w:val="FollowedHyperlink"/>
    <w:uiPriority w:val="99"/>
    <w:semiHidden/>
    <w:unhideWhenUsed/>
    <w:rsid w:val="00CE0C2A"/>
    <w:rPr>
      <w:color w:val="800080"/>
      <w:u w:val="single"/>
    </w:rPr>
  </w:style>
  <w:style w:type="character" w:customStyle="1" w:styleId="sidebarURL">
    <w:name w:val="sidebar URL"/>
    <w:uiPriority w:val="1"/>
    <w:qFormat/>
    <w:rsid w:val="00EF7E41"/>
    <w:rPr>
      <w:b w:val="0"/>
      <w:i w:val="0"/>
      <w:u w:val="single"/>
    </w:rPr>
  </w:style>
  <w:style w:type="character" w:customStyle="1" w:styleId="Heading9Char">
    <w:name w:val="Heading 9 Char"/>
    <w:link w:val="Heading9"/>
    <w:uiPriority w:val="9"/>
    <w:rsid w:val="0037074C"/>
    <w:rPr>
      <w:rFonts w:ascii="Calibri" w:eastAsia="MS Gothic" w:hAnsi="Calibri" w:cs="Times New Roman"/>
      <w:i/>
      <w:iCs/>
      <w:color w:val="404040"/>
      <w:sz w:val="20"/>
      <w:szCs w:val="20"/>
    </w:rPr>
  </w:style>
  <w:style w:type="paragraph" w:customStyle="1" w:styleId="sidebarbullets">
    <w:name w:val="sidebar bullets"/>
    <w:basedOn w:val="sidebartext"/>
    <w:qFormat/>
    <w:rsid w:val="0037074C"/>
    <w:pPr>
      <w:numPr>
        <w:numId w:val="18"/>
      </w:numPr>
    </w:pPr>
  </w:style>
  <w:style w:type="paragraph" w:styleId="FootnoteText">
    <w:name w:val="footnote text"/>
    <w:basedOn w:val="Normal"/>
    <w:link w:val="FootnoteTextChar"/>
    <w:uiPriority w:val="99"/>
    <w:unhideWhenUsed/>
    <w:rsid w:val="00A75220"/>
    <w:pPr>
      <w:spacing w:after="0" w:line="240" w:lineRule="auto"/>
    </w:pPr>
    <w:rPr>
      <w:sz w:val="18"/>
    </w:rPr>
  </w:style>
  <w:style w:type="character" w:customStyle="1" w:styleId="FootnoteTextChar">
    <w:name w:val="Footnote Text Char"/>
    <w:link w:val="FootnoteText"/>
    <w:uiPriority w:val="99"/>
    <w:rsid w:val="00A75220"/>
    <w:rPr>
      <w:rFonts w:ascii="Corbel" w:hAnsi="Corbel"/>
      <w:sz w:val="18"/>
      <w:szCs w:val="24"/>
    </w:rPr>
  </w:style>
  <w:style w:type="character" w:styleId="FootnoteReference">
    <w:name w:val="footnote reference"/>
    <w:uiPriority w:val="99"/>
    <w:unhideWhenUsed/>
    <w:rsid w:val="00F44FC5"/>
    <w:rPr>
      <w:vertAlign w:val="superscript"/>
    </w:rPr>
  </w:style>
  <w:style w:type="paragraph" w:styleId="EndnoteText">
    <w:name w:val="endnote text"/>
    <w:basedOn w:val="Normal"/>
    <w:link w:val="EndnoteTextChar"/>
    <w:uiPriority w:val="99"/>
    <w:unhideWhenUsed/>
    <w:rsid w:val="00416544"/>
    <w:pPr>
      <w:spacing w:after="0" w:line="240" w:lineRule="auto"/>
    </w:pPr>
    <w:rPr>
      <w:sz w:val="24"/>
    </w:rPr>
  </w:style>
  <w:style w:type="character" w:customStyle="1" w:styleId="EndnoteTextChar">
    <w:name w:val="Endnote Text Char"/>
    <w:link w:val="EndnoteText"/>
    <w:uiPriority w:val="99"/>
    <w:rsid w:val="00416544"/>
    <w:rPr>
      <w:rFonts w:ascii="Corbel" w:hAnsi="Corbel"/>
    </w:rPr>
  </w:style>
  <w:style w:type="character" w:styleId="EndnoteReference">
    <w:name w:val="endnote reference"/>
    <w:uiPriority w:val="99"/>
    <w:unhideWhenUsed/>
    <w:rsid w:val="00416544"/>
    <w:rPr>
      <w:vertAlign w:val="superscript"/>
    </w:rPr>
  </w:style>
  <w:style w:type="paragraph" w:customStyle="1" w:styleId="footnote">
    <w:name w:val="footnote"/>
    <w:basedOn w:val="Normal"/>
    <w:qFormat/>
    <w:rsid w:val="00E90DE8"/>
    <w:pPr>
      <w:spacing w:line="240" w:lineRule="exact"/>
    </w:pPr>
    <w:rPr>
      <w:color w:val="000000"/>
      <w:sz w:val="16"/>
      <w:szCs w:val="16"/>
    </w:rPr>
  </w:style>
  <w:style w:type="paragraph" w:customStyle="1" w:styleId="references">
    <w:name w:val="references"/>
    <w:basedOn w:val="Normal"/>
    <w:qFormat/>
    <w:rsid w:val="001B1835"/>
    <w:pPr>
      <w:keepLines/>
      <w:tabs>
        <w:tab w:val="left" w:pos="547"/>
      </w:tabs>
      <w:spacing w:after="0" w:line="220" w:lineRule="atLeast"/>
      <w:ind w:left="547" w:hanging="547"/>
    </w:pPr>
    <w:rPr>
      <w:noProof/>
      <w:sz w:val="20"/>
      <w:szCs w:val="20"/>
    </w:rPr>
  </w:style>
  <w:style w:type="character" w:styleId="CommentReference">
    <w:name w:val="annotation reference"/>
    <w:uiPriority w:val="99"/>
    <w:semiHidden/>
    <w:unhideWhenUsed/>
    <w:rsid w:val="004667C4"/>
    <w:rPr>
      <w:sz w:val="16"/>
      <w:szCs w:val="16"/>
    </w:rPr>
  </w:style>
  <w:style w:type="paragraph" w:styleId="CommentText">
    <w:name w:val="annotation text"/>
    <w:basedOn w:val="Normal"/>
    <w:link w:val="CommentTextChar"/>
    <w:uiPriority w:val="99"/>
    <w:semiHidden/>
    <w:unhideWhenUsed/>
    <w:rsid w:val="004667C4"/>
    <w:pPr>
      <w:spacing w:line="240" w:lineRule="auto"/>
    </w:pPr>
    <w:rPr>
      <w:sz w:val="20"/>
      <w:szCs w:val="20"/>
    </w:rPr>
  </w:style>
  <w:style w:type="character" w:customStyle="1" w:styleId="CommentTextChar">
    <w:name w:val="Comment Text Char"/>
    <w:link w:val="CommentText"/>
    <w:uiPriority w:val="99"/>
    <w:semiHidden/>
    <w:rsid w:val="004667C4"/>
    <w:rPr>
      <w:rFonts w:ascii="Corbel" w:hAnsi="Corbel"/>
      <w:sz w:val="20"/>
      <w:szCs w:val="20"/>
    </w:rPr>
  </w:style>
  <w:style w:type="paragraph" w:styleId="CommentSubject">
    <w:name w:val="annotation subject"/>
    <w:basedOn w:val="CommentText"/>
    <w:next w:val="CommentText"/>
    <w:link w:val="CommentSubjectChar"/>
    <w:uiPriority w:val="99"/>
    <w:semiHidden/>
    <w:unhideWhenUsed/>
    <w:rsid w:val="004667C4"/>
    <w:rPr>
      <w:b/>
      <w:bCs/>
    </w:rPr>
  </w:style>
  <w:style w:type="character" w:customStyle="1" w:styleId="CommentSubjectChar">
    <w:name w:val="Comment Subject Char"/>
    <w:link w:val="CommentSubject"/>
    <w:uiPriority w:val="99"/>
    <w:semiHidden/>
    <w:rsid w:val="004667C4"/>
    <w:rPr>
      <w:rFonts w:ascii="Corbel" w:hAnsi="Corbel"/>
      <w:b/>
      <w:bCs/>
      <w:sz w:val="20"/>
      <w:szCs w:val="20"/>
    </w:rPr>
  </w:style>
  <w:style w:type="character" w:customStyle="1" w:styleId="referencenumbers">
    <w:name w:val="reference numbers"/>
    <w:uiPriority w:val="1"/>
    <w:qFormat/>
    <w:rsid w:val="00714C13"/>
    <w:rPr>
      <w:rFonts w:ascii="Corbel" w:hAnsi="Corbel"/>
      <w:color w:val="000000"/>
      <w:sz w:val="18"/>
      <w:szCs w:val="18"/>
    </w:rPr>
  </w:style>
  <w:style w:type="paragraph" w:styleId="BodyText">
    <w:name w:val="Body Text"/>
    <w:link w:val="BodyTextChar"/>
    <w:uiPriority w:val="99"/>
    <w:unhideWhenUsed/>
    <w:rsid w:val="007C2376"/>
    <w:pPr>
      <w:spacing w:after="80" w:line="280" w:lineRule="exact"/>
    </w:pPr>
    <w:rPr>
      <w:rFonts w:ascii="Corbel" w:hAnsi="Corbel"/>
      <w:sz w:val="22"/>
      <w:szCs w:val="24"/>
    </w:rPr>
  </w:style>
  <w:style w:type="character" w:customStyle="1" w:styleId="BodyTextChar">
    <w:name w:val="Body Text Char"/>
    <w:link w:val="BodyText"/>
    <w:uiPriority w:val="99"/>
    <w:rsid w:val="007C2376"/>
    <w:rPr>
      <w:rFonts w:ascii="Corbel" w:hAnsi="Corbel"/>
      <w:sz w:val="22"/>
    </w:rPr>
  </w:style>
  <w:style w:type="table" w:styleId="TableGrid">
    <w:name w:val="Table Grid"/>
    <w:basedOn w:val="TableNormal"/>
    <w:uiPriority w:val="59"/>
    <w:rsid w:val="00311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49E8"/>
    <w:pPr>
      <w:spacing w:before="100" w:beforeAutospacing="1" w:after="100" w:afterAutospacing="1" w:line="240" w:lineRule="auto"/>
    </w:pPr>
    <w:rPr>
      <w:rFonts w:ascii="Times New Roman" w:hAnsi="Times New Roman"/>
      <w:sz w:val="24"/>
    </w:rPr>
  </w:style>
  <w:style w:type="paragraph" w:styleId="Revision">
    <w:name w:val="Revision"/>
    <w:hidden/>
    <w:uiPriority w:val="99"/>
    <w:semiHidden/>
    <w:rsid w:val="002D56D1"/>
    <w:rPr>
      <w:rFonts w:ascii="Corbel" w:hAnsi="Corbe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023E"/>
    <w:pPr>
      <w:spacing w:after="80" w:line="320" w:lineRule="exact"/>
    </w:pPr>
    <w:rPr>
      <w:rFonts w:ascii="Corbel" w:hAnsi="Corbel"/>
      <w:sz w:val="22"/>
      <w:szCs w:val="24"/>
    </w:rPr>
  </w:style>
  <w:style w:type="paragraph" w:styleId="Heading1">
    <w:name w:val="heading 1"/>
    <w:basedOn w:val="Title"/>
    <w:next w:val="Normal"/>
    <w:link w:val="Heading1Char"/>
    <w:uiPriority w:val="9"/>
    <w:qFormat/>
    <w:rsid w:val="00914F88"/>
    <w:pPr>
      <w:outlineLvl w:val="0"/>
    </w:pPr>
  </w:style>
  <w:style w:type="paragraph" w:styleId="Heading2">
    <w:name w:val="heading 2"/>
    <w:next w:val="Normal"/>
    <w:link w:val="Heading2Char"/>
    <w:uiPriority w:val="9"/>
    <w:unhideWhenUsed/>
    <w:qFormat/>
    <w:rsid w:val="00914F88"/>
    <w:pPr>
      <w:keepNext/>
      <w:keepLines/>
      <w:spacing w:before="200" w:line="320" w:lineRule="exact"/>
      <w:outlineLvl w:val="1"/>
    </w:pPr>
    <w:rPr>
      <w:rFonts w:ascii="Rockwell" w:eastAsia="MS Gothic" w:hAnsi="Rockwell"/>
      <w:color w:val="008886"/>
      <w:kern w:val="32"/>
      <w:sz w:val="32"/>
      <w:szCs w:val="32"/>
    </w:rPr>
  </w:style>
  <w:style w:type="paragraph" w:styleId="Heading3">
    <w:name w:val="heading 3"/>
    <w:next w:val="Normal"/>
    <w:link w:val="Heading3Char"/>
    <w:uiPriority w:val="9"/>
    <w:unhideWhenUsed/>
    <w:qFormat/>
    <w:rsid w:val="00914F88"/>
    <w:pPr>
      <w:keepNext/>
      <w:keepLines/>
      <w:spacing w:before="200" w:line="320" w:lineRule="exact"/>
      <w:outlineLvl w:val="2"/>
    </w:pPr>
    <w:rPr>
      <w:rFonts w:ascii="Rockwell" w:eastAsia="MS Gothic" w:hAnsi="Rockwell"/>
      <w:bCs/>
      <w:sz w:val="26"/>
      <w:szCs w:val="26"/>
    </w:rPr>
  </w:style>
  <w:style w:type="paragraph" w:styleId="Heading4">
    <w:name w:val="heading 4"/>
    <w:next w:val="Normal"/>
    <w:link w:val="Heading4Char"/>
    <w:uiPriority w:val="9"/>
    <w:unhideWhenUsed/>
    <w:qFormat/>
    <w:rsid w:val="00914F88"/>
    <w:pPr>
      <w:spacing w:before="80" w:after="80"/>
      <w:outlineLvl w:val="3"/>
    </w:pPr>
    <w:rPr>
      <w:rFonts w:ascii="Rockwell" w:eastAsia="MS Gothic" w:hAnsi="Rockwell"/>
      <w:bCs/>
      <w:color w:val="008886"/>
      <w:sz w:val="22"/>
      <w:szCs w:val="24"/>
    </w:rPr>
  </w:style>
  <w:style w:type="paragraph" w:styleId="Heading9">
    <w:name w:val="heading 9"/>
    <w:basedOn w:val="Normal"/>
    <w:next w:val="Normal"/>
    <w:link w:val="Heading9Char"/>
    <w:uiPriority w:val="9"/>
    <w:semiHidden/>
    <w:unhideWhenUsed/>
    <w:qFormat/>
    <w:rsid w:val="0037074C"/>
    <w:pPr>
      <w:keepNext/>
      <w:keepLines/>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E2749"/>
    <w:pPr>
      <w:tabs>
        <w:tab w:val="center" w:pos="4320"/>
        <w:tab w:val="right" w:pos="8640"/>
      </w:tabs>
    </w:pPr>
    <w:rPr>
      <w:color w:val="4D4D4D"/>
      <w:szCs w:val="22"/>
    </w:rPr>
  </w:style>
  <w:style w:type="character" w:customStyle="1" w:styleId="HeaderChar">
    <w:name w:val="Header Char"/>
    <w:link w:val="Header"/>
    <w:uiPriority w:val="99"/>
    <w:rsid w:val="00FE2749"/>
    <w:rPr>
      <w:rFonts w:ascii="Corbel" w:hAnsi="Corbel"/>
      <w:color w:val="4D4D4D"/>
      <w:sz w:val="22"/>
      <w:szCs w:val="22"/>
    </w:rPr>
  </w:style>
  <w:style w:type="paragraph" w:styleId="Footer">
    <w:name w:val="footer"/>
    <w:basedOn w:val="Normal"/>
    <w:link w:val="FooterChar"/>
    <w:uiPriority w:val="99"/>
    <w:unhideWhenUsed/>
    <w:qFormat/>
    <w:rsid w:val="008B7AAA"/>
    <w:pPr>
      <w:tabs>
        <w:tab w:val="left" w:pos="540"/>
      </w:tabs>
    </w:pPr>
    <w:rPr>
      <w:rFonts w:ascii="Corbel Bold" w:hAnsi="Corbel Bold"/>
      <w:color w:val="8D8E8D"/>
      <w:position w:val="-2"/>
      <w:szCs w:val="22"/>
    </w:rPr>
  </w:style>
  <w:style w:type="character" w:customStyle="1" w:styleId="FooterChar">
    <w:name w:val="Footer Char"/>
    <w:link w:val="Footer"/>
    <w:uiPriority w:val="99"/>
    <w:rsid w:val="008B7AAA"/>
    <w:rPr>
      <w:rFonts w:ascii="Corbel Bold" w:hAnsi="Corbel Bold"/>
      <w:color w:val="8D8E8D"/>
      <w:position w:val="-2"/>
      <w:sz w:val="22"/>
      <w:szCs w:val="22"/>
    </w:rPr>
  </w:style>
  <w:style w:type="paragraph" w:styleId="BalloonText">
    <w:name w:val="Balloon Text"/>
    <w:basedOn w:val="Normal"/>
    <w:link w:val="BalloonTextChar"/>
    <w:uiPriority w:val="99"/>
    <w:semiHidden/>
    <w:unhideWhenUsed/>
    <w:rsid w:val="0020447A"/>
    <w:rPr>
      <w:rFonts w:ascii="Lucida Grande" w:hAnsi="Lucida Grande" w:cs="Lucida Grande"/>
      <w:sz w:val="18"/>
      <w:szCs w:val="18"/>
    </w:rPr>
  </w:style>
  <w:style w:type="character" w:customStyle="1" w:styleId="BalloonTextChar">
    <w:name w:val="Balloon Text Char"/>
    <w:link w:val="BalloonText"/>
    <w:uiPriority w:val="99"/>
    <w:semiHidden/>
    <w:rsid w:val="0020447A"/>
    <w:rPr>
      <w:rFonts w:ascii="Lucida Grande" w:hAnsi="Lucida Grande" w:cs="Lucida Grande"/>
      <w:sz w:val="18"/>
      <w:szCs w:val="18"/>
    </w:rPr>
  </w:style>
  <w:style w:type="character" w:styleId="PageNumber">
    <w:name w:val="page number"/>
    <w:basedOn w:val="DefaultParagraphFont"/>
    <w:uiPriority w:val="99"/>
    <w:semiHidden/>
    <w:unhideWhenUsed/>
    <w:rsid w:val="00D937E0"/>
  </w:style>
  <w:style w:type="paragraph" w:styleId="Title">
    <w:name w:val="Title"/>
    <w:basedOn w:val="Normal"/>
    <w:next w:val="Normal"/>
    <w:link w:val="TitleChar"/>
    <w:uiPriority w:val="10"/>
    <w:qFormat/>
    <w:rsid w:val="004670EC"/>
    <w:pPr>
      <w:spacing w:after="360" w:line="560" w:lineRule="exact"/>
      <w:contextualSpacing/>
    </w:pPr>
    <w:rPr>
      <w:rFonts w:ascii="Rockwell" w:eastAsia="MS Gothic" w:hAnsi="Rockwell"/>
      <w:color w:val="008886"/>
      <w:kern w:val="28"/>
      <w:sz w:val="52"/>
      <w:szCs w:val="52"/>
    </w:rPr>
  </w:style>
  <w:style w:type="character" w:customStyle="1" w:styleId="TitleChar">
    <w:name w:val="Title Char"/>
    <w:link w:val="Title"/>
    <w:uiPriority w:val="10"/>
    <w:rsid w:val="004670EC"/>
    <w:rPr>
      <w:rFonts w:ascii="Rockwell" w:eastAsia="MS Gothic" w:hAnsi="Rockwell" w:cs="Times New Roman"/>
      <w:color w:val="008886"/>
      <w:kern w:val="28"/>
      <w:sz w:val="52"/>
      <w:szCs w:val="52"/>
    </w:rPr>
  </w:style>
  <w:style w:type="character" w:customStyle="1" w:styleId="Heading1Char">
    <w:name w:val="Heading 1 Char"/>
    <w:link w:val="Heading1"/>
    <w:uiPriority w:val="9"/>
    <w:rsid w:val="00914F88"/>
    <w:rPr>
      <w:rFonts w:ascii="Rockwell" w:eastAsia="MS Gothic" w:hAnsi="Rockwell" w:cs="Times New Roman"/>
      <w:color w:val="008886"/>
      <w:kern w:val="28"/>
      <w:sz w:val="52"/>
      <w:szCs w:val="52"/>
    </w:rPr>
  </w:style>
  <w:style w:type="paragraph" w:customStyle="1" w:styleId="ListCheckbox">
    <w:name w:val="List Checkbox"/>
    <w:basedOn w:val="Normal"/>
    <w:qFormat/>
    <w:rsid w:val="009964CB"/>
    <w:pPr>
      <w:numPr>
        <w:numId w:val="5"/>
      </w:numPr>
      <w:spacing w:after="180"/>
      <w:ind w:left="900" w:right="90"/>
    </w:pPr>
    <w:rPr>
      <w:szCs w:val="22"/>
    </w:rPr>
  </w:style>
  <w:style w:type="character" w:styleId="Strong">
    <w:name w:val="Strong"/>
    <w:uiPriority w:val="22"/>
    <w:qFormat/>
    <w:rsid w:val="00C52467"/>
    <w:rPr>
      <w:b/>
      <w:bCs/>
    </w:rPr>
  </w:style>
  <w:style w:type="character" w:styleId="Emphasis">
    <w:name w:val="Emphasis"/>
    <w:uiPriority w:val="20"/>
    <w:qFormat/>
    <w:rsid w:val="00B507DC"/>
    <w:rPr>
      <w:i/>
      <w:iCs/>
    </w:rPr>
  </w:style>
  <w:style w:type="character" w:customStyle="1" w:styleId="Footerdots">
    <w:name w:val="Footer dots"/>
    <w:uiPriority w:val="1"/>
    <w:qFormat/>
    <w:rsid w:val="00D45C8C"/>
    <w:rPr>
      <w:rFonts w:ascii="Corbel" w:hAnsi="Corbel"/>
      <w:color w:val="008886"/>
    </w:rPr>
  </w:style>
  <w:style w:type="character" w:customStyle="1" w:styleId="HeaderStrong">
    <w:name w:val="Header Strong"/>
    <w:uiPriority w:val="1"/>
    <w:qFormat/>
    <w:rsid w:val="00FE2749"/>
    <w:rPr>
      <w:rFonts w:ascii="Rockwell" w:hAnsi="Rockwell"/>
      <w:b/>
    </w:rPr>
  </w:style>
  <w:style w:type="character" w:customStyle="1" w:styleId="Heading2Char">
    <w:name w:val="Heading 2 Char"/>
    <w:link w:val="Heading2"/>
    <w:uiPriority w:val="9"/>
    <w:rsid w:val="00914F88"/>
    <w:rPr>
      <w:rFonts w:ascii="Rockwell" w:eastAsia="MS Gothic" w:hAnsi="Rockwell" w:cs="Times New Roman"/>
      <w:color w:val="008886"/>
      <w:kern w:val="32"/>
      <w:sz w:val="32"/>
      <w:szCs w:val="32"/>
    </w:rPr>
  </w:style>
  <w:style w:type="paragraph" w:styleId="ListBullet">
    <w:name w:val="List Bullet"/>
    <w:basedOn w:val="Normal"/>
    <w:uiPriority w:val="99"/>
    <w:unhideWhenUsed/>
    <w:qFormat/>
    <w:rsid w:val="009964CB"/>
    <w:pPr>
      <w:numPr>
        <w:numId w:val="2"/>
      </w:numPr>
      <w:spacing w:after="100"/>
      <w:ind w:left="374" w:right="446" w:hanging="187"/>
    </w:pPr>
    <w:rPr>
      <w:szCs w:val="22"/>
    </w:rPr>
  </w:style>
  <w:style w:type="paragraph" w:styleId="ListParagraph">
    <w:name w:val="List Paragraph"/>
    <w:basedOn w:val="Normal"/>
    <w:autoRedefine/>
    <w:uiPriority w:val="34"/>
    <w:qFormat/>
    <w:rsid w:val="002A095B"/>
    <w:pPr>
      <w:numPr>
        <w:numId w:val="21"/>
      </w:numPr>
      <w:spacing w:after="100"/>
      <w:ind w:right="446"/>
    </w:pPr>
    <w:rPr>
      <w:szCs w:val="22"/>
    </w:rPr>
  </w:style>
  <w:style w:type="character" w:customStyle="1" w:styleId="BulletStrong">
    <w:name w:val="Bullet Strong"/>
    <w:uiPriority w:val="1"/>
    <w:qFormat/>
    <w:rsid w:val="003D1571"/>
    <w:rPr>
      <w:rFonts w:ascii="Rockwell" w:hAnsi="Rockwell"/>
      <w:b w:val="0"/>
      <w:color w:val="008886"/>
    </w:rPr>
  </w:style>
  <w:style w:type="paragraph" w:customStyle="1" w:styleId="Bullet">
    <w:name w:val="Bullet"/>
    <w:basedOn w:val="Normal"/>
    <w:rsid w:val="00175866"/>
    <w:pPr>
      <w:numPr>
        <w:numId w:val="14"/>
      </w:numPr>
      <w:spacing w:before="120" w:after="120" w:line="240" w:lineRule="auto"/>
    </w:pPr>
    <w:rPr>
      <w:rFonts w:ascii="Times New Roman" w:eastAsia="Times New Roman" w:hAnsi="Times New Roman"/>
      <w:sz w:val="24"/>
    </w:rPr>
  </w:style>
  <w:style w:type="paragraph" w:customStyle="1" w:styleId="ReportBullet">
    <w:name w:val="Report Bullet"/>
    <w:qFormat/>
    <w:rsid w:val="006B2074"/>
    <w:pPr>
      <w:numPr>
        <w:numId w:val="16"/>
      </w:numPr>
      <w:spacing w:after="120" w:line="276" w:lineRule="auto"/>
    </w:pPr>
    <w:rPr>
      <w:rFonts w:ascii="Times New Roman" w:eastAsia="Calibri" w:hAnsi="Times New Roman"/>
      <w:sz w:val="24"/>
      <w:szCs w:val="22"/>
    </w:rPr>
  </w:style>
  <w:style w:type="character" w:customStyle="1" w:styleId="Heading3Char">
    <w:name w:val="Heading 3 Char"/>
    <w:link w:val="Heading3"/>
    <w:uiPriority w:val="9"/>
    <w:rsid w:val="00914F88"/>
    <w:rPr>
      <w:rFonts w:ascii="Rockwell" w:eastAsia="MS Gothic" w:hAnsi="Rockwell" w:cs="Times New Roman"/>
      <w:bCs/>
      <w:sz w:val="26"/>
      <w:szCs w:val="26"/>
    </w:rPr>
  </w:style>
  <w:style w:type="character" w:customStyle="1" w:styleId="Heading4Char">
    <w:name w:val="Heading 4 Char"/>
    <w:link w:val="Heading4"/>
    <w:uiPriority w:val="9"/>
    <w:rsid w:val="00914F88"/>
    <w:rPr>
      <w:rFonts w:ascii="Rockwell" w:eastAsia="MS Gothic" w:hAnsi="Rockwell" w:cs="Times New Roman"/>
      <w:bCs/>
      <w:color w:val="008886"/>
      <w:sz w:val="22"/>
    </w:rPr>
  </w:style>
  <w:style w:type="paragraph" w:styleId="Quote">
    <w:name w:val="Quote"/>
    <w:basedOn w:val="Normal"/>
    <w:next w:val="Normal"/>
    <w:link w:val="QuoteChar"/>
    <w:uiPriority w:val="29"/>
    <w:qFormat/>
    <w:rsid w:val="0034360B"/>
    <w:pPr>
      <w:ind w:left="144" w:right="144"/>
    </w:pPr>
    <w:rPr>
      <w:i/>
      <w:iCs/>
      <w:color w:val="000000"/>
    </w:rPr>
  </w:style>
  <w:style w:type="character" w:customStyle="1" w:styleId="QuoteChar">
    <w:name w:val="Quote Char"/>
    <w:link w:val="Quote"/>
    <w:uiPriority w:val="29"/>
    <w:rsid w:val="0034360B"/>
    <w:rPr>
      <w:rFonts w:ascii="Corbel" w:hAnsi="Corbel"/>
      <w:i/>
      <w:iCs/>
      <w:color w:val="000000"/>
      <w:sz w:val="22"/>
    </w:rPr>
  </w:style>
  <w:style w:type="character" w:styleId="Hyperlink">
    <w:name w:val="Hyperlink"/>
    <w:unhideWhenUsed/>
    <w:rsid w:val="0034360B"/>
    <w:rPr>
      <w:color w:val="0000FF"/>
      <w:u w:val="single"/>
    </w:rPr>
  </w:style>
  <w:style w:type="paragraph" w:customStyle="1" w:styleId="sidebartext">
    <w:name w:val="sidebar text"/>
    <w:basedOn w:val="Normal"/>
    <w:qFormat/>
    <w:rsid w:val="00525344"/>
    <w:pPr>
      <w:spacing w:before="160" w:after="0"/>
    </w:pPr>
    <w:rPr>
      <w:color w:val="000000"/>
    </w:rPr>
  </w:style>
  <w:style w:type="character" w:customStyle="1" w:styleId="sidebarpublication">
    <w:name w:val="sidebar publication"/>
    <w:uiPriority w:val="1"/>
    <w:qFormat/>
    <w:rsid w:val="00B507D8"/>
    <w:rPr>
      <w:b/>
      <w:i/>
    </w:rPr>
  </w:style>
  <w:style w:type="paragraph" w:customStyle="1" w:styleId="sidebarheader">
    <w:name w:val="sidebar header"/>
    <w:basedOn w:val="Heading3"/>
    <w:qFormat/>
    <w:rsid w:val="00525344"/>
    <w:pPr>
      <w:spacing w:before="0"/>
    </w:pPr>
    <w:rPr>
      <w:rFonts w:ascii="Corbel" w:hAnsi="Corbel"/>
      <w:color w:val="000000"/>
      <w:sz w:val="28"/>
      <w:szCs w:val="28"/>
      <w:u w:val="dotted"/>
    </w:rPr>
  </w:style>
  <w:style w:type="character" w:styleId="FollowedHyperlink">
    <w:name w:val="FollowedHyperlink"/>
    <w:uiPriority w:val="99"/>
    <w:semiHidden/>
    <w:unhideWhenUsed/>
    <w:rsid w:val="00CE0C2A"/>
    <w:rPr>
      <w:color w:val="800080"/>
      <w:u w:val="single"/>
    </w:rPr>
  </w:style>
  <w:style w:type="character" w:customStyle="1" w:styleId="sidebarURL">
    <w:name w:val="sidebar URL"/>
    <w:uiPriority w:val="1"/>
    <w:qFormat/>
    <w:rsid w:val="00EF7E41"/>
    <w:rPr>
      <w:b w:val="0"/>
      <w:i w:val="0"/>
      <w:u w:val="single"/>
    </w:rPr>
  </w:style>
  <w:style w:type="character" w:customStyle="1" w:styleId="Heading9Char">
    <w:name w:val="Heading 9 Char"/>
    <w:link w:val="Heading9"/>
    <w:uiPriority w:val="9"/>
    <w:rsid w:val="0037074C"/>
    <w:rPr>
      <w:rFonts w:ascii="Calibri" w:eastAsia="MS Gothic" w:hAnsi="Calibri" w:cs="Times New Roman"/>
      <w:i/>
      <w:iCs/>
      <w:color w:val="404040"/>
      <w:sz w:val="20"/>
      <w:szCs w:val="20"/>
    </w:rPr>
  </w:style>
  <w:style w:type="paragraph" w:customStyle="1" w:styleId="sidebarbullets">
    <w:name w:val="sidebar bullets"/>
    <w:basedOn w:val="sidebartext"/>
    <w:qFormat/>
    <w:rsid w:val="0037074C"/>
    <w:pPr>
      <w:numPr>
        <w:numId w:val="18"/>
      </w:numPr>
    </w:pPr>
  </w:style>
  <w:style w:type="paragraph" w:styleId="FootnoteText">
    <w:name w:val="footnote text"/>
    <w:basedOn w:val="Normal"/>
    <w:link w:val="FootnoteTextChar"/>
    <w:uiPriority w:val="99"/>
    <w:unhideWhenUsed/>
    <w:rsid w:val="00A75220"/>
    <w:pPr>
      <w:spacing w:after="0" w:line="240" w:lineRule="auto"/>
    </w:pPr>
    <w:rPr>
      <w:sz w:val="18"/>
    </w:rPr>
  </w:style>
  <w:style w:type="character" w:customStyle="1" w:styleId="FootnoteTextChar">
    <w:name w:val="Footnote Text Char"/>
    <w:link w:val="FootnoteText"/>
    <w:uiPriority w:val="99"/>
    <w:rsid w:val="00A75220"/>
    <w:rPr>
      <w:rFonts w:ascii="Corbel" w:hAnsi="Corbel"/>
      <w:sz w:val="18"/>
      <w:szCs w:val="24"/>
    </w:rPr>
  </w:style>
  <w:style w:type="character" w:styleId="FootnoteReference">
    <w:name w:val="footnote reference"/>
    <w:uiPriority w:val="99"/>
    <w:unhideWhenUsed/>
    <w:rsid w:val="00F44FC5"/>
    <w:rPr>
      <w:vertAlign w:val="superscript"/>
    </w:rPr>
  </w:style>
  <w:style w:type="paragraph" w:styleId="EndnoteText">
    <w:name w:val="endnote text"/>
    <w:basedOn w:val="Normal"/>
    <w:link w:val="EndnoteTextChar"/>
    <w:uiPriority w:val="99"/>
    <w:unhideWhenUsed/>
    <w:rsid w:val="00416544"/>
    <w:pPr>
      <w:spacing w:after="0" w:line="240" w:lineRule="auto"/>
    </w:pPr>
    <w:rPr>
      <w:sz w:val="24"/>
    </w:rPr>
  </w:style>
  <w:style w:type="character" w:customStyle="1" w:styleId="EndnoteTextChar">
    <w:name w:val="Endnote Text Char"/>
    <w:link w:val="EndnoteText"/>
    <w:uiPriority w:val="99"/>
    <w:rsid w:val="00416544"/>
    <w:rPr>
      <w:rFonts w:ascii="Corbel" w:hAnsi="Corbel"/>
    </w:rPr>
  </w:style>
  <w:style w:type="character" w:styleId="EndnoteReference">
    <w:name w:val="endnote reference"/>
    <w:uiPriority w:val="99"/>
    <w:unhideWhenUsed/>
    <w:rsid w:val="00416544"/>
    <w:rPr>
      <w:vertAlign w:val="superscript"/>
    </w:rPr>
  </w:style>
  <w:style w:type="paragraph" w:customStyle="1" w:styleId="footnote">
    <w:name w:val="footnote"/>
    <w:basedOn w:val="Normal"/>
    <w:qFormat/>
    <w:rsid w:val="00E90DE8"/>
    <w:pPr>
      <w:spacing w:line="240" w:lineRule="exact"/>
    </w:pPr>
    <w:rPr>
      <w:color w:val="000000"/>
      <w:sz w:val="16"/>
      <w:szCs w:val="16"/>
    </w:rPr>
  </w:style>
  <w:style w:type="paragraph" w:customStyle="1" w:styleId="references">
    <w:name w:val="references"/>
    <w:basedOn w:val="Normal"/>
    <w:qFormat/>
    <w:rsid w:val="001B1835"/>
    <w:pPr>
      <w:keepLines/>
      <w:tabs>
        <w:tab w:val="left" w:pos="547"/>
      </w:tabs>
      <w:spacing w:after="0" w:line="220" w:lineRule="atLeast"/>
      <w:ind w:left="547" w:hanging="547"/>
    </w:pPr>
    <w:rPr>
      <w:noProof/>
      <w:sz w:val="20"/>
      <w:szCs w:val="20"/>
    </w:rPr>
  </w:style>
  <w:style w:type="character" w:styleId="CommentReference">
    <w:name w:val="annotation reference"/>
    <w:uiPriority w:val="99"/>
    <w:semiHidden/>
    <w:unhideWhenUsed/>
    <w:rsid w:val="004667C4"/>
    <w:rPr>
      <w:sz w:val="16"/>
      <w:szCs w:val="16"/>
    </w:rPr>
  </w:style>
  <w:style w:type="paragraph" w:styleId="CommentText">
    <w:name w:val="annotation text"/>
    <w:basedOn w:val="Normal"/>
    <w:link w:val="CommentTextChar"/>
    <w:uiPriority w:val="99"/>
    <w:semiHidden/>
    <w:unhideWhenUsed/>
    <w:rsid w:val="004667C4"/>
    <w:pPr>
      <w:spacing w:line="240" w:lineRule="auto"/>
    </w:pPr>
    <w:rPr>
      <w:sz w:val="20"/>
      <w:szCs w:val="20"/>
    </w:rPr>
  </w:style>
  <w:style w:type="character" w:customStyle="1" w:styleId="CommentTextChar">
    <w:name w:val="Comment Text Char"/>
    <w:link w:val="CommentText"/>
    <w:uiPriority w:val="99"/>
    <w:semiHidden/>
    <w:rsid w:val="004667C4"/>
    <w:rPr>
      <w:rFonts w:ascii="Corbel" w:hAnsi="Corbel"/>
      <w:sz w:val="20"/>
      <w:szCs w:val="20"/>
    </w:rPr>
  </w:style>
  <w:style w:type="paragraph" w:styleId="CommentSubject">
    <w:name w:val="annotation subject"/>
    <w:basedOn w:val="CommentText"/>
    <w:next w:val="CommentText"/>
    <w:link w:val="CommentSubjectChar"/>
    <w:uiPriority w:val="99"/>
    <w:semiHidden/>
    <w:unhideWhenUsed/>
    <w:rsid w:val="004667C4"/>
    <w:rPr>
      <w:b/>
      <w:bCs/>
    </w:rPr>
  </w:style>
  <w:style w:type="character" w:customStyle="1" w:styleId="CommentSubjectChar">
    <w:name w:val="Comment Subject Char"/>
    <w:link w:val="CommentSubject"/>
    <w:uiPriority w:val="99"/>
    <w:semiHidden/>
    <w:rsid w:val="004667C4"/>
    <w:rPr>
      <w:rFonts w:ascii="Corbel" w:hAnsi="Corbel"/>
      <w:b/>
      <w:bCs/>
      <w:sz w:val="20"/>
      <w:szCs w:val="20"/>
    </w:rPr>
  </w:style>
  <w:style w:type="character" w:customStyle="1" w:styleId="referencenumbers">
    <w:name w:val="reference numbers"/>
    <w:uiPriority w:val="1"/>
    <w:qFormat/>
    <w:rsid w:val="00714C13"/>
    <w:rPr>
      <w:rFonts w:ascii="Corbel" w:hAnsi="Corbel"/>
      <w:color w:val="000000"/>
      <w:sz w:val="18"/>
      <w:szCs w:val="18"/>
    </w:rPr>
  </w:style>
  <w:style w:type="paragraph" w:styleId="BodyText">
    <w:name w:val="Body Text"/>
    <w:link w:val="BodyTextChar"/>
    <w:uiPriority w:val="99"/>
    <w:unhideWhenUsed/>
    <w:rsid w:val="007C2376"/>
    <w:pPr>
      <w:spacing w:after="80" w:line="280" w:lineRule="exact"/>
    </w:pPr>
    <w:rPr>
      <w:rFonts w:ascii="Corbel" w:hAnsi="Corbel"/>
      <w:sz w:val="22"/>
      <w:szCs w:val="24"/>
    </w:rPr>
  </w:style>
  <w:style w:type="character" w:customStyle="1" w:styleId="BodyTextChar">
    <w:name w:val="Body Text Char"/>
    <w:link w:val="BodyText"/>
    <w:uiPriority w:val="99"/>
    <w:rsid w:val="007C2376"/>
    <w:rPr>
      <w:rFonts w:ascii="Corbel" w:hAnsi="Corbel"/>
      <w:sz w:val="22"/>
    </w:rPr>
  </w:style>
  <w:style w:type="table" w:styleId="TableGrid">
    <w:name w:val="Table Grid"/>
    <w:basedOn w:val="TableNormal"/>
    <w:uiPriority w:val="59"/>
    <w:rsid w:val="00311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49E8"/>
    <w:pPr>
      <w:spacing w:before="100" w:beforeAutospacing="1" w:after="100" w:afterAutospacing="1" w:line="240" w:lineRule="auto"/>
    </w:pPr>
    <w:rPr>
      <w:rFonts w:ascii="Times New Roman" w:hAnsi="Times New Roman"/>
      <w:sz w:val="24"/>
    </w:rPr>
  </w:style>
  <w:style w:type="paragraph" w:styleId="Revision">
    <w:name w:val="Revision"/>
    <w:hidden/>
    <w:uiPriority w:val="99"/>
    <w:semiHidden/>
    <w:rsid w:val="002D56D1"/>
    <w:rPr>
      <w:rFonts w:ascii="Corbel" w:hAnsi="Corbe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hcahpsonline.org/files/HCAHPS%20Fact%20Sheet,%20revised1,%203-31-0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62FB6-FF91-4AE5-B9AC-04B64CF5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Information to Help Hospitals Get Started</vt:lpstr>
    </vt:vector>
  </TitlesOfParts>
  <Company>United States Department of Health and Human Services</Company>
  <LinksUpToDate>false</LinksUpToDate>
  <CharactersWithSpaces>13213</CharactersWithSpaces>
  <SharedDoc>false</SharedDoc>
  <HyperlinkBase/>
  <HLinks>
    <vt:vector size="162" baseType="variant">
      <vt:variant>
        <vt:i4>3014699</vt:i4>
      </vt:variant>
      <vt:variant>
        <vt:i4>152</vt:i4>
      </vt:variant>
      <vt:variant>
        <vt:i4>0</vt:i4>
      </vt:variant>
      <vt:variant>
        <vt:i4>5</vt:i4>
      </vt:variant>
      <vt:variant>
        <vt:lpwstr>http://www.hcahpsonline.org/files/HCAHPS Fact Sheet, revised1, 3-31-09.pdf</vt:lpwstr>
      </vt:variant>
      <vt:variant>
        <vt:lpwstr/>
      </vt:variant>
      <vt:variant>
        <vt:i4>4194315</vt:i4>
      </vt:variant>
      <vt:variant>
        <vt:i4>146</vt:i4>
      </vt:variant>
      <vt:variant>
        <vt:i4>0</vt:i4>
      </vt:variant>
      <vt:variant>
        <vt:i4>5</vt:i4>
      </vt:variant>
      <vt:variant>
        <vt:lpwstr/>
      </vt:variant>
      <vt:variant>
        <vt:lpwstr>_ENREF_15</vt:lpwstr>
      </vt:variant>
      <vt:variant>
        <vt:i4>4390923</vt:i4>
      </vt:variant>
      <vt:variant>
        <vt:i4>140</vt:i4>
      </vt:variant>
      <vt:variant>
        <vt:i4>0</vt:i4>
      </vt:variant>
      <vt:variant>
        <vt:i4>5</vt:i4>
      </vt:variant>
      <vt:variant>
        <vt:lpwstr/>
      </vt:variant>
      <vt:variant>
        <vt:lpwstr>_ENREF_22</vt:lpwstr>
      </vt:variant>
      <vt:variant>
        <vt:i4>4390923</vt:i4>
      </vt:variant>
      <vt:variant>
        <vt:i4>132</vt:i4>
      </vt:variant>
      <vt:variant>
        <vt:i4>0</vt:i4>
      </vt:variant>
      <vt:variant>
        <vt:i4>5</vt:i4>
      </vt:variant>
      <vt:variant>
        <vt:lpwstr/>
      </vt:variant>
      <vt:variant>
        <vt:lpwstr>_ENREF_21</vt:lpwstr>
      </vt:variant>
      <vt:variant>
        <vt:i4>4390923</vt:i4>
      </vt:variant>
      <vt:variant>
        <vt:i4>126</vt:i4>
      </vt:variant>
      <vt:variant>
        <vt:i4>0</vt:i4>
      </vt:variant>
      <vt:variant>
        <vt:i4>5</vt:i4>
      </vt:variant>
      <vt:variant>
        <vt:lpwstr/>
      </vt:variant>
      <vt:variant>
        <vt:lpwstr>_ENREF_20</vt:lpwstr>
      </vt:variant>
      <vt:variant>
        <vt:i4>4784139</vt:i4>
      </vt:variant>
      <vt:variant>
        <vt:i4>120</vt:i4>
      </vt:variant>
      <vt:variant>
        <vt:i4>0</vt:i4>
      </vt:variant>
      <vt:variant>
        <vt:i4>5</vt:i4>
      </vt:variant>
      <vt:variant>
        <vt:lpwstr/>
      </vt:variant>
      <vt:variant>
        <vt:lpwstr>_ENREF_8</vt:lpwstr>
      </vt:variant>
      <vt:variant>
        <vt:i4>4194315</vt:i4>
      </vt:variant>
      <vt:variant>
        <vt:i4>114</vt:i4>
      </vt:variant>
      <vt:variant>
        <vt:i4>0</vt:i4>
      </vt:variant>
      <vt:variant>
        <vt:i4>5</vt:i4>
      </vt:variant>
      <vt:variant>
        <vt:lpwstr/>
      </vt:variant>
      <vt:variant>
        <vt:lpwstr>_ENREF_19</vt:lpwstr>
      </vt:variant>
      <vt:variant>
        <vt:i4>4194315</vt:i4>
      </vt:variant>
      <vt:variant>
        <vt:i4>108</vt:i4>
      </vt:variant>
      <vt:variant>
        <vt:i4>0</vt:i4>
      </vt:variant>
      <vt:variant>
        <vt:i4>5</vt:i4>
      </vt:variant>
      <vt:variant>
        <vt:lpwstr/>
      </vt:variant>
      <vt:variant>
        <vt:lpwstr>_ENREF_18</vt:lpwstr>
      </vt:variant>
      <vt:variant>
        <vt:i4>4194315</vt:i4>
      </vt:variant>
      <vt:variant>
        <vt:i4>102</vt:i4>
      </vt:variant>
      <vt:variant>
        <vt:i4>0</vt:i4>
      </vt:variant>
      <vt:variant>
        <vt:i4>5</vt:i4>
      </vt:variant>
      <vt:variant>
        <vt:lpwstr/>
      </vt:variant>
      <vt:variant>
        <vt:lpwstr>_ENREF_17</vt:lpwstr>
      </vt:variant>
      <vt:variant>
        <vt:i4>4194315</vt:i4>
      </vt:variant>
      <vt:variant>
        <vt:i4>99</vt:i4>
      </vt:variant>
      <vt:variant>
        <vt:i4>0</vt:i4>
      </vt:variant>
      <vt:variant>
        <vt:i4>5</vt:i4>
      </vt:variant>
      <vt:variant>
        <vt:lpwstr/>
      </vt:variant>
      <vt:variant>
        <vt:lpwstr>_ENREF_16</vt:lpwstr>
      </vt:variant>
      <vt:variant>
        <vt:i4>4194315</vt:i4>
      </vt:variant>
      <vt:variant>
        <vt:i4>93</vt:i4>
      </vt:variant>
      <vt:variant>
        <vt:i4>0</vt:i4>
      </vt:variant>
      <vt:variant>
        <vt:i4>5</vt:i4>
      </vt:variant>
      <vt:variant>
        <vt:lpwstr/>
      </vt:variant>
      <vt:variant>
        <vt:lpwstr>_ENREF_15</vt:lpwstr>
      </vt:variant>
      <vt:variant>
        <vt:i4>4587531</vt:i4>
      </vt:variant>
      <vt:variant>
        <vt:i4>87</vt:i4>
      </vt:variant>
      <vt:variant>
        <vt:i4>0</vt:i4>
      </vt:variant>
      <vt:variant>
        <vt:i4>5</vt:i4>
      </vt:variant>
      <vt:variant>
        <vt:lpwstr/>
      </vt:variant>
      <vt:variant>
        <vt:lpwstr>_ENREF_7</vt:lpwstr>
      </vt:variant>
      <vt:variant>
        <vt:i4>4521995</vt:i4>
      </vt:variant>
      <vt:variant>
        <vt:i4>81</vt:i4>
      </vt:variant>
      <vt:variant>
        <vt:i4>0</vt:i4>
      </vt:variant>
      <vt:variant>
        <vt:i4>5</vt:i4>
      </vt:variant>
      <vt:variant>
        <vt:lpwstr/>
      </vt:variant>
      <vt:variant>
        <vt:lpwstr>_ENREF_4</vt:lpwstr>
      </vt:variant>
      <vt:variant>
        <vt:i4>4194315</vt:i4>
      </vt:variant>
      <vt:variant>
        <vt:i4>75</vt:i4>
      </vt:variant>
      <vt:variant>
        <vt:i4>0</vt:i4>
      </vt:variant>
      <vt:variant>
        <vt:i4>5</vt:i4>
      </vt:variant>
      <vt:variant>
        <vt:lpwstr/>
      </vt:variant>
      <vt:variant>
        <vt:lpwstr>_ENREF_14</vt:lpwstr>
      </vt:variant>
      <vt:variant>
        <vt:i4>4194315</vt:i4>
      </vt:variant>
      <vt:variant>
        <vt:i4>69</vt:i4>
      </vt:variant>
      <vt:variant>
        <vt:i4>0</vt:i4>
      </vt:variant>
      <vt:variant>
        <vt:i4>5</vt:i4>
      </vt:variant>
      <vt:variant>
        <vt:lpwstr/>
      </vt:variant>
      <vt:variant>
        <vt:lpwstr>_ENREF_13</vt:lpwstr>
      </vt:variant>
      <vt:variant>
        <vt:i4>4194315</vt:i4>
      </vt:variant>
      <vt:variant>
        <vt:i4>66</vt:i4>
      </vt:variant>
      <vt:variant>
        <vt:i4>0</vt:i4>
      </vt:variant>
      <vt:variant>
        <vt:i4>5</vt:i4>
      </vt:variant>
      <vt:variant>
        <vt:lpwstr/>
      </vt:variant>
      <vt:variant>
        <vt:lpwstr>_ENREF_12</vt:lpwstr>
      </vt:variant>
      <vt:variant>
        <vt:i4>4194315</vt:i4>
      </vt:variant>
      <vt:variant>
        <vt:i4>60</vt:i4>
      </vt:variant>
      <vt:variant>
        <vt:i4>0</vt:i4>
      </vt:variant>
      <vt:variant>
        <vt:i4>5</vt:i4>
      </vt:variant>
      <vt:variant>
        <vt:lpwstr/>
      </vt:variant>
      <vt:variant>
        <vt:lpwstr>_ENREF_11</vt:lpwstr>
      </vt:variant>
      <vt:variant>
        <vt:i4>4194315</vt:i4>
      </vt:variant>
      <vt:variant>
        <vt:i4>57</vt:i4>
      </vt:variant>
      <vt:variant>
        <vt:i4>0</vt:i4>
      </vt:variant>
      <vt:variant>
        <vt:i4>5</vt:i4>
      </vt:variant>
      <vt:variant>
        <vt:lpwstr/>
      </vt:variant>
      <vt:variant>
        <vt:lpwstr>_ENREF_10</vt:lpwstr>
      </vt:variant>
      <vt:variant>
        <vt:i4>4718603</vt:i4>
      </vt:variant>
      <vt:variant>
        <vt:i4>49</vt:i4>
      </vt:variant>
      <vt:variant>
        <vt:i4>0</vt:i4>
      </vt:variant>
      <vt:variant>
        <vt:i4>5</vt:i4>
      </vt:variant>
      <vt:variant>
        <vt:lpwstr/>
      </vt:variant>
      <vt:variant>
        <vt:lpwstr>_ENREF_9</vt:lpwstr>
      </vt:variant>
      <vt:variant>
        <vt:i4>4784139</vt:i4>
      </vt:variant>
      <vt:variant>
        <vt:i4>43</vt:i4>
      </vt:variant>
      <vt:variant>
        <vt:i4>0</vt:i4>
      </vt:variant>
      <vt:variant>
        <vt:i4>5</vt:i4>
      </vt:variant>
      <vt:variant>
        <vt:lpwstr/>
      </vt:variant>
      <vt:variant>
        <vt:lpwstr>_ENREF_8</vt:lpwstr>
      </vt:variant>
      <vt:variant>
        <vt:i4>4587531</vt:i4>
      </vt:variant>
      <vt:variant>
        <vt:i4>40</vt:i4>
      </vt:variant>
      <vt:variant>
        <vt:i4>0</vt:i4>
      </vt:variant>
      <vt:variant>
        <vt:i4>5</vt:i4>
      </vt:variant>
      <vt:variant>
        <vt:lpwstr/>
      </vt:variant>
      <vt:variant>
        <vt:lpwstr>_ENREF_7</vt:lpwstr>
      </vt:variant>
      <vt:variant>
        <vt:i4>4653067</vt:i4>
      </vt:variant>
      <vt:variant>
        <vt:i4>32</vt:i4>
      </vt:variant>
      <vt:variant>
        <vt:i4>0</vt:i4>
      </vt:variant>
      <vt:variant>
        <vt:i4>5</vt:i4>
      </vt:variant>
      <vt:variant>
        <vt:lpwstr/>
      </vt:variant>
      <vt:variant>
        <vt:lpwstr>_ENREF_6</vt:lpwstr>
      </vt:variant>
      <vt:variant>
        <vt:i4>4456459</vt:i4>
      </vt:variant>
      <vt:variant>
        <vt:i4>26</vt:i4>
      </vt:variant>
      <vt:variant>
        <vt:i4>0</vt:i4>
      </vt:variant>
      <vt:variant>
        <vt:i4>5</vt:i4>
      </vt:variant>
      <vt:variant>
        <vt:lpwstr/>
      </vt:variant>
      <vt:variant>
        <vt:lpwstr>_ENREF_5</vt:lpwstr>
      </vt:variant>
      <vt:variant>
        <vt:i4>4521995</vt:i4>
      </vt:variant>
      <vt:variant>
        <vt:i4>20</vt:i4>
      </vt:variant>
      <vt:variant>
        <vt:i4>0</vt:i4>
      </vt:variant>
      <vt:variant>
        <vt:i4>5</vt:i4>
      </vt:variant>
      <vt:variant>
        <vt:lpwstr/>
      </vt:variant>
      <vt:variant>
        <vt:lpwstr>_ENREF_4</vt:lpwstr>
      </vt:variant>
      <vt:variant>
        <vt:i4>4325387</vt:i4>
      </vt:variant>
      <vt:variant>
        <vt:i4>14</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to Help Hospitals Get Started</dc:title>
  <dc:subject>How Patient and Family Engagement Benefits Your Hospital</dc:subject>
  <dc:creator>Agency for Healthcare Research and Quality</dc:creator>
  <cp:keywords>patient- and family-centered care; quality and safety; patient outcomes; financial performance; staff recruitment and retention; CAHPS® Hospital Survey; Joint Commission standards</cp:keywords>
  <cp:lastModifiedBy>temp_cjohnson</cp:lastModifiedBy>
  <cp:revision>5</cp:revision>
  <cp:lastPrinted>2011-07-28T13:09:00Z</cp:lastPrinted>
  <dcterms:created xsi:type="dcterms:W3CDTF">2013-05-16T13:42:00Z</dcterms:created>
  <dcterms:modified xsi:type="dcterms:W3CDTF">2013-05-21T15:58:00Z</dcterms:modified>
  <cp:category>Guide to Patient and Family Engagement</cp:category>
</cp:coreProperties>
</file>