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C1" w:rsidRDefault="006048C1">
      <w:pPr>
        <w:rPr>
          <w:rFonts w:ascii="Calibri" w:hAnsi="Calibri" w:cs="Calibri"/>
          <w:b/>
          <w:sz w:val="26"/>
          <w:szCs w:val="26"/>
        </w:rPr>
      </w:pPr>
      <w:bookmarkStart w:id="0" w:name="_GoBack"/>
      <w:bookmarkEnd w:id="0"/>
    </w:p>
    <w:p w:rsidR="008663A8" w:rsidRPr="008663A8" w:rsidRDefault="008663A8" w:rsidP="008663A8">
      <w:pPr>
        <w:keepNext/>
        <w:spacing w:after="120"/>
        <w:outlineLvl w:val="2"/>
        <w:rPr>
          <w:b/>
          <w:bCs/>
          <w:sz w:val="24"/>
          <w:szCs w:val="24"/>
        </w:rPr>
      </w:pPr>
      <w:bookmarkStart w:id="1" w:name="_2B:_Quality_Improvement"/>
      <w:bookmarkStart w:id="2" w:name="_Toc332135144"/>
      <w:bookmarkStart w:id="3" w:name="_Toc332373579"/>
      <w:bookmarkStart w:id="4" w:name="_Toc334978049"/>
      <w:bookmarkStart w:id="5" w:name="_Toc335210884"/>
      <w:bookmarkStart w:id="6" w:name="_Toc336583059"/>
      <w:bookmarkStart w:id="7" w:name="_Toc337028915"/>
      <w:bookmarkStart w:id="8" w:name="_Toc337981978"/>
      <w:bookmarkStart w:id="9" w:name="_Toc340757822"/>
      <w:bookmarkEnd w:id="1"/>
      <w:r w:rsidRPr="008663A8">
        <w:rPr>
          <w:b/>
          <w:bCs/>
          <w:sz w:val="24"/>
          <w:szCs w:val="24"/>
        </w:rPr>
        <w:t>2B: Quality Improvement Process</w:t>
      </w:r>
      <w:bookmarkEnd w:id="2"/>
      <w:bookmarkEnd w:id="3"/>
      <w:bookmarkEnd w:id="4"/>
      <w:bookmarkEnd w:id="5"/>
      <w:bookmarkEnd w:id="6"/>
      <w:bookmarkEnd w:id="7"/>
      <w:bookmarkEnd w:id="8"/>
      <w:bookmarkEnd w:id="9"/>
    </w:p>
    <w:p w:rsidR="008663A8" w:rsidRPr="008663A8" w:rsidRDefault="008663A8" w:rsidP="008663A8">
      <w:pPr>
        <w:pBdr>
          <w:top w:val="single" w:sz="4" w:space="1" w:color="auto"/>
          <w:left w:val="single" w:sz="4" w:space="4" w:color="auto"/>
          <w:bottom w:val="single" w:sz="4" w:space="1" w:color="auto"/>
          <w:right w:val="single" w:sz="4" w:space="4" w:color="auto"/>
        </w:pBdr>
        <w:spacing w:after="240"/>
        <w:rPr>
          <w:rFonts w:ascii="Times New Roman" w:eastAsia="Calibri" w:hAnsi="Times New Roman"/>
          <w:sz w:val="24"/>
          <w:szCs w:val="24"/>
        </w:rPr>
      </w:pPr>
      <w:r w:rsidRPr="008663A8">
        <w:rPr>
          <w:rFonts w:ascii="Times New Roman" w:eastAsia="Calibri" w:hAnsi="Times New Roman"/>
          <w:b/>
          <w:sz w:val="24"/>
          <w:szCs w:val="24"/>
        </w:rPr>
        <w:t>Background:</w:t>
      </w:r>
      <w:r w:rsidRPr="008663A8">
        <w:rPr>
          <w:rFonts w:ascii="Times New Roman" w:eastAsia="Calibri" w:hAnsi="Times New Roman"/>
          <w:sz w:val="24"/>
          <w:szCs w:val="24"/>
        </w:rPr>
        <w:t xml:space="preserve"> This tool was originally part of the Turning Point Initiative and was updated in 2012 as part of the Public Health Performance Management System Framework. It can be used to assess if an organization has the needed systems in place to improve quality and performance. </w:t>
      </w:r>
    </w:p>
    <w:p w:rsidR="008663A8" w:rsidRPr="008663A8" w:rsidRDefault="008663A8" w:rsidP="008663A8">
      <w:pPr>
        <w:pBdr>
          <w:top w:val="single" w:sz="4" w:space="1" w:color="auto"/>
          <w:left w:val="single" w:sz="4" w:space="4" w:color="auto"/>
          <w:bottom w:val="single" w:sz="4" w:space="1" w:color="auto"/>
          <w:right w:val="single" w:sz="4" w:space="4" w:color="auto"/>
        </w:pBdr>
        <w:spacing w:after="240"/>
        <w:rPr>
          <w:rFonts w:ascii="Times New Roman" w:eastAsia="Calibri" w:hAnsi="Times New Roman"/>
          <w:sz w:val="24"/>
          <w:szCs w:val="24"/>
        </w:rPr>
      </w:pPr>
      <w:r w:rsidRPr="008663A8">
        <w:rPr>
          <w:rFonts w:ascii="Times New Roman" w:eastAsia="Calibri" w:hAnsi="Times New Roman"/>
          <w:b/>
          <w:sz w:val="24"/>
          <w:szCs w:val="24"/>
        </w:rPr>
        <w:t xml:space="preserve">Reference: </w:t>
      </w:r>
      <w:r w:rsidRPr="008663A8">
        <w:rPr>
          <w:rFonts w:ascii="Times New Roman" w:eastAsia="Calibri" w:hAnsi="Times New Roman"/>
          <w:sz w:val="24"/>
          <w:szCs w:val="24"/>
        </w:rPr>
        <w:t xml:space="preserve">Public Health Performance Management System Framework. Available at: </w:t>
      </w:r>
      <w:hyperlink r:id="rId9" w:history="1">
        <w:r w:rsidRPr="008663A8">
          <w:rPr>
            <w:rFonts w:ascii="Times New Roman" w:eastAsia="Calibri" w:hAnsi="Times New Roman"/>
            <w:color w:val="0000FF"/>
            <w:sz w:val="24"/>
            <w:szCs w:val="24"/>
            <w:u w:val="single"/>
          </w:rPr>
          <w:t>http://www.phf.org/focusareas/performancemanagement/toolkit/Pages/PM_Toolkit_Self_Assessment.aspx</w:t>
        </w:r>
      </w:hyperlink>
      <w:r w:rsidRPr="008663A8">
        <w:rPr>
          <w:rFonts w:ascii="Times New Roman" w:eastAsia="Calibri" w:hAnsi="Times New Roman"/>
          <w:sz w:val="24"/>
          <w:szCs w:val="24"/>
        </w:rPr>
        <w:t xml:space="preserve"> </w:t>
      </w:r>
    </w:p>
    <w:p w:rsidR="008663A8" w:rsidRPr="008663A8" w:rsidRDefault="008663A8" w:rsidP="008663A8">
      <w:pPr>
        <w:pBdr>
          <w:top w:val="single" w:sz="4" w:space="1" w:color="auto"/>
          <w:left w:val="single" w:sz="4" w:space="4" w:color="auto"/>
          <w:bottom w:val="single" w:sz="4" w:space="1" w:color="auto"/>
          <w:right w:val="single" w:sz="4" w:space="4" w:color="auto"/>
        </w:pBdr>
        <w:spacing w:after="240"/>
        <w:rPr>
          <w:rFonts w:ascii="Times New Roman" w:eastAsia="Calibri" w:hAnsi="Times New Roman"/>
          <w:sz w:val="24"/>
          <w:szCs w:val="24"/>
        </w:rPr>
      </w:pPr>
      <w:r w:rsidRPr="008663A8">
        <w:rPr>
          <w:rFonts w:ascii="Times New Roman" w:eastAsia="Calibri" w:hAnsi="Times New Roman"/>
          <w:b/>
          <w:sz w:val="24"/>
          <w:szCs w:val="24"/>
        </w:rPr>
        <w:t xml:space="preserve">How to use this tool: </w:t>
      </w:r>
      <w:r w:rsidRPr="008663A8">
        <w:rPr>
          <w:rFonts w:ascii="Times New Roman" w:eastAsia="Calibri" w:hAnsi="Times New Roman"/>
          <w:sz w:val="24"/>
          <w:szCs w:val="24"/>
        </w:rPr>
        <w:t>This tool should be filled out by the Implementation Team leader (or individual designated by the leader) in consultation with the QI department. Check the box that most accurately describes your organization’s current resources. If you find that your organization has fully operationalized QI processes, connect the fall prevention initiative with these existing processes. If some processes are missing, advocate for them to be put into place in the context of the fall prevention program.</w:t>
      </w:r>
    </w:p>
    <w:p w:rsidR="009B5CCF" w:rsidRDefault="009B5CCF">
      <w:pPr>
        <w:rPr>
          <w:rFonts w:ascii="Calibri" w:hAnsi="Calibri" w:cs="Calibri"/>
          <w:b/>
          <w:sz w:val="26"/>
          <w:szCs w:val="26"/>
        </w:rPr>
      </w:pPr>
    </w:p>
    <w:p w:rsidR="009B5CCF" w:rsidRDefault="009B5CCF">
      <w:pPr>
        <w:rPr>
          <w:rFonts w:ascii="Calibri" w:hAnsi="Calibri" w:cs="Calibri"/>
          <w:b/>
          <w:sz w:val="26"/>
          <w:szCs w:val="26"/>
        </w:rPr>
      </w:pPr>
    </w:p>
    <w:p w:rsidR="00EA518A" w:rsidRPr="00377E6A" w:rsidRDefault="00377E6A">
      <w:pPr>
        <w:rPr>
          <w:rFonts w:ascii="Calibri" w:hAnsi="Calibri"/>
          <w:i/>
          <w:sz w:val="20"/>
        </w:rPr>
      </w:pPr>
      <w:r w:rsidRPr="00377E6A">
        <w:rPr>
          <w:rFonts w:ascii="Calibri" w:hAnsi="Calibri" w:cs="Calibri"/>
          <w:b/>
          <w:sz w:val="26"/>
          <w:szCs w:val="26"/>
        </w:rPr>
        <w:t>Quality Improvement (QI)</w:t>
      </w:r>
      <w:r w:rsidRPr="00A26F57">
        <w:rPr>
          <w:rFonts w:ascii="Calibri" w:hAnsi="Calibri" w:cs="Calibri"/>
          <w:sz w:val="26"/>
          <w:szCs w:val="26"/>
        </w:rPr>
        <w:t xml:space="preserve"> </w:t>
      </w:r>
      <w:r w:rsidRPr="00377E6A">
        <w:rPr>
          <w:rFonts w:ascii="Calibri" w:hAnsi="Calibri" w:cs="Calibri"/>
          <w:sz w:val="26"/>
          <w:szCs w:val="26"/>
        </w:rPr>
        <w:t>-</w:t>
      </w:r>
      <w:r w:rsidRPr="008113E9">
        <w:rPr>
          <w:rFonts w:ascii="Calibri" w:hAnsi="Calibri" w:cs="Calibri"/>
          <w:b/>
          <w:sz w:val="26"/>
          <w:szCs w:val="26"/>
        </w:rPr>
        <w:t xml:space="preserve"> </w:t>
      </w:r>
      <w:r w:rsidRPr="00377E6A">
        <w:rPr>
          <w:rFonts w:ascii="Calibri" w:hAnsi="Calibri"/>
          <w:i/>
          <w:sz w:val="20"/>
        </w:rPr>
        <w:t>In public health, the use of a deliberate and defined improvement process, such as Plan-Do-Check-Act, that focuses on activities that address community needs and population health improvement.  QI refers to a continuous and ongoing effort to achieve measurable improvements in the efficiency, effectiveness, performance, accountability, outcomes, and other indicators of quality in services or processes which achieve equity and improve the health of the community.</w:t>
      </w:r>
    </w:p>
    <w:p w:rsidR="00377E6A" w:rsidRPr="003805C3" w:rsidRDefault="00377E6A">
      <w:pPr>
        <w:rPr>
          <w:rFonts w:ascii="Calibri" w:hAnsi="Calibri" w:cs="Calibri"/>
          <w:sz w:val="20"/>
        </w:rPr>
      </w:pPr>
    </w:p>
    <w:tbl>
      <w:tblPr>
        <w:tblW w:w="135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900"/>
        <w:gridCol w:w="810"/>
        <w:gridCol w:w="900"/>
        <w:gridCol w:w="5040"/>
      </w:tblGrid>
      <w:tr w:rsidR="00AC7D94" w:rsidRPr="003805C3" w:rsidTr="003C1F2B">
        <w:tblPrEx>
          <w:tblCellMar>
            <w:top w:w="0" w:type="dxa"/>
            <w:bottom w:w="0" w:type="dxa"/>
          </w:tblCellMar>
        </w:tblPrEx>
        <w:trPr>
          <w:cantSplit/>
          <w:trHeight w:val="494"/>
          <w:tblHeader/>
        </w:trPr>
        <w:tc>
          <w:tcPr>
            <w:tcW w:w="5850" w:type="dxa"/>
            <w:shd w:val="pct10" w:color="auto" w:fill="FFFFFF"/>
          </w:tcPr>
          <w:p w:rsidR="00AC7D94" w:rsidRPr="003805C3" w:rsidRDefault="00AC7D94">
            <w:pPr>
              <w:pStyle w:val="Heading1"/>
              <w:rPr>
                <w:rFonts w:ascii="Calibri" w:hAnsi="Calibri" w:cs="Calibri"/>
                <w:sz w:val="20"/>
              </w:rPr>
            </w:pPr>
          </w:p>
        </w:tc>
        <w:tc>
          <w:tcPr>
            <w:tcW w:w="900" w:type="dxa"/>
            <w:shd w:val="pct10" w:color="auto" w:fill="FFFFFF"/>
            <w:vAlign w:val="bottom"/>
          </w:tcPr>
          <w:p w:rsidR="00AC7D94" w:rsidRPr="00AC7D94" w:rsidRDefault="00AC7D94" w:rsidP="00453684">
            <w:pPr>
              <w:pStyle w:val="Heading1"/>
              <w:jc w:val="center"/>
              <w:rPr>
                <w:rFonts w:ascii="Calibri" w:hAnsi="Calibri" w:cs="Calibri"/>
                <w:sz w:val="19"/>
                <w:szCs w:val="19"/>
                <w:u w:val="none"/>
              </w:rPr>
            </w:pPr>
            <w:r w:rsidRPr="00AC7D94">
              <w:rPr>
                <w:rFonts w:ascii="Calibri" w:hAnsi="Calibri" w:cs="Calibri"/>
                <w:sz w:val="19"/>
                <w:szCs w:val="19"/>
                <w:u w:val="none"/>
              </w:rPr>
              <w:t>Never/</w:t>
            </w:r>
          </w:p>
          <w:p w:rsidR="00AC7D94" w:rsidRPr="00AC7D94" w:rsidRDefault="00AC7D94" w:rsidP="00453684">
            <w:pPr>
              <w:pStyle w:val="Heading1"/>
              <w:jc w:val="center"/>
              <w:rPr>
                <w:rFonts w:ascii="Calibri" w:hAnsi="Calibri" w:cs="Calibri"/>
                <w:sz w:val="19"/>
                <w:szCs w:val="19"/>
                <w:u w:val="none"/>
              </w:rPr>
            </w:pPr>
            <w:r w:rsidRPr="00AC7D94">
              <w:rPr>
                <w:rFonts w:ascii="Calibri" w:hAnsi="Calibri" w:cs="Calibri"/>
                <w:sz w:val="19"/>
                <w:szCs w:val="19"/>
                <w:u w:val="none"/>
              </w:rPr>
              <w:t>Almost Never</w:t>
            </w:r>
          </w:p>
        </w:tc>
        <w:tc>
          <w:tcPr>
            <w:tcW w:w="810" w:type="dxa"/>
            <w:shd w:val="pct10" w:color="auto" w:fill="FFFFFF"/>
            <w:vAlign w:val="bottom"/>
          </w:tcPr>
          <w:p w:rsidR="00AC7D94" w:rsidRPr="00AC7D94" w:rsidRDefault="00AC7D94" w:rsidP="00453684">
            <w:pPr>
              <w:pStyle w:val="Heading1"/>
              <w:jc w:val="center"/>
              <w:rPr>
                <w:rFonts w:ascii="Calibri" w:hAnsi="Calibri" w:cs="Calibri"/>
                <w:sz w:val="19"/>
                <w:szCs w:val="19"/>
                <w:u w:val="none"/>
              </w:rPr>
            </w:pPr>
            <w:r w:rsidRPr="00AC7D94">
              <w:rPr>
                <w:rFonts w:ascii="Calibri" w:hAnsi="Calibri" w:cs="Calibri"/>
                <w:sz w:val="19"/>
                <w:szCs w:val="19"/>
                <w:u w:val="none"/>
              </w:rPr>
              <w:t>Some-times</w:t>
            </w:r>
          </w:p>
        </w:tc>
        <w:tc>
          <w:tcPr>
            <w:tcW w:w="900" w:type="dxa"/>
            <w:shd w:val="pct10" w:color="auto" w:fill="FFFFFF"/>
            <w:vAlign w:val="bottom"/>
          </w:tcPr>
          <w:p w:rsidR="00AC7D94" w:rsidRPr="00AC7D94" w:rsidRDefault="00AC7D94" w:rsidP="00453684">
            <w:pPr>
              <w:pStyle w:val="Heading1"/>
              <w:jc w:val="center"/>
              <w:rPr>
                <w:rFonts w:ascii="Calibri" w:hAnsi="Calibri" w:cs="Calibri"/>
                <w:sz w:val="19"/>
                <w:szCs w:val="19"/>
                <w:u w:val="none"/>
              </w:rPr>
            </w:pPr>
            <w:r w:rsidRPr="00AC7D94">
              <w:rPr>
                <w:rFonts w:ascii="Calibri" w:hAnsi="Calibri" w:cs="Calibri"/>
                <w:sz w:val="19"/>
                <w:szCs w:val="19"/>
                <w:u w:val="none"/>
              </w:rPr>
              <w:t>Always/</w:t>
            </w:r>
          </w:p>
          <w:p w:rsidR="00AC7D94" w:rsidRPr="00AC7D94" w:rsidRDefault="00AC7D94" w:rsidP="00453684">
            <w:pPr>
              <w:pStyle w:val="Heading1"/>
              <w:jc w:val="center"/>
              <w:rPr>
                <w:rFonts w:ascii="Calibri" w:hAnsi="Calibri" w:cs="Calibri"/>
                <w:sz w:val="19"/>
                <w:szCs w:val="19"/>
                <w:u w:val="none"/>
              </w:rPr>
            </w:pPr>
            <w:r w:rsidRPr="00AC7D94">
              <w:rPr>
                <w:rFonts w:ascii="Calibri" w:hAnsi="Calibri" w:cs="Calibri"/>
                <w:sz w:val="19"/>
                <w:szCs w:val="19"/>
                <w:u w:val="none"/>
              </w:rPr>
              <w:t>Almost Always</w:t>
            </w:r>
          </w:p>
        </w:tc>
        <w:tc>
          <w:tcPr>
            <w:tcW w:w="5040" w:type="dxa"/>
            <w:shd w:val="pct10" w:color="auto" w:fill="FFFFFF"/>
            <w:vAlign w:val="center"/>
          </w:tcPr>
          <w:p w:rsidR="00AC7D94" w:rsidRPr="003805C3" w:rsidRDefault="00AC7D94" w:rsidP="00377E6A">
            <w:pPr>
              <w:pStyle w:val="Heading1"/>
              <w:jc w:val="center"/>
              <w:rPr>
                <w:rFonts w:ascii="Calibri" w:hAnsi="Calibri" w:cs="Calibri"/>
                <w:sz w:val="20"/>
                <w:u w:val="none"/>
              </w:rPr>
            </w:pPr>
            <w:r>
              <w:rPr>
                <w:rFonts w:ascii="Calibri" w:hAnsi="Calibri" w:cs="Calibri"/>
                <w:sz w:val="19"/>
                <w:szCs w:val="19"/>
                <w:u w:val="none"/>
              </w:rPr>
              <w:t>Note details or comments mentioned                                    during the assessment</w:t>
            </w:r>
          </w:p>
        </w:tc>
      </w:tr>
      <w:tr w:rsidR="00F07B60" w:rsidRPr="003805C3" w:rsidTr="003C1F2B">
        <w:tblPrEx>
          <w:tblCellMar>
            <w:top w:w="0" w:type="dxa"/>
            <w:bottom w:w="0" w:type="dxa"/>
          </w:tblCellMar>
        </w:tblPrEx>
        <w:trPr>
          <w:cantSplit/>
        </w:trPr>
        <w:tc>
          <w:tcPr>
            <w:tcW w:w="5850" w:type="dxa"/>
          </w:tcPr>
          <w:p w:rsidR="00377E6A" w:rsidRPr="003805C3" w:rsidRDefault="00377E6A" w:rsidP="00090D01">
            <w:pPr>
              <w:numPr>
                <w:ilvl w:val="0"/>
                <w:numId w:val="3"/>
              </w:numPr>
              <w:rPr>
                <w:rFonts w:ascii="Calibri" w:hAnsi="Calibri" w:cs="Calibri"/>
                <w:sz w:val="20"/>
              </w:rPr>
            </w:pPr>
            <w:r>
              <w:rPr>
                <w:rFonts w:ascii="Calibri" w:hAnsi="Calibri" w:cs="Calibri"/>
                <w:sz w:val="20"/>
              </w:rPr>
              <w:t>One or more processes</w:t>
            </w:r>
            <w:r w:rsidRPr="003805C3">
              <w:rPr>
                <w:rFonts w:ascii="Calibri" w:hAnsi="Calibri" w:cs="Calibri"/>
                <w:sz w:val="20"/>
              </w:rPr>
              <w:t xml:space="preserve"> exist to improve quality or performance</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Pr>
          <w:p w:rsidR="00377E6A" w:rsidRPr="003805C3" w:rsidRDefault="00377E6A" w:rsidP="001A277C">
            <w:pPr>
              <w:pStyle w:val="bullet"/>
              <w:numPr>
                <w:ilvl w:val="0"/>
                <w:numId w:val="17"/>
              </w:numPr>
              <w:tabs>
                <w:tab w:val="clear" w:pos="360"/>
                <w:tab w:val="num" w:pos="720"/>
              </w:tabs>
              <w:ind w:left="720"/>
              <w:rPr>
                <w:rFonts w:ascii="Calibri" w:hAnsi="Calibri" w:cs="Calibri"/>
                <w:sz w:val="20"/>
              </w:rPr>
            </w:pPr>
            <w:r w:rsidRPr="003805C3">
              <w:rPr>
                <w:rFonts w:ascii="Calibri" w:hAnsi="Calibri" w:cs="Calibri"/>
                <w:sz w:val="20"/>
              </w:rPr>
              <w:t>There is an entity or person responsible for decision-making based on performance reports (e.g., top management team, governing or advisory board)</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Pr>
          <w:p w:rsidR="00377E6A" w:rsidRPr="003805C3" w:rsidRDefault="00377E6A" w:rsidP="00090D01">
            <w:pPr>
              <w:numPr>
                <w:ilvl w:val="0"/>
                <w:numId w:val="17"/>
              </w:numPr>
              <w:tabs>
                <w:tab w:val="clear" w:pos="360"/>
                <w:tab w:val="num" w:pos="720"/>
              </w:tabs>
              <w:ind w:left="720"/>
              <w:rPr>
                <w:rFonts w:ascii="Calibri" w:hAnsi="Calibri" w:cs="Calibri"/>
                <w:sz w:val="20"/>
              </w:rPr>
            </w:pPr>
            <w:r w:rsidRPr="003805C3">
              <w:rPr>
                <w:rFonts w:ascii="Calibri" w:hAnsi="Calibri" w:cs="Calibri"/>
                <w:sz w:val="20"/>
              </w:rPr>
              <w:t xml:space="preserve">There </w:t>
            </w:r>
            <w:r>
              <w:rPr>
                <w:rFonts w:ascii="Calibri" w:hAnsi="Calibri" w:cs="Calibri"/>
                <w:sz w:val="20"/>
              </w:rPr>
              <w:t xml:space="preserve">is </w:t>
            </w:r>
            <w:r w:rsidRPr="003805C3">
              <w:rPr>
                <w:rFonts w:ascii="Calibri" w:hAnsi="Calibri" w:cs="Calibri"/>
                <w:sz w:val="20"/>
              </w:rPr>
              <w:t xml:space="preserve">a regular timetable for </w:t>
            </w:r>
            <w:r>
              <w:rPr>
                <w:rFonts w:ascii="Calibri" w:hAnsi="Calibri" w:cs="Calibri"/>
                <w:sz w:val="20"/>
              </w:rPr>
              <w:t>QI processes</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Borders>
              <w:bottom w:val="nil"/>
            </w:tcBorders>
          </w:tcPr>
          <w:p w:rsidR="00377E6A" w:rsidRPr="003805C3" w:rsidRDefault="00377E6A" w:rsidP="001A277C">
            <w:pPr>
              <w:numPr>
                <w:ilvl w:val="0"/>
                <w:numId w:val="17"/>
              </w:numPr>
              <w:tabs>
                <w:tab w:val="clear" w:pos="360"/>
                <w:tab w:val="num" w:pos="720"/>
              </w:tabs>
              <w:ind w:left="720"/>
              <w:rPr>
                <w:rFonts w:ascii="Calibri" w:hAnsi="Calibri" w:cs="Calibri"/>
                <w:sz w:val="20"/>
              </w:rPr>
            </w:pPr>
            <w:r w:rsidRPr="003805C3">
              <w:rPr>
                <w:rFonts w:ascii="Calibri" w:hAnsi="Calibri" w:cs="Calibri"/>
                <w:sz w:val="20"/>
              </w:rPr>
              <w:t xml:space="preserve">The steps in the </w:t>
            </w:r>
            <w:r>
              <w:rPr>
                <w:rFonts w:ascii="Calibri" w:hAnsi="Calibri" w:cs="Calibri"/>
                <w:sz w:val="20"/>
              </w:rPr>
              <w:t xml:space="preserve">QI </w:t>
            </w:r>
            <w:r w:rsidRPr="003805C3">
              <w:rPr>
                <w:rFonts w:ascii="Calibri" w:hAnsi="Calibri" w:cs="Calibri"/>
                <w:sz w:val="20"/>
              </w:rPr>
              <w:t xml:space="preserve">process are </w:t>
            </w:r>
            <w:r>
              <w:rPr>
                <w:rFonts w:ascii="Calibri" w:hAnsi="Calibri" w:cs="Calibri"/>
                <w:sz w:val="20"/>
              </w:rPr>
              <w:t xml:space="preserve">effectively </w:t>
            </w:r>
            <w:r w:rsidRPr="003805C3">
              <w:rPr>
                <w:rFonts w:ascii="Calibri" w:hAnsi="Calibri" w:cs="Calibri"/>
                <w:sz w:val="20"/>
              </w:rPr>
              <w:t>communicated</w:t>
            </w:r>
          </w:p>
        </w:tc>
        <w:tc>
          <w:tcPr>
            <w:tcW w:w="900" w:type="dxa"/>
            <w:tcBorders>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bottom w:val="nil"/>
            </w:tcBorders>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Borders>
              <w:bottom w:val="nil"/>
            </w:tcBorders>
          </w:tcPr>
          <w:p w:rsidR="00377E6A" w:rsidRPr="003805C3" w:rsidRDefault="00377E6A" w:rsidP="00090D01">
            <w:pPr>
              <w:pStyle w:val="bullet"/>
              <w:numPr>
                <w:ilvl w:val="0"/>
                <w:numId w:val="3"/>
              </w:numPr>
              <w:rPr>
                <w:rFonts w:ascii="Calibri" w:hAnsi="Calibri" w:cs="Calibri"/>
                <w:sz w:val="20"/>
              </w:rPr>
            </w:pPr>
            <w:r w:rsidRPr="003805C3">
              <w:rPr>
                <w:rFonts w:ascii="Calibri" w:hAnsi="Calibri" w:cs="Calibri"/>
                <w:sz w:val="20"/>
              </w:rPr>
              <w:t xml:space="preserve">Managers and employees are evaluated for their performance improvement efforts (i.e., performance improvement is in </w:t>
            </w:r>
            <w:r>
              <w:rPr>
                <w:rFonts w:ascii="Calibri" w:hAnsi="Calibri" w:cs="Calibri"/>
                <w:sz w:val="20"/>
              </w:rPr>
              <w:t>employees’</w:t>
            </w:r>
            <w:r w:rsidRPr="003805C3">
              <w:rPr>
                <w:rFonts w:ascii="Calibri" w:hAnsi="Calibri" w:cs="Calibri"/>
                <w:sz w:val="20"/>
              </w:rPr>
              <w:t xml:space="preserve"> job descriptions</w:t>
            </w:r>
            <w:r>
              <w:rPr>
                <w:rFonts w:ascii="Calibri" w:hAnsi="Calibri" w:cs="Calibri"/>
                <w:sz w:val="20"/>
              </w:rPr>
              <w:t xml:space="preserve"> and/or annual reviews</w:t>
            </w:r>
            <w:r w:rsidRPr="003805C3">
              <w:rPr>
                <w:rFonts w:ascii="Calibri" w:hAnsi="Calibri" w:cs="Calibri"/>
                <w:sz w:val="20"/>
              </w:rPr>
              <w:t>)</w:t>
            </w:r>
          </w:p>
        </w:tc>
        <w:tc>
          <w:tcPr>
            <w:tcW w:w="900" w:type="dxa"/>
            <w:tcBorders>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bottom w:val="nil"/>
            </w:tcBorders>
          </w:tcPr>
          <w:p w:rsidR="00377E6A" w:rsidRPr="003805C3" w:rsidRDefault="00377E6A" w:rsidP="00C47C51">
            <w:pPr>
              <w:jc w:val="center"/>
              <w:rPr>
                <w:rFonts w:ascii="Calibri" w:hAnsi="Calibri" w:cs="Calibri"/>
                <w:sz w:val="20"/>
              </w:rPr>
            </w:pPr>
          </w:p>
        </w:tc>
      </w:tr>
      <w:tr w:rsidR="00F07B60" w:rsidRPr="003805C3" w:rsidTr="006048C1">
        <w:tblPrEx>
          <w:tblCellMar>
            <w:top w:w="0" w:type="dxa"/>
            <w:bottom w:w="0" w:type="dxa"/>
          </w:tblCellMar>
        </w:tblPrEx>
        <w:trPr>
          <w:cantSplit/>
          <w:trHeight w:val="422"/>
        </w:trPr>
        <w:tc>
          <w:tcPr>
            <w:tcW w:w="5850" w:type="dxa"/>
            <w:tcBorders>
              <w:bottom w:val="single" w:sz="4" w:space="0" w:color="auto"/>
            </w:tcBorders>
          </w:tcPr>
          <w:p w:rsidR="00377E6A" w:rsidRPr="003805C3" w:rsidRDefault="00377E6A" w:rsidP="00F217D1">
            <w:pPr>
              <w:pStyle w:val="bullet"/>
              <w:numPr>
                <w:ilvl w:val="0"/>
                <w:numId w:val="3"/>
              </w:numPr>
              <w:rPr>
                <w:rFonts w:ascii="Calibri" w:hAnsi="Calibri" w:cs="Calibri"/>
                <w:sz w:val="20"/>
              </w:rPr>
            </w:pPr>
            <w:r w:rsidRPr="003805C3">
              <w:rPr>
                <w:rFonts w:ascii="Calibri" w:hAnsi="Calibri" w:cs="Calibri"/>
                <w:sz w:val="20"/>
              </w:rPr>
              <w:t>Performance reports are used regularly for decision-making</w:t>
            </w:r>
          </w:p>
        </w:tc>
        <w:tc>
          <w:tcPr>
            <w:tcW w:w="900" w:type="dxa"/>
            <w:tcBorders>
              <w:bottom w:val="single" w:sz="4" w:space="0" w:color="auto"/>
            </w:tcBorders>
          </w:tcPr>
          <w:p w:rsidR="00377E6A" w:rsidRPr="003805C3" w:rsidRDefault="00377E6A" w:rsidP="006048C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bottom w:val="single" w:sz="4" w:space="0" w:color="auto"/>
            </w:tcBorders>
          </w:tcPr>
          <w:p w:rsidR="00377E6A" w:rsidRPr="003805C3" w:rsidRDefault="00377E6A" w:rsidP="006048C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bottom w:val="single" w:sz="4" w:space="0" w:color="auto"/>
            </w:tcBorders>
          </w:tcPr>
          <w:p w:rsidR="00377E6A" w:rsidRPr="003805C3" w:rsidRDefault="00377E6A" w:rsidP="006048C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bottom w:val="single" w:sz="4" w:space="0" w:color="auto"/>
            </w:tcBorders>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Borders>
              <w:top w:val="nil"/>
            </w:tcBorders>
          </w:tcPr>
          <w:p w:rsidR="00377E6A" w:rsidRPr="003805C3" w:rsidRDefault="00377E6A">
            <w:pPr>
              <w:pStyle w:val="bullet"/>
              <w:numPr>
                <w:ilvl w:val="0"/>
                <w:numId w:val="3"/>
              </w:numPr>
              <w:rPr>
                <w:rFonts w:ascii="Calibri" w:hAnsi="Calibri" w:cs="Calibri"/>
                <w:snapToGrid w:val="0"/>
                <w:sz w:val="20"/>
              </w:rPr>
            </w:pPr>
            <w:r w:rsidRPr="003805C3">
              <w:rPr>
                <w:rFonts w:ascii="Calibri" w:hAnsi="Calibri" w:cs="Calibri"/>
                <w:snapToGrid w:val="0"/>
                <w:sz w:val="20"/>
              </w:rPr>
              <w:t xml:space="preserve">Performance </w:t>
            </w:r>
            <w:r>
              <w:rPr>
                <w:rFonts w:ascii="Calibri" w:hAnsi="Calibri" w:cs="Calibri"/>
                <w:snapToGrid w:val="0"/>
                <w:sz w:val="20"/>
              </w:rPr>
              <w:t>data are</w:t>
            </w:r>
            <w:r w:rsidRPr="003805C3">
              <w:rPr>
                <w:rFonts w:ascii="Calibri" w:hAnsi="Calibri" w:cs="Calibri"/>
                <w:snapToGrid w:val="0"/>
                <w:sz w:val="20"/>
              </w:rPr>
              <w:t xml:space="preserve"> used to do the following</w:t>
            </w:r>
          </w:p>
          <w:p w:rsidR="00377E6A" w:rsidRPr="003805C3" w:rsidRDefault="00377E6A">
            <w:pPr>
              <w:pStyle w:val="bullet"/>
              <w:numPr>
                <w:ilvl w:val="0"/>
                <w:numId w:val="0"/>
              </w:numPr>
              <w:ind w:left="360"/>
              <w:rPr>
                <w:rFonts w:ascii="Calibri" w:hAnsi="Calibri" w:cs="Calibri"/>
                <w:snapToGrid w:val="0"/>
                <w:sz w:val="20"/>
              </w:rPr>
            </w:pPr>
            <w:r w:rsidRPr="003805C3">
              <w:rPr>
                <w:rFonts w:ascii="Calibri" w:hAnsi="Calibri" w:cs="Calibri"/>
                <w:snapToGrid w:val="0"/>
                <w:sz w:val="20"/>
              </w:rPr>
              <w:t>(check all that apply)</w:t>
            </w:r>
          </w:p>
        </w:tc>
        <w:tc>
          <w:tcPr>
            <w:tcW w:w="900" w:type="dxa"/>
            <w:tcBorders>
              <w:top w:val="nil"/>
            </w:tcBorders>
            <w:vAlign w:val="center"/>
          </w:tcPr>
          <w:p w:rsidR="00377E6A" w:rsidRPr="003805C3" w:rsidRDefault="00377E6A" w:rsidP="00C47C51">
            <w:pPr>
              <w:jc w:val="center"/>
              <w:rPr>
                <w:rFonts w:ascii="Calibri" w:hAnsi="Calibri" w:cs="Calibri"/>
                <w:sz w:val="20"/>
              </w:rPr>
            </w:pPr>
          </w:p>
        </w:tc>
        <w:tc>
          <w:tcPr>
            <w:tcW w:w="810" w:type="dxa"/>
            <w:tcBorders>
              <w:top w:val="nil"/>
            </w:tcBorders>
            <w:vAlign w:val="center"/>
          </w:tcPr>
          <w:p w:rsidR="00377E6A" w:rsidRPr="003805C3" w:rsidRDefault="00377E6A" w:rsidP="00C47C51">
            <w:pPr>
              <w:jc w:val="center"/>
              <w:rPr>
                <w:rFonts w:ascii="Calibri" w:hAnsi="Calibri" w:cs="Calibri"/>
                <w:sz w:val="20"/>
              </w:rPr>
            </w:pPr>
          </w:p>
        </w:tc>
        <w:tc>
          <w:tcPr>
            <w:tcW w:w="900" w:type="dxa"/>
            <w:tcBorders>
              <w:top w:val="nil"/>
            </w:tcBorders>
            <w:vAlign w:val="center"/>
          </w:tcPr>
          <w:p w:rsidR="00377E6A" w:rsidRPr="003805C3" w:rsidRDefault="00377E6A" w:rsidP="00C47C51">
            <w:pPr>
              <w:jc w:val="center"/>
              <w:rPr>
                <w:rFonts w:ascii="Calibri" w:hAnsi="Calibri" w:cs="Calibri"/>
                <w:sz w:val="20"/>
              </w:rPr>
            </w:pPr>
          </w:p>
        </w:tc>
        <w:tc>
          <w:tcPr>
            <w:tcW w:w="5040" w:type="dxa"/>
            <w:tcBorders>
              <w:top w:val="nil"/>
            </w:tcBorders>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Pr>
          <w:p w:rsidR="00377E6A" w:rsidRPr="003805C3" w:rsidRDefault="00377E6A" w:rsidP="00EA518A">
            <w:pPr>
              <w:numPr>
                <w:ilvl w:val="0"/>
                <w:numId w:val="18"/>
              </w:numPr>
              <w:tabs>
                <w:tab w:val="clear" w:pos="360"/>
                <w:tab w:val="num" w:pos="720"/>
              </w:tabs>
              <w:ind w:left="720"/>
              <w:rPr>
                <w:rFonts w:ascii="Calibri" w:hAnsi="Calibri" w:cs="Calibri"/>
                <w:sz w:val="20"/>
              </w:rPr>
            </w:pPr>
            <w:r w:rsidRPr="003805C3">
              <w:rPr>
                <w:rFonts w:ascii="Calibri" w:hAnsi="Calibri" w:cs="Calibri"/>
                <w:sz w:val="20"/>
              </w:rPr>
              <w:t>Determine areas for more analysis or evaluation</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Pr>
          <w:p w:rsidR="00377E6A" w:rsidRPr="003805C3" w:rsidRDefault="00377E6A" w:rsidP="00EA518A">
            <w:pPr>
              <w:numPr>
                <w:ilvl w:val="0"/>
                <w:numId w:val="18"/>
              </w:numPr>
              <w:tabs>
                <w:tab w:val="clear" w:pos="360"/>
                <w:tab w:val="num" w:pos="720"/>
              </w:tabs>
              <w:ind w:left="720"/>
              <w:rPr>
                <w:rFonts w:ascii="Calibri" w:hAnsi="Calibri" w:cs="Calibri"/>
                <w:sz w:val="20"/>
              </w:rPr>
            </w:pPr>
            <w:r w:rsidRPr="003805C3">
              <w:rPr>
                <w:rFonts w:ascii="Calibri" w:hAnsi="Calibri" w:cs="Calibri"/>
                <w:sz w:val="20"/>
              </w:rPr>
              <w:lastRenderedPageBreak/>
              <w:t>Set priorities and allocate/redirect resources</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Borders>
              <w:bottom w:val="single" w:sz="4" w:space="0" w:color="auto"/>
            </w:tcBorders>
          </w:tcPr>
          <w:p w:rsidR="00377E6A" w:rsidRPr="003805C3" w:rsidRDefault="00377E6A" w:rsidP="00EA518A">
            <w:pPr>
              <w:numPr>
                <w:ilvl w:val="0"/>
                <w:numId w:val="18"/>
              </w:numPr>
              <w:tabs>
                <w:tab w:val="clear" w:pos="360"/>
                <w:tab w:val="num" w:pos="720"/>
              </w:tabs>
              <w:ind w:left="720"/>
              <w:rPr>
                <w:rFonts w:ascii="Calibri" w:hAnsi="Calibri" w:cs="Calibri"/>
                <w:sz w:val="20"/>
              </w:rPr>
            </w:pPr>
            <w:r w:rsidRPr="003805C3">
              <w:rPr>
                <w:rFonts w:ascii="Calibri" w:hAnsi="Calibri" w:cs="Calibri"/>
                <w:sz w:val="20"/>
              </w:rPr>
              <w:t>Inform policy makers of the observed or potential impact of decisions under their consideration</w:t>
            </w:r>
          </w:p>
        </w:tc>
        <w:tc>
          <w:tcPr>
            <w:tcW w:w="900" w:type="dxa"/>
            <w:tcBorders>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bottom w:val="single" w:sz="4" w:space="0" w:color="auto"/>
            </w:tcBorders>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Height w:val="377"/>
        </w:trPr>
        <w:tc>
          <w:tcPr>
            <w:tcW w:w="5850" w:type="dxa"/>
            <w:tcBorders>
              <w:bottom w:val="single" w:sz="4" w:space="0" w:color="auto"/>
            </w:tcBorders>
          </w:tcPr>
          <w:p w:rsidR="00377E6A" w:rsidRPr="003805C3" w:rsidRDefault="00377E6A" w:rsidP="00EA518A">
            <w:pPr>
              <w:numPr>
                <w:ilvl w:val="0"/>
                <w:numId w:val="18"/>
              </w:numPr>
              <w:tabs>
                <w:tab w:val="clear" w:pos="360"/>
                <w:tab w:val="num" w:pos="720"/>
              </w:tabs>
              <w:ind w:left="720"/>
              <w:rPr>
                <w:rFonts w:ascii="Calibri" w:hAnsi="Calibri" w:cs="Calibri"/>
                <w:sz w:val="20"/>
              </w:rPr>
            </w:pPr>
            <w:r>
              <w:rPr>
                <w:rFonts w:ascii="Calibri" w:hAnsi="Calibri" w:cs="Calibri"/>
                <w:sz w:val="20"/>
              </w:rPr>
              <w:t xml:space="preserve">Implement QI projects </w:t>
            </w:r>
          </w:p>
        </w:tc>
        <w:tc>
          <w:tcPr>
            <w:tcW w:w="900" w:type="dxa"/>
            <w:tcBorders>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bottom w:val="single" w:sz="4" w:space="0" w:color="auto"/>
            </w:tcBorders>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Height w:val="350"/>
        </w:trPr>
        <w:tc>
          <w:tcPr>
            <w:tcW w:w="5850" w:type="dxa"/>
            <w:tcBorders>
              <w:bottom w:val="single" w:sz="4" w:space="0" w:color="auto"/>
            </w:tcBorders>
          </w:tcPr>
          <w:p w:rsidR="00377E6A" w:rsidRDefault="00377E6A" w:rsidP="00EA518A">
            <w:pPr>
              <w:numPr>
                <w:ilvl w:val="0"/>
                <w:numId w:val="18"/>
              </w:numPr>
              <w:tabs>
                <w:tab w:val="clear" w:pos="360"/>
                <w:tab w:val="num" w:pos="720"/>
              </w:tabs>
              <w:ind w:left="720"/>
              <w:rPr>
                <w:rFonts w:ascii="Calibri" w:hAnsi="Calibri" w:cs="Calibri"/>
                <w:sz w:val="20"/>
              </w:rPr>
            </w:pPr>
            <w:r>
              <w:rPr>
                <w:rFonts w:ascii="Calibri" w:hAnsi="Calibri" w:cs="Calibri"/>
                <w:sz w:val="20"/>
              </w:rPr>
              <w:t>Make changes to improve performance and outcomes</w:t>
            </w:r>
          </w:p>
        </w:tc>
        <w:tc>
          <w:tcPr>
            <w:tcW w:w="900" w:type="dxa"/>
            <w:tcBorders>
              <w:bottom w:val="single" w:sz="4" w:space="0" w:color="auto"/>
            </w:tcBorders>
            <w:vAlign w:val="center"/>
          </w:tcPr>
          <w:p w:rsidR="00377E6A" w:rsidRPr="003805C3" w:rsidRDefault="00377E6A" w:rsidP="001F6B1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bottom w:val="single" w:sz="4" w:space="0" w:color="auto"/>
            </w:tcBorders>
            <w:vAlign w:val="center"/>
          </w:tcPr>
          <w:p w:rsidR="00377E6A" w:rsidRPr="003805C3" w:rsidRDefault="00377E6A" w:rsidP="001F6B1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bottom w:val="single" w:sz="4" w:space="0" w:color="auto"/>
            </w:tcBorders>
            <w:vAlign w:val="center"/>
          </w:tcPr>
          <w:p w:rsidR="00377E6A" w:rsidRPr="003805C3" w:rsidRDefault="00377E6A" w:rsidP="001F6B1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bottom w:val="single" w:sz="4" w:space="0" w:color="auto"/>
            </w:tcBorders>
          </w:tcPr>
          <w:p w:rsidR="00377E6A" w:rsidRPr="003805C3" w:rsidRDefault="00377E6A" w:rsidP="001F6B11">
            <w:pPr>
              <w:jc w:val="center"/>
              <w:rPr>
                <w:rFonts w:ascii="Calibri" w:hAnsi="Calibri" w:cs="Calibri"/>
                <w:sz w:val="20"/>
              </w:rPr>
            </w:pPr>
          </w:p>
        </w:tc>
      </w:tr>
      <w:tr w:rsidR="00F07B60" w:rsidRPr="003805C3" w:rsidTr="003C1F2B">
        <w:tblPrEx>
          <w:tblCellMar>
            <w:top w:w="0" w:type="dxa"/>
            <w:bottom w:w="0" w:type="dxa"/>
          </w:tblCellMar>
        </w:tblPrEx>
        <w:trPr>
          <w:cantSplit/>
          <w:trHeight w:val="350"/>
        </w:trPr>
        <w:tc>
          <w:tcPr>
            <w:tcW w:w="5850" w:type="dxa"/>
            <w:tcBorders>
              <w:bottom w:val="single" w:sz="4" w:space="0" w:color="auto"/>
            </w:tcBorders>
          </w:tcPr>
          <w:p w:rsidR="00377E6A" w:rsidRDefault="00377E6A" w:rsidP="00EA518A">
            <w:pPr>
              <w:numPr>
                <w:ilvl w:val="0"/>
                <w:numId w:val="18"/>
              </w:numPr>
              <w:tabs>
                <w:tab w:val="clear" w:pos="360"/>
                <w:tab w:val="num" w:pos="720"/>
              </w:tabs>
              <w:ind w:left="720"/>
              <w:rPr>
                <w:rFonts w:ascii="Calibri" w:hAnsi="Calibri" w:cs="Calibri"/>
                <w:sz w:val="20"/>
              </w:rPr>
            </w:pPr>
            <w:r>
              <w:rPr>
                <w:rFonts w:ascii="Calibri" w:hAnsi="Calibri" w:cs="Calibri"/>
                <w:sz w:val="20"/>
              </w:rPr>
              <w:t xml:space="preserve">Improve performance </w:t>
            </w:r>
          </w:p>
        </w:tc>
        <w:tc>
          <w:tcPr>
            <w:tcW w:w="900" w:type="dxa"/>
            <w:tcBorders>
              <w:bottom w:val="single" w:sz="4" w:space="0" w:color="auto"/>
            </w:tcBorders>
            <w:vAlign w:val="center"/>
          </w:tcPr>
          <w:p w:rsidR="00377E6A" w:rsidRPr="003805C3" w:rsidRDefault="00377E6A" w:rsidP="001F6B1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bottom w:val="single" w:sz="4" w:space="0" w:color="auto"/>
            </w:tcBorders>
            <w:vAlign w:val="center"/>
          </w:tcPr>
          <w:p w:rsidR="00377E6A" w:rsidRPr="003805C3" w:rsidRDefault="00377E6A" w:rsidP="001F6B1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bottom w:val="single" w:sz="4" w:space="0" w:color="auto"/>
            </w:tcBorders>
            <w:vAlign w:val="center"/>
          </w:tcPr>
          <w:p w:rsidR="00377E6A" w:rsidRPr="003805C3" w:rsidRDefault="00377E6A" w:rsidP="001F6B1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bottom w:val="single" w:sz="4" w:space="0" w:color="auto"/>
            </w:tcBorders>
          </w:tcPr>
          <w:p w:rsidR="00377E6A" w:rsidRPr="003805C3" w:rsidRDefault="00377E6A" w:rsidP="001F6B1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Borders>
              <w:top w:val="nil"/>
              <w:bottom w:val="single" w:sz="4" w:space="0" w:color="auto"/>
            </w:tcBorders>
          </w:tcPr>
          <w:p w:rsidR="00377E6A" w:rsidRPr="003805C3" w:rsidRDefault="00377E6A" w:rsidP="00090D01">
            <w:pPr>
              <w:numPr>
                <w:ilvl w:val="0"/>
                <w:numId w:val="3"/>
              </w:numPr>
              <w:rPr>
                <w:rFonts w:ascii="Calibri" w:hAnsi="Calibri" w:cs="Calibri"/>
                <w:sz w:val="20"/>
              </w:rPr>
            </w:pPr>
            <w:r w:rsidRPr="003805C3">
              <w:rPr>
                <w:rFonts w:ascii="Calibri" w:hAnsi="Calibri" w:cs="Calibri"/>
                <w:sz w:val="20"/>
              </w:rPr>
              <w:t xml:space="preserve">The </w:t>
            </w:r>
            <w:r>
              <w:rPr>
                <w:rFonts w:ascii="Calibri" w:hAnsi="Calibri" w:cs="Calibri"/>
                <w:sz w:val="20"/>
              </w:rPr>
              <w:t>group (program, organization, or system)</w:t>
            </w:r>
            <w:r w:rsidRPr="003805C3">
              <w:rPr>
                <w:rFonts w:ascii="Calibri" w:hAnsi="Calibri" w:cs="Calibri"/>
                <w:sz w:val="20"/>
              </w:rPr>
              <w:t xml:space="preserve"> has the capacity to take action to improve performance when needed </w:t>
            </w:r>
          </w:p>
        </w:tc>
        <w:tc>
          <w:tcPr>
            <w:tcW w:w="900" w:type="dxa"/>
            <w:tcBorders>
              <w:top w:val="nil"/>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top w:val="nil"/>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top w:val="nil"/>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top w:val="nil"/>
              <w:bottom w:val="single" w:sz="4" w:space="0" w:color="auto"/>
            </w:tcBorders>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Pr>
          <w:p w:rsidR="00377E6A" w:rsidRPr="003805C3" w:rsidRDefault="00377E6A" w:rsidP="001A277C">
            <w:pPr>
              <w:numPr>
                <w:ilvl w:val="0"/>
                <w:numId w:val="19"/>
              </w:numPr>
              <w:tabs>
                <w:tab w:val="clear" w:pos="360"/>
                <w:tab w:val="num" w:pos="720"/>
              </w:tabs>
              <w:ind w:left="720"/>
              <w:rPr>
                <w:rFonts w:ascii="Calibri" w:hAnsi="Calibri" w:cs="Calibri"/>
                <w:sz w:val="20"/>
              </w:rPr>
            </w:pPr>
            <w:r w:rsidRPr="003805C3">
              <w:rPr>
                <w:rFonts w:ascii="Calibri" w:hAnsi="Calibri" w:cs="Calibri"/>
                <w:sz w:val="20"/>
              </w:rPr>
              <w:t>Processes exist to manage changes in policies, programs, or infrastructure</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Pr>
          <w:p w:rsidR="00377E6A" w:rsidRPr="003805C3" w:rsidRDefault="00377E6A" w:rsidP="001A277C">
            <w:pPr>
              <w:numPr>
                <w:ilvl w:val="0"/>
                <w:numId w:val="19"/>
              </w:numPr>
              <w:tabs>
                <w:tab w:val="clear" w:pos="360"/>
                <w:tab w:val="num" w:pos="720"/>
              </w:tabs>
              <w:ind w:left="720"/>
              <w:rPr>
                <w:rFonts w:ascii="Calibri" w:hAnsi="Calibri" w:cs="Calibri"/>
                <w:sz w:val="20"/>
              </w:rPr>
            </w:pPr>
            <w:r w:rsidRPr="003805C3">
              <w:rPr>
                <w:rFonts w:ascii="Calibri" w:hAnsi="Calibri" w:cs="Calibri"/>
                <w:sz w:val="20"/>
              </w:rPr>
              <w:t>Managers have the authority to make certain changes to improve performance</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Borders>
              <w:bottom w:val="nil"/>
            </w:tcBorders>
          </w:tcPr>
          <w:p w:rsidR="00377E6A" w:rsidRPr="003805C3" w:rsidRDefault="00377E6A" w:rsidP="00597CE2">
            <w:pPr>
              <w:numPr>
                <w:ilvl w:val="0"/>
                <w:numId w:val="19"/>
              </w:numPr>
              <w:tabs>
                <w:tab w:val="clear" w:pos="360"/>
                <w:tab w:val="num" w:pos="720"/>
              </w:tabs>
              <w:ind w:left="720"/>
              <w:rPr>
                <w:rFonts w:ascii="Calibri" w:hAnsi="Calibri" w:cs="Calibri"/>
                <w:sz w:val="20"/>
              </w:rPr>
            </w:pPr>
            <w:r w:rsidRPr="003805C3">
              <w:rPr>
                <w:rFonts w:ascii="Calibri" w:hAnsi="Calibri" w:cs="Calibri"/>
                <w:sz w:val="20"/>
              </w:rPr>
              <w:t>S</w:t>
            </w:r>
            <w:r>
              <w:rPr>
                <w:rFonts w:ascii="Calibri" w:hAnsi="Calibri" w:cs="Calibri"/>
                <w:sz w:val="20"/>
              </w:rPr>
              <w:t>taff has</w:t>
            </w:r>
            <w:r w:rsidRPr="003805C3">
              <w:rPr>
                <w:rFonts w:ascii="Calibri" w:hAnsi="Calibri" w:cs="Calibri"/>
                <w:sz w:val="20"/>
              </w:rPr>
              <w:t xml:space="preserve"> the authority to make certain changes to improve performance</w:t>
            </w:r>
          </w:p>
        </w:tc>
        <w:tc>
          <w:tcPr>
            <w:tcW w:w="900" w:type="dxa"/>
            <w:tcBorders>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bottom w:val="nil"/>
            </w:tcBorders>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Borders>
              <w:bottom w:val="single" w:sz="4" w:space="0" w:color="auto"/>
            </w:tcBorders>
          </w:tcPr>
          <w:p w:rsidR="00377E6A" w:rsidRPr="003805C3" w:rsidRDefault="00377E6A" w:rsidP="00F217D1">
            <w:pPr>
              <w:numPr>
                <w:ilvl w:val="0"/>
                <w:numId w:val="3"/>
              </w:numPr>
              <w:rPr>
                <w:rFonts w:ascii="Calibri" w:hAnsi="Calibri" w:cs="Calibri"/>
                <w:sz w:val="20"/>
              </w:rPr>
            </w:pPr>
            <w:r w:rsidRPr="003805C3">
              <w:rPr>
                <w:rFonts w:ascii="Calibri" w:hAnsi="Calibri" w:cs="Calibri"/>
                <w:sz w:val="20"/>
              </w:rPr>
              <w:t>The organization regularly develops performance improvement or QI plans that specify timelines, actions, and responsible parties</w:t>
            </w:r>
          </w:p>
        </w:tc>
        <w:tc>
          <w:tcPr>
            <w:tcW w:w="900" w:type="dxa"/>
            <w:tcBorders>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bottom w:val="single" w:sz="4" w:space="0" w:color="auto"/>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bottom w:val="single" w:sz="4" w:space="0" w:color="auto"/>
            </w:tcBorders>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Borders>
              <w:top w:val="single" w:sz="4" w:space="0" w:color="auto"/>
              <w:bottom w:val="nil"/>
            </w:tcBorders>
          </w:tcPr>
          <w:p w:rsidR="00377E6A" w:rsidRPr="003805C3" w:rsidRDefault="00377E6A" w:rsidP="00090D01">
            <w:pPr>
              <w:pStyle w:val="bullet"/>
              <w:numPr>
                <w:ilvl w:val="0"/>
                <w:numId w:val="3"/>
              </w:numPr>
              <w:rPr>
                <w:rFonts w:ascii="Calibri" w:hAnsi="Calibri" w:cs="Calibri"/>
                <w:sz w:val="20"/>
              </w:rPr>
            </w:pPr>
            <w:r w:rsidRPr="003805C3">
              <w:rPr>
                <w:rFonts w:ascii="Calibri" w:hAnsi="Calibri" w:cs="Calibri"/>
                <w:sz w:val="20"/>
              </w:rPr>
              <w:t xml:space="preserve">There is a process or mechanism to coordinate QI efforts among </w:t>
            </w:r>
            <w:r>
              <w:rPr>
                <w:rFonts w:ascii="Calibri" w:hAnsi="Calibri" w:cs="Calibri"/>
                <w:sz w:val="20"/>
              </w:rPr>
              <w:t>groups</w:t>
            </w:r>
            <w:r w:rsidRPr="003805C3">
              <w:rPr>
                <w:rFonts w:ascii="Calibri" w:hAnsi="Calibri" w:cs="Calibri"/>
                <w:sz w:val="20"/>
              </w:rPr>
              <w:t xml:space="preserve"> that share the same performance targets</w:t>
            </w:r>
          </w:p>
        </w:tc>
        <w:tc>
          <w:tcPr>
            <w:tcW w:w="900" w:type="dxa"/>
            <w:tcBorders>
              <w:top w:val="single" w:sz="4" w:space="0" w:color="auto"/>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tcBorders>
              <w:top w:val="single" w:sz="4" w:space="0" w:color="auto"/>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tcBorders>
              <w:top w:val="single" w:sz="4" w:space="0" w:color="auto"/>
              <w:bottom w:val="nil"/>
            </w:tcBorders>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Borders>
              <w:top w:val="single" w:sz="4" w:space="0" w:color="auto"/>
              <w:bottom w:val="nil"/>
            </w:tcBorders>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Pr>
          <w:p w:rsidR="00377E6A" w:rsidRPr="003805C3" w:rsidRDefault="00377E6A" w:rsidP="00F217D1">
            <w:pPr>
              <w:pStyle w:val="bullet"/>
              <w:numPr>
                <w:ilvl w:val="0"/>
                <w:numId w:val="3"/>
              </w:numPr>
              <w:rPr>
                <w:rFonts w:ascii="Calibri" w:hAnsi="Calibri" w:cs="Calibri"/>
                <w:sz w:val="20"/>
              </w:rPr>
            </w:pPr>
            <w:r w:rsidRPr="003805C3">
              <w:rPr>
                <w:rFonts w:ascii="Calibri" w:hAnsi="Calibri" w:cs="Calibri"/>
                <w:snapToGrid w:val="0"/>
                <w:sz w:val="20"/>
              </w:rPr>
              <w:t>QI training is available to managers and staff</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Pr>
          <w:p w:rsidR="00377E6A" w:rsidRPr="006A41BB" w:rsidRDefault="00377E6A" w:rsidP="00090D01">
            <w:pPr>
              <w:pStyle w:val="bullet"/>
              <w:numPr>
                <w:ilvl w:val="0"/>
                <w:numId w:val="3"/>
              </w:numPr>
              <w:rPr>
                <w:rFonts w:ascii="Calibri" w:hAnsi="Calibri" w:cs="Calibri"/>
                <w:sz w:val="20"/>
              </w:rPr>
            </w:pPr>
            <w:r w:rsidRPr="006A41BB">
              <w:rPr>
                <w:rFonts w:ascii="Calibri" w:hAnsi="Calibri" w:cs="Calibri"/>
                <w:sz w:val="20"/>
              </w:rPr>
              <w:t>Personnel and financial resources are allocated to the organization’s QI process (e.g., a</w:t>
            </w:r>
            <w:r>
              <w:rPr>
                <w:rFonts w:ascii="Calibri" w:hAnsi="Calibri" w:cs="Calibri"/>
                <w:sz w:val="20"/>
              </w:rPr>
              <w:t xml:space="preserve"> QI office</w:t>
            </w:r>
            <w:r w:rsidRPr="006A41BB">
              <w:rPr>
                <w:rFonts w:ascii="Calibri" w:hAnsi="Calibri" w:cs="Calibri"/>
                <w:sz w:val="20"/>
              </w:rPr>
              <w:t xml:space="preserve"> exists, lead QI staff is appointed)</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r w:rsidR="00F07B60" w:rsidRPr="003805C3" w:rsidTr="003C1F2B">
        <w:tblPrEx>
          <w:tblCellMar>
            <w:top w:w="0" w:type="dxa"/>
            <w:bottom w:w="0" w:type="dxa"/>
          </w:tblCellMar>
        </w:tblPrEx>
        <w:trPr>
          <w:cantSplit/>
        </w:trPr>
        <w:tc>
          <w:tcPr>
            <w:tcW w:w="5850" w:type="dxa"/>
          </w:tcPr>
          <w:p w:rsidR="00377E6A" w:rsidRPr="006A41BB" w:rsidRDefault="00377E6A" w:rsidP="006A41BB">
            <w:pPr>
              <w:pStyle w:val="bullet"/>
              <w:numPr>
                <w:ilvl w:val="0"/>
                <w:numId w:val="3"/>
              </w:numPr>
              <w:rPr>
                <w:rFonts w:ascii="Calibri" w:hAnsi="Calibri" w:cs="Calibri"/>
                <w:sz w:val="20"/>
              </w:rPr>
            </w:pPr>
            <w:r w:rsidRPr="006A41BB">
              <w:rPr>
                <w:rFonts w:ascii="Calibri" w:hAnsi="Calibri" w:cs="Calibri"/>
                <w:sz w:val="20"/>
              </w:rPr>
              <w:t xml:space="preserve">QI is practiced widely in the </w:t>
            </w:r>
            <w:r>
              <w:rPr>
                <w:rFonts w:ascii="Calibri" w:hAnsi="Calibri" w:cs="Calibri"/>
                <w:sz w:val="20"/>
              </w:rPr>
              <w:t xml:space="preserve">program, </w:t>
            </w:r>
            <w:r w:rsidRPr="006A41BB">
              <w:rPr>
                <w:rFonts w:ascii="Calibri" w:hAnsi="Calibri" w:cs="Calibri"/>
                <w:sz w:val="20"/>
              </w:rPr>
              <w:t>organization</w:t>
            </w:r>
            <w:r>
              <w:rPr>
                <w:rFonts w:ascii="Calibri" w:hAnsi="Calibri" w:cs="Calibri"/>
                <w:sz w:val="20"/>
              </w:rPr>
              <w:t>, or system</w:t>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81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900" w:type="dxa"/>
            <w:vAlign w:val="center"/>
          </w:tcPr>
          <w:p w:rsidR="00377E6A" w:rsidRPr="003805C3" w:rsidRDefault="00377E6A" w:rsidP="00C47C51">
            <w:pPr>
              <w:jc w:val="center"/>
              <w:rPr>
                <w:rFonts w:ascii="Calibri" w:hAnsi="Calibri" w:cs="Calibri"/>
                <w:sz w:val="20"/>
              </w:rPr>
            </w:pPr>
            <w:r w:rsidRPr="003805C3">
              <w:rPr>
                <w:rFonts w:ascii="Calibri" w:hAnsi="Calibri" w:cs="Calibri"/>
                <w:sz w:val="20"/>
              </w:rPr>
              <w:fldChar w:fldCharType="begin">
                <w:ffData>
                  <w:name w:val="Check1"/>
                  <w:enabled/>
                  <w:calcOnExit w:val="0"/>
                  <w:checkBox>
                    <w:sizeAuto/>
                    <w:default w:val="0"/>
                  </w:checkBox>
                </w:ffData>
              </w:fldChar>
            </w:r>
            <w:r w:rsidRPr="003805C3">
              <w:rPr>
                <w:rFonts w:ascii="Calibri" w:hAnsi="Calibri" w:cs="Calibri"/>
                <w:sz w:val="20"/>
              </w:rPr>
              <w:instrText xml:space="preserve"> FORMCHECKBOX </w:instrText>
            </w:r>
            <w:r w:rsidRPr="003805C3">
              <w:rPr>
                <w:rFonts w:ascii="Calibri" w:hAnsi="Calibri" w:cs="Calibri"/>
                <w:sz w:val="20"/>
              </w:rPr>
            </w:r>
            <w:r w:rsidRPr="003805C3">
              <w:rPr>
                <w:rFonts w:ascii="Calibri" w:hAnsi="Calibri" w:cs="Calibri"/>
                <w:sz w:val="20"/>
              </w:rPr>
              <w:fldChar w:fldCharType="end"/>
            </w:r>
          </w:p>
        </w:tc>
        <w:tc>
          <w:tcPr>
            <w:tcW w:w="5040" w:type="dxa"/>
          </w:tcPr>
          <w:p w:rsidR="00377E6A" w:rsidRPr="003805C3" w:rsidRDefault="00377E6A" w:rsidP="00C47C51">
            <w:pPr>
              <w:jc w:val="center"/>
              <w:rPr>
                <w:rFonts w:ascii="Calibri" w:hAnsi="Calibri" w:cs="Calibri"/>
                <w:sz w:val="20"/>
              </w:rPr>
            </w:pPr>
          </w:p>
        </w:tc>
      </w:tr>
    </w:tbl>
    <w:p w:rsidR="00377E6A" w:rsidRDefault="00377E6A" w:rsidP="00461299">
      <w:pPr>
        <w:pStyle w:val="PMCToolHeading1"/>
        <w:spacing w:before="0" w:after="0"/>
        <w:contextualSpacing/>
        <w:rPr>
          <w:rFonts w:ascii="Calibri" w:hAnsi="Calibri" w:cs="Calibri"/>
          <w:sz w:val="26"/>
          <w:szCs w:val="26"/>
        </w:rPr>
      </w:pPr>
    </w:p>
    <w:p w:rsidR="00FD137C" w:rsidRDefault="00FD137C" w:rsidP="00FD137C">
      <w:pPr>
        <w:pStyle w:val="PMCToolHeading1"/>
        <w:spacing w:before="0" w:after="0"/>
        <w:contextualSpacing/>
        <w:rPr>
          <w:rFonts w:ascii="Calibri" w:hAnsi="Calibri" w:cs="Calibri"/>
          <w:snapToGrid w:val="0"/>
          <w:sz w:val="20"/>
        </w:rPr>
      </w:pPr>
    </w:p>
    <w:p w:rsidR="00A96B97" w:rsidRPr="003805C3" w:rsidRDefault="00E57F8E" w:rsidP="00BE6715">
      <w:pPr>
        <w:spacing w:before="120"/>
        <w:rPr>
          <w:rFonts w:ascii="Calibri" w:hAnsi="Calibri" w:cs="Calibri"/>
          <w:i/>
          <w:snapToGrid w:val="0"/>
          <w:color w:val="000000"/>
          <w:sz w:val="20"/>
        </w:rPr>
      </w:pPr>
      <w:r>
        <w:rPr>
          <w:rFonts w:ascii="Calibri" w:hAnsi="Calibri" w:cs="Calibri"/>
          <w:snapToGrid w:val="0"/>
          <w:sz w:val="20"/>
        </w:rPr>
        <w:t xml:space="preserve"> </w:t>
      </w:r>
    </w:p>
    <w:sectPr w:rsidR="00A96B97" w:rsidRPr="003805C3" w:rsidSect="0071736C">
      <w:headerReference w:type="default" r:id="rId10"/>
      <w:footerReference w:type="first" r:id="rId11"/>
      <w:pgSz w:w="15840" w:h="12240" w:orient="landscape"/>
      <w:pgMar w:top="1008" w:right="1440" w:bottom="1008"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96" w:rsidRDefault="00282396">
      <w:r>
        <w:separator/>
      </w:r>
    </w:p>
  </w:endnote>
  <w:endnote w:type="continuationSeparator" w:id="0">
    <w:p w:rsidR="00282396" w:rsidRDefault="0028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E3" w:rsidRDefault="005619E3">
    <w:pPr>
      <w:pStyle w:val="Footer"/>
      <w:rPr>
        <w:rFonts w:ascii="Univers 45 Light" w:hAnsi="Univers 45 Light"/>
        <w:sz w:val="20"/>
      </w:rPr>
    </w:pPr>
    <w:r>
      <w:tab/>
    </w:r>
    <w:r>
      <w:rPr>
        <w:rStyle w:val="PageNumber"/>
        <w:rFonts w:ascii="Calibri" w:hAnsi="Calibri"/>
        <w:sz w:val="20"/>
      </w:rPr>
      <w:tab/>
    </w:r>
    <w:r>
      <w:rPr>
        <w:rStyle w:val="PageNumber"/>
        <w:rFonts w:ascii="Calibri" w:hAnsi="Calibri"/>
        <w:sz w:val="20"/>
      </w:rPr>
      <w:tab/>
    </w:r>
    <w:r>
      <w:rPr>
        <w:rStyle w:val="PageNumber"/>
        <w:rFonts w:ascii="Calibri" w:hAnsi="Calibri"/>
        <w:sz w:val="20"/>
      </w:rPr>
      <w:tab/>
    </w:r>
    <w:r>
      <w:rPr>
        <w:rStyle w:val="PageNumber"/>
        <w:rFonts w:ascii="Calibri" w:hAnsi="Calibri"/>
        <w:sz w:val="20"/>
      </w:rPr>
      <w:tab/>
    </w:r>
    <w:r>
      <w:rPr>
        <w:rStyle w:val="PageNumber"/>
        <w:rFonts w:ascii="Calibri" w:hAnsi="Calibri"/>
        <w:sz w:val="20"/>
      </w:rPr>
      <w:tab/>
    </w:r>
    <w:r>
      <w:rPr>
        <w:rStyle w:val="PageNumber"/>
        <w:rFonts w:ascii="Calibri" w:hAnsi="Calibri"/>
        <w:sz w:val="20"/>
      </w:rPr>
      <w:tab/>
    </w:r>
    <w:r>
      <w:rPr>
        <w:rStyle w:val="PageNumber"/>
        <w:rFonts w:ascii="Calibri" w:hAnsi="Calibri"/>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96" w:rsidRDefault="00282396">
      <w:r>
        <w:separator/>
      </w:r>
    </w:p>
  </w:footnote>
  <w:footnote w:type="continuationSeparator" w:id="0">
    <w:p w:rsidR="00282396" w:rsidRDefault="0028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50" w:rsidRDefault="00181350">
    <w:pPr>
      <w:pStyle w:val="Header"/>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45.5pt" o:bullet="t">
        <v:imagedata r:id="rId1" o:title="art8F70"/>
      </v:shape>
    </w:pict>
  </w:numPicBullet>
  <w:abstractNum w:abstractNumId="0">
    <w:nsid w:val="02CD120A"/>
    <w:multiLevelType w:val="singleLevel"/>
    <w:tmpl w:val="0409000F"/>
    <w:lvl w:ilvl="0">
      <w:start w:val="1"/>
      <w:numFmt w:val="decimal"/>
      <w:lvlText w:val="%1."/>
      <w:lvlJc w:val="left"/>
      <w:pPr>
        <w:tabs>
          <w:tab w:val="num" w:pos="360"/>
        </w:tabs>
        <w:ind w:left="360" w:hanging="360"/>
      </w:pPr>
    </w:lvl>
  </w:abstractNum>
  <w:abstractNum w:abstractNumId="1">
    <w:nsid w:val="0BAE40E7"/>
    <w:multiLevelType w:val="hybridMultilevel"/>
    <w:tmpl w:val="2362E546"/>
    <w:lvl w:ilvl="0" w:tplc="59FA37A6">
      <w:start w:val="1"/>
      <w:numFmt w:val="bullet"/>
      <w:lvlText w:val="•"/>
      <w:lvlJc w:val="left"/>
      <w:pPr>
        <w:tabs>
          <w:tab w:val="num" w:pos="720"/>
        </w:tabs>
        <w:ind w:left="720" w:hanging="360"/>
      </w:pPr>
      <w:rPr>
        <w:rFonts w:ascii="Times New Roman" w:hAnsi="Times New Roman" w:hint="default"/>
      </w:rPr>
    </w:lvl>
    <w:lvl w:ilvl="1" w:tplc="42A07D86" w:tentative="1">
      <w:start w:val="1"/>
      <w:numFmt w:val="bullet"/>
      <w:lvlText w:val="•"/>
      <w:lvlJc w:val="left"/>
      <w:pPr>
        <w:tabs>
          <w:tab w:val="num" w:pos="1440"/>
        </w:tabs>
        <w:ind w:left="1440" w:hanging="360"/>
      </w:pPr>
      <w:rPr>
        <w:rFonts w:ascii="Times New Roman" w:hAnsi="Times New Roman" w:hint="default"/>
      </w:rPr>
    </w:lvl>
    <w:lvl w:ilvl="2" w:tplc="F47CE984" w:tentative="1">
      <w:start w:val="1"/>
      <w:numFmt w:val="bullet"/>
      <w:lvlText w:val="•"/>
      <w:lvlJc w:val="left"/>
      <w:pPr>
        <w:tabs>
          <w:tab w:val="num" w:pos="2160"/>
        </w:tabs>
        <w:ind w:left="2160" w:hanging="360"/>
      </w:pPr>
      <w:rPr>
        <w:rFonts w:ascii="Times New Roman" w:hAnsi="Times New Roman" w:hint="default"/>
      </w:rPr>
    </w:lvl>
    <w:lvl w:ilvl="3" w:tplc="2C84473E" w:tentative="1">
      <w:start w:val="1"/>
      <w:numFmt w:val="bullet"/>
      <w:lvlText w:val="•"/>
      <w:lvlJc w:val="left"/>
      <w:pPr>
        <w:tabs>
          <w:tab w:val="num" w:pos="2880"/>
        </w:tabs>
        <w:ind w:left="2880" w:hanging="360"/>
      </w:pPr>
      <w:rPr>
        <w:rFonts w:ascii="Times New Roman" w:hAnsi="Times New Roman" w:hint="default"/>
      </w:rPr>
    </w:lvl>
    <w:lvl w:ilvl="4" w:tplc="AAAE7600" w:tentative="1">
      <w:start w:val="1"/>
      <w:numFmt w:val="bullet"/>
      <w:lvlText w:val="•"/>
      <w:lvlJc w:val="left"/>
      <w:pPr>
        <w:tabs>
          <w:tab w:val="num" w:pos="3600"/>
        </w:tabs>
        <w:ind w:left="3600" w:hanging="360"/>
      </w:pPr>
      <w:rPr>
        <w:rFonts w:ascii="Times New Roman" w:hAnsi="Times New Roman" w:hint="default"/>
      </w:rPr>
    </w:lvl>
    <w:lvl w:ilvl="5" w:tplc="7FB8124C" w:tentative="1">
      <w:start w:val="1"/>
      <w:numFmt w:val="bullet"/>
      <w:lvlText w:val="•"/>
      <w:lvlJc w:val="left"/>
      <w:pPr>
        <w:tabs>
          <w:tab w:val="num" w:pos="4320"/>
        </w:tabs>
        <w:ind w:left="4320" w:hanging="360"/>
      </w:pPr>
      <w:rPr>
        <w:rFonts w:ascii="Times New Roman" w:hAnsi="Times New Roman" w:hint="default"/>
      </w:rPr>
    </w:lvl>
    <w:lvl w:ilvl="6" w:tplc="39EEB83C" w:tentative="1">
      <w:start w:val="1"/>
      <w:numFmt w:val="bullet"/>
      <w:lvlText w:val="•"/>
      <w:lvlJc w:val="left"/>
      <w:pPr>
        <w:tabs>
          <w:tab w:val="num" w:pos="5040"/>
        </w:tabs>
        <w:ind w:left="5040" w:hanging="360"/>
      </w:pPr>
      <w:rPr>
        <w:rFonts w:ascii="Times New Roman" w:hAnsi="Times New Roman" w:hint="default"/>
      </w:rPr>
    </w:lvl>
    <w:lvl w:ilvl="7" w:tplc="56DCB59C" w:tentative="1">
      <w:start w:val="1"/>
      <w:numFmt w:val="bullet"/>
      <w:lvlText w:val="•"/>
      <w:lvlJc w:val="left"/>
      <w:pPr>
        <w:tabs>
          <w:tab w:val="num" w:pos="5760"/>
        </w:tabs>
        <w:ind w:left="5760" w:hanging="360"/>
      </w:pPr>
      <w:rPr>
        <w:rFonts w:ascii="Times New Roman" w:hAnsi="Times New Roman" w:hint="default"/>
      </w:rPr>
    </w:lvl>
    <w:lvl w:ilvl="8" w:tplc="D6EA6CE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C02DF9"/>
    <w:multiLevelType w:val="singleLevel"/>
    <w:tmpl w:val="2EE2E396"/>
    <w:lvl w:ilvl="0">
      <w:start w:val="1"/>
      <w:numFmt w:val="upperLetter"/>
      <w:lvlText w:val="%1."/>
      <w:lvlJc w:val="left"/>
      <w:pPr>
        <w:tabs>
          <w:tab w:val="num" w:pos="360"/>
        </w:tabs>
        <w:ind w:left="360" w:hanging="360"/>
      </w:pPr>
    </w:lvl>
  </w:abstractNum>
  <w:abstractNum w:abstractNumId="3">
    <w:nsid w:val="0FC34EC9"/>
    <w:multiLevelType w:val="hybridMultilevel"/>
    <w:tmpl w:val="83D857D8"/>
    <w:lvl w:ilvl="0" w:tplc="04090003">
      <w:start w:val="1"/>
      <w:numFmt w:val="bullet"/>
      <w:lvlText w:val="o"/>
      <w:lvlJc w:val="left"/>
      <w:pPr>
        <w:ind w:left="720" w:hanging="360"/>
      </w:pPr>
      <w:rPr>
        <w:rFonts w:ascii="Courier New" w:hAnsi="Courier New" w:cs="Courier New" w:hint="default"/>
        <w:i w:val="0"/>
        <w:color w:val="6666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37922"/>
    <w:multiLevelType w:val="hybridMultilevel"/>
    <w:tmpl w:val="BB005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2D5940"/>
    <w:multiLevelType w:val="singleLevel"/>
    <w:tmpl w:val="2EE2E396"/>
    <w:lvl w:ilvl="0">
      <w:start w:val="1"/>
      <w:numFmt w:val="upperLetter"/>
      <w:lvlText w:val="%1."/>
      <w:lvlJc w:val="left"/>
      <w:pPr>
        <w:tabs>
          <w:tab w:val="num" w:pos="360"/>
        </w:tabs>
        <w:ind w:left="360" w:hanging="360"/>
      </w:pPr>
    </w:lvl>
  </w:abstractNum>
  <w:abstractNum w:abstractNumId="6">
    <w:nsid w:val="1A212CCB"/>
    <w:multiLevelType w:val="hybridMultilevel"/>
    <w:tmpl w:val="41A2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1C2182"/>
    <w:multiLevelType w:val="singleLevel"/>
    <w:tmpl w:val="92E4D2F4"/>
    <w:lvl w:ilvl="0">
      <w:start w:val="1"/>
      <w:numFmt w:val="bullet"/>
      <w:lvlText w:val=""/>
      <w:lvlJc w:val="left"/>
      <w:pPr>
        <w:tabs>
          <w:tab w:val="num" w:pos="360"/>
        </w:tabs>
        <w:ind w:left="360" w:hanging="360"/>
      </w:pPr>
      <w:rPr>
        <w:rFonts w:ascii="Symbol" w:hAnsi="Symbol" w:hint="default"/>
        <w:b w:val="0"/>
        <w:i w:val="0"/>
        <w:sz w:val="22"/>
      </w:rPr>
    </w:lvl>
  </w:abstractNum>
  <w:abstractNum w:abstractNumId="8">
    <w:nsid w:val="20ED4CB1"/>
    <w:multiLevelType w:val="hybridMultilevel"/>
    <w:tmpl w:val="AB84946C"/>
    <w:lvl w:ilvl="0" w:tplc="FD46EC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22840"/>
    <w:multiLevelType w:val="singleLevel"/>
    <w:tmpl w:val="0409000F"/>
    <w:lvl w:ilvl="0">
      <w:start w:val="1"/>
      <w:numFmt w:val="decimal"/>
      <w:lvlText w:val="%1."/>
      <w:lvlJc w:val="left"/>
      <w:pPr>
        <w:tabs>
          <w:tab w:val="num" w:pos="360"/>
        </w:tabs>
        <w:ind w:left="360" w:hanging="360"/>
      </w:pPr>
    </w:lvl>
  </w:abstractNum>
  <w:abstractNum w:abstractNumId="10">
    <w:nsid w:val="24FC1437"/>
    <w:multiLevelType w:val="singleLevel"/>
    <w:tmpl w:val="92E4D2F4"/>
    <w:lvl w:ilvl="0">
      <w:start w:val="1"/>
      <w:numFmt w:val="bullet"/>
      <w:lvlText w:val=""/>
      <w:lvlJc w:val="left"/>
      <w:pPr>
        <w:tabs>
          <w:tab w:val="num" w:pos="360"/>
        </w:tabs>
        <w:ind w:left="360" w:hanging="360"/>
      </w:pPr>
      <w:rPr>
        <w:rFonts w:ascii="Symbol" w:hAnsi="Symbol" w:hint="default"/>
        <w:b w:val="0"/>
        <w:i w:val="0"/>
        <w:sz w:val="22"/>
      </w:rPr>
    </w:lvl>
  </w:abstractNum>
  <w:abstractNum w:abstractNumId="11">
    <w:nsid w:val="26444728"/>
    <w:multiLevelType w:val="singleLevel"/>
    <w:tmpl w:val="2EE2E396"/>
    <w:lvl w:ilvl="0">
      <w:start w:val="1"/>
      <w:numFmt w:val="upperLetter"/>
      <w:lvlText w:val="%1."/>
      <w:lvlJc w:val="left"/>
      <w:pPr>
        <w:tabs>
          <w:tab w:val="num" w:pos="360"/>
        </w:tabs>
        <w:ind w:left="360" w:hanging="360"/>
      </w:pPr>
    </w:lvl>
  </w:abstractNum>
  <w:abstractNum w:abstractNumId="12">
    <w:nsid w:val="26FA6DDE"/>
    <w:multiLevelType w:val="singleLevel"/>
    <w:tmpl w:val="0409000F"/>
    <w:lvl w:ilvl="0">
      <w:start w:val="1"/>
      <w:numFmt w:val="decimal"/>
      <w:lvlText w:val="%1."/>
      <w:lvlJc w:val="left"/>
      <w:pPr>
        <w:tabs>
          <w:tab w:val="num" w:pos="360"/>
        </w:tabs>
        <w:ind w:left="360" w:hanging="360"/>
      </w:pPr>
    </w:lvl>
  </w:abstractNum>
  <w:abstractNum w:abstractNumId="13">
    <w:nsid w:val="27094ED9"/>
    <w:multiLevelType w:val="singleLevel"/>
    <w:tmpl w:val="03F2C208"/>
    <w:lvl w:ilvl="0">
      <w:start w:val="1"/>
      <w:numFmt w:val="upperLetter"/>
      <w:lvlText w:val="%1."/>
      <w:lvlJc w:val="left"/>
      <w:pPr>
        <w:tabs>
          <w:tab w:val="num" w:pos="360"/>
        </w:tabs>
        <w:ind w:left="360" w:hanging="360"/>
      </w:pPr>
      <w:rPr>
        <w:rFonts w:ascii="Calibri" w:hAnsi="Calibri" w:cs="Calibri" w:hint="default"/>
        <w:b w:val="0"/>
        <w:i w:val="0"/>
        <w:sz w:val="20"/>
      </w:rPr>
    </w:lvl>
  </w:abstractNum>
  <w:abstractNum w:abstractNumId="14">
    <w:nsid w:val="27732386"/>
    <w:multiLevelType w:val="singleLevel"/>
    <w:tmpl w:val="04090001"/>
    <w:lvl w:ilvl="0">
      <w:start w:val="1"/>
      <w:numFmt w:val="bullet"/>
      <w:lvlText w:val=""/>
      <w:lvlJc w:val="left"/>
      <w:pPr>
        <w:ind w:left="360" w:hanging="360"/>
      </w:pPr>
      <w:rPr>
        <w:rFonts w:ascii="Symbol" w:hAnsi="Symbol" w:hint="default"/>
        <w:b w:val="0"/>
        <w:i w:val="0"/>
        <w:color w:val="auto"/>
        <w:sz w:val="22"/>
      </w:rPr>
    </w:lvl>
  </w:abstractNum>
  <w:abstractNum w:abstractNumId="15">
    <w:nsid w:val="2B4D63DD"/>
    <w:multiLevelType w:val="singleLevel"/>
    <w:tmpl w:val="2EE2E396"/>
    <w:lvl w:ilvl="0">
      <w:start w:val="1"/>
      <w:numFmt w:val="upperLetter"/>
      <w:lvlText w:val="%1."/>
      <w:lvlJc w:val="left"/>
      <w:pPr>
        <w:tabs>
          <w:tab w:val="num" w:pos="360"/>
        </w:tabs>
        <w:ind w:left="360" w:hanging="360"/>
      </w:pPr>
    </w:lvl>
  </w:abstractNum>
  <w:abstractNum w:abstractNumId="16">
    <w:nsid w:val="2C8B1876"/>
    <w:multiLevelType w:val="hybridMultilevel"/>
    <w:tmpl w:val="5A7CE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F145B5"/>
    <w:multiLevelType w:val="singleLevel"/>
    <w:tmpl w:val="0409000F"/>
    <w:lvl w:ilvl="0">
      <w:start w:val="1"/>
      <w:numFmt w:val="decimal"/>
      <w:lvlText w:val="%1."/>
      <w:lvlJc w:val="left"/>
      <w:pPr>
        <w:tabs>
          <w:tab w:val="num" w:pos="360"/>
        </w:tabs>
        <w:ind w:left="360" w:hanging="360"/>
      </w:pPr>
    </w:lvl>
  </w:abstractNum>
  <w:abstractNum w:abstractNumId="18">
    <w:nsid w:val="2ED15459"/>
    <w:multiLevelType w:val="singleLevel"/>
    <w:tmpl w:val="2EE2E396"/>
    <w:lvl w:ilvl="0">
      <w:start w:val="1"/>
      <w:numFmt w:val="upperLetter"/>
      <w:lvlText w:val="%1."/>
      <w:lvlJc w:val="left"/>
      <w:pPr>
        <w:tabs>
          <w:tab w:val="num" w:pos="360"/>
        </w:tabs>
        <w:ind w:left="360" w:hanging="360"/>
      </w:pPr>
    </w:lvl>
  </w:abstractNum>
  <w:abstractNum w:abstractNumId="19">
    <w:nsid w:val="2FAF7635"/>
    <w:multiLevelType w:val="singleLevel"/>
    <w:tmpl w:val="DADA571C"/>
    <w:lvl w:ilvl="0">
      <w:start w:val="1"/>
      <w:numFmt w:val="bullet"/>
      <w:pStyle w:val="bullet"/>
      <w:lvlText w:val=""/>
      <w:lvlJc w:val="left"/>
      <w:pPr>
        <w:tabs>
          <w:tab w:val="num" w:pos="360"/>
        </w:tabs>
        <w:ind w:left="360" w:hanging="360"/>
      </w:pPr>
      <w:rPr>
        <w:rFonts w:ascii="Symbol" w:hAnsi="Symbol" w:hint="default"/>
        <w:sz w:val="18"/>
      </w:rPr>
    </w:lvl>
  </w:abstractNum>
  <w:abstractNum w:abstractNumId="20">
    <w:nsid w:val="3A0879C7"/>
    <w:multiLevelType w:val="singleLevel"/>
    <w:tmpl w:val="2EE2E396"/>
    <w:lvl w:ilvl="0">
      <w:start w:val="1"/>
      <w:numFmt w:val="upperLetter"/>
      <w:lvlText w:val="%1."/>
      <w:lvlJc w:val="left"/>
      <w:pPr>
        <w:tabs>
          <w:tab w:val="num" w:pos="360"/>
        </w:tabs>
        <w:ind w:left="360" w:hanging="360"/>
      </w:pPr>
    </w:lvl>
  </w:abstractNum>
  <w:abstractNum w:abstractNumId="21">
    <w:nsid w:val="413A22E2"/>
    <w:multiLevelType w:val="hybridMultilevel"/>
    <w:tmpl w:val="C3CAAB3A"/>
    <w:lvl w:ilvl="0" w:tplc="463E2F1E">
      <w:start w:val="1"/>
      <w:numFmt w:val="bullet"/>
      <w:lvlText w:val=""/>
      <w:lvlPicBulletId w:val="0"/>
      <w:lvlJc w:val="left"/>
      <w:pPr>
        <w:tabs>
          <w:tab w:val="num" w:pos="720"/>
        </w:tabs>
        <w:ind w:left="720" w:hanging="360"/>
      </w:pPr>
      <w:rPr>
        <w:rFonts w:ascii="Symbol" w:hAnsi="Symbol" w:hint="default"/>
      </w:rPr>
    </w:lvl>
    <w:lvl w:ilvl="1" w:tplc="202EE412">
      <w:start w:val="1"/>
      <w:numFmt w:val="bullet"/>
      <w:lvlText w:val=""/>
      <w:lvlPicBulletId w:val="0"/>
      <w:lvlJc w:val="left"/>
      <w:pPr>
        <w:tabs>
          <w:tab w:val="num" w:pos="1440"/>
        </w:tabs>
        <w:ind w:left="1440" w:hanging="360"/>
      </w:pPr>
      <w:rPr>
        <w:rFonts w:ascii="Symbol" w:hAnsi="Symbol" w:hint="default"/>
      </w:rPr>
    </w:lvl>
    <w:lvl w:ilvl="2" w:tplc="0966F662" w:tentative="1">
      <w:start w:val="1"/>
      <w:numFmt w:val="bullet"/>
      <w:lvlText w:val=""/>
      <w:lvlPicBulletId w:val="0"/>
      <w:lvlJc w:val="left"/>
      <w:pPr>
        <w:tabs>
          <w:tab w:val="num" w:pos="2160"/>
        </w:tabs>
        <w:ind w:left="2160" w:hanging="360"/>
      </w:pPr>
      <w:rPr>
        <w:rFonts w:ascii="Symbol" w:hAnsi="Symbol" w:hint="default"/>
      </w:rPr>
    </w:lvl>
    <w:lvl w:ilvl="3" w:tplc="D998375C" w:tentative="1">
      <w:start w:val="1"/>
      <w:numFmt w:val="bullet"/>
      <w:lvlText w:val=""/>
      <w:lvlPicBulletId w:val="0"/>
      <w:lvlJc w:val="left"/>
      <w:pPr>
        <w:tabs>
          <w:tab w:val="num" w:pos="2880"/>
        </w:tabs>
        <w:ind w:left="2880" w:hanging="360"/>
      </w:pPr>
      <w:rPr>
        <w:rFonts w:ascii="Symbol" w:hAnsi="Symbol" w:hint="default"/>
      </w:rPr>
    </w:lvl>
    <w:lvl w:ilvl="4" w:tplc="22520D52" w:tentative="1">
      <w:start w:val="1"/>
      <w:numFmt w:val="bullet"/>
      <w:lvlText w:val=""/>
      <w:lvlPicBulletId w:val="0"/>
      <w:lvlJc w:val="left"/>
      <w:pPr>
        <w:tabs>
          <w:tab w:val="num" w:pos="3600"/>
        </w:tabs>
        <w:ind w:left="3600" w:hanging="360"/>
      </w:pPr>
      <w:rPr>
        <w:rFonts w:ascii="Symbol" w:hAnsi="Symbol" w:hint="default"/>
      </w:rPr>
    </w:lvl>
    <w:lvl w:ilvl="5" w:tplc="8482F69C" w:tentative="1">
      <w:start w:val="1"/>
      <w:numFmt w:val="bullet"/>
      <w:lvlText w:val=""/>
      <w:lvlPicBulletId w:val="0"/>
      <w:lvlJc w:val="left"/>
      <w:pPr>
        <w:tabs>
          <w:tab w:val="num" w:pos="4320"/>
        </w:tabs>
        <w:ind w:left="4320" w:hanging="360"/>
      </w:pPr>
      <w:rPr>
        <w:rFonts w:ascii="Symbol" w:hAnsi="Symbol" w:hint="default"/>
      </w:rPr>
    </w:lvl>
    <w:lvl w:ilvl="6" w:tplc="5E4E617A" w:tentative="1">
      <w:start w:val="1"/>
      <w:numFmt w:val="bullet"/>
      <w:lvlText w:val=""/>
      <w:lvlPicBulletId w:val="0"/>
      <w:lvlJc w:val="left"/>
      <w:pPr>
        <w:tabs>
          <w:tab w:val="num" w:pos="5040"/>
        </w:tabs>
        <w:ind w:left="5040" w:hanging="360"/>
      </w:pPr>
      <w:rPr>
        <w:rFonts w:ascii="Symbol" w:hAnsi="Symbol" w:hint="default"/>
      </w:rPr>
    </w:lvl>
    <w:lvl w:ilvl="7" w:tplc="17E4FB1C" w:tentative="1">
      <w:start w:val="1"/>
      <w:numFmt w:val="bullet"/>
      <w:lvlText w:val=""/>
      <w:lvlPicBulletId w:val="0"/>
      <w:lvlJc w:val="left"/>
      <w:pPr>
        <w:tabs>
          <w:tab w:val="num" w:pos="5760"/>
        </w:tabs>
        <w:ind w:left="5760" w:hanging="360"/>
      </w:pPr>
      <w:rPr>
        <w:rFonts w:ascii="Symbol" w:hAnsi="Symbol" w:hint="default"/>
      </w:rPr>
    </w:lvl>
    <w:lvl w:ilvl="8" w:tplc="189CA190"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1966064"/>
    <w:multiLevelType w:val="singleLevel"/>
    <w:tmpl w:val="2EE2E396"/>
    <w:lvl w:ilvl="0">
      <w:start w:val="1"/>
      <w:numFmt w:val="upperLetter"/>
      <w:lvlText w:val="%1."/>
      <w:lvlJc w:val="left"/>
      <w:pPr>
        <w:tabs>
          <w:tab w:val="num" w:pos="360"/>
        </w:tabs>
        <w:ind w:left="360" w:hanging="360"/>
      </w:pPr>
    </w:lvl>
  </w:abstractNum>
  <w:abstractNum w:abstractNumId="23">
    <w:nsid w:val="44DE3668"/>
    <w:multiLevelType w:val="singleLevel"/>
    <w:tmpl w:val="92E4D2F4"/>
    <w:lvl w:ilvl="0">
      <w:start w:val="1"/>
      <w:numFmt w:val="bullet"/>
      <w:lvlText w:val=""/>
      <w:lvlJc w:val="left"/>
      <w:pPr>
        <w:tabs>
          <w:tab w:val="num" w:pos="360"/>
        </w:tabs>
        <w:ind w:left="360" w:hanging="360"/>
      </w:pPr>
      <w:rPr>
        <w:rFonts w:ascii="Symbol" w:hAnsi="Symbol" w:hint="default"/>
        <w:b w:val="0"/>
        <w:i w:val="0"/>
        <w:sz w:val="22"/>
      </w:rPr>
    </w:lvl>
  </w:abstractNum>
  <w:abstractNum w:abstractNumId="24">
    <w:nsid w:val="4AB37308"/>
    <w:multiLevelType w:val="hybridMultilevel"/>
    <w:tmpl w:val="76E24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5F6868"/>
    <w:multiLevelType w:val="singleLevel"/>
    <w:tmpl w:val="0409000F"/>
    <w:lvl w:ilvl="0">
      <w:start w:val="1"/>
      <w:numFmt w:val="decimal"/>
      <w:lvlText w:val="%1."/>
      <w:lvlJc w:val="left"/>
      <w:pPr>
        <w:tabs>
          <w:tab w:val="num" w:pos="360"/>
        </w:tabs>
        <w:ind w:left="360" w:hanging="360"/>
      </w:pPr>
    </w:lvl>
  </w:abstractNum>
  <w:abstractNum w:abstractNumId="26">
    <w:nsid w:val="52903143"/>
    <w:multiLevelType w:val="multilevel"/>
    <w:tmpl w:val="DAE03CB2"/>
    <w:lvl w:ilvl="0">
      <w:start w:val="1"/>
      <w:numFmt w:val="decimal"/>
      <w:lvlText w:val="%1."/>
      <w:lvlJc w:val="left"/>
      <w:pPr>
        <w:tabs>
          <w:tab w:val="num" w:pos="360"/>
        </w:tabs>
        <w:ind w:left="3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D4C6A42"/>
    <w:multiLevelType w:val="singleLevel"/>
    <w:tmpl w:val="2EE2E396"/>
    <w:lvl w:ilvl="0">
      <w:start w:val="1"/>
      <w:numFmt w:val="upperLetter"/>
      <w:lvlText w:val="%1."/>
      <w:lvlJc w:val="left"/>
      <w:pPr>
        <w:tabs>
          <w:tab w:val="num" w:pos="360"/>
        </w:tabs>
        <w:ind w:left="360" w:hanging="360"/>
      </w:pPr>
    </w:lvl>
  </w:abstractNum>
  <w:abstractNum w:abstractNumId="28">
    <w:nsid w:val="617C2AF5"/>
    <w:multiLevelType w:val="singleLevel"/>
    <w:tmpl w:val="2EE2E396"/>
    <w:lvl w:ilvl="0">
      <w:start w:val="1"/>
      <w:numFmt w:val="upperLetter"/>
      <w:lvlText w:val="%1."/>
      <w:lvlJc w:val="left"/>
      <w:pPr>
        <w:tabs>
          <w:tab w:val="num" w:pos="360"/>
        </w:tabs>
        <w:ind w:left="360" w:hanging="360"/>
      </w:pPr>
    </w:lvl>
  </w:abstractNum>
  <w:abstractNum w:abstractNumId="29">
    <w:nsid w:val="62761ECA"/>
    <w:multiLevelType w:val="singleLevel"/>
    <w:tmpl w:val="92E4D2F4"/>
    <w:lvl w:ilvl="0">
      <w:start w:val="1"/>
      <w:numFmt w:val="bullet"/>
      <w:lvlText w:val=""/>
      <w:lvlJc w:val="left"/>
      <w:pPr>
        <w:tabs>
          <w:tab w:val="num" w:pos="360"/>
        </w:tabs>
        <w:ind w:left="360" w:hanging="360"/>
      </w:pPr>
      <w:rPr>
        <w:rFonts w:ascii="Symbol" w:hAnsi="Symbol" w:hint="default"/>
        <w:b w:val="0"/>
        <w:i w:val="0"/>
        <w:sz w:val="22"/>
      </w:rPr>
    </w:lvl>
  </w:abstractNum>
  <w:abstractNum w:abstractNumId="30">
    <w:nsid w:val="62A9300E"/>
    <w:multiLevelType w:val="singleLevel"/>
    <w:tmpl w:val="2EE2E396"/>
    <w:lvl w:ilvl="0">
      <w:start w:val="1"/>
      <w:numFmt w:val="upperLetter"/>
      <w:lvlText w:val="%1."/>
      <w:lvlJc w:val="left"/>
      <w:pPr>
        <w:tabs>
          <w:tab w:val="num" w:pos="360"/>
        </w:tabs>
        <w:ind w:left="360" w:hanging="360"/>
      </w:pPr>
    </w:lvl>
  </w:abstractNum>
  <w:abstractNum w:abstractNumId="31">
    <w:nsid w:val="67ED4B8A"/>
    <w:multiLevelType w:val="hybridMultilevel"/>
    <w:tmpl w:val="88B4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454488"/>
    <w:multiLevelType w:val="singleLevel"/>
    <w:tmpl w:val="92E4D2F4"/>
    <w:lvl w:ilvl="0">
      <w:start w:val="1"/>
      <w:numFmt w:val="bullet"/>
      <w:lvlText w:val=""/>
      <w:lvlJc w:val="left"/>
      <w:pPr>
        <w:tabs>
          <w:tab w:val="num" w:pos="360"/>
        </w:tabs>
        <w:ind w:left="360" w:hanging="360"/>
      </w:pPr>
      <w:rPr>
        <w:rFonts w:ascii="Symbol" w:hAnsi="Symbol" w:hint="default"/>
        <w:b w:val="0"/>
        <w:i w:val="0"/>
        <w:sz w:val="22"/>
      </w:rPr>
    </w:lvl>
  </w:abstractNum>
  <w:abstractNum w:abstractNumId="33">
    <w:nsid w:val="760E4AF8"/>
    <w:multiLevelType w:val="singleLevel"/>
    <w:tmpl w:val="C42443B6"/>
    <w:lvl w:ilvl="0">
      <w:start w:val="1"/>
      <w:numFmt w:val="bullet"/>
      <w:lvlText w:val=""/>
      <w:lvlJc w:val="left"/>
      <w:pPr>
        <w:tabs>
          <w:tab w:val="num" w:pos="360"/>
        </w:tabs>
        <w:ind w:left="360" w:hanging="360"/>
      </w:pPr>
      <w:rPr>
        <w:rFonts w:ascii="ZapfDingbats" w:hAnsi="ZapfDingbats" w:hint="default"/>
        <w:b w:val="0"/>
        <w:i w:val="0"/>
        <w:sz w:val="22"/>
      </w:rPr>
    </w:lvl>
  </w:abstractNum>
  <w:abstractNum w:abstractNumId="34">
    <w:nsid w:val="7D1D080B"/>
    <w:multiLevelType w:val="hybridMultilevel"/>
    <w:tmpl w:val="9F4A5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9"/>
  </w:num>
  <w:num w:numId="3">
    <w:abstractNumId w:val="25"/>
  </w:num>
  <w:num w:numId="4">
    <w:abstractNumId w:val="7"/>
  </w:num>
  <w:num w:numId="5">
    <w:abstractNumId w:val="10"/>
  </w:num>
  <w:num w:numId="6">
    <w:abstractNumId w:val="23"/>
  </w:num>
  <w:num w:numId="7">
    <w:abstractNumId w:val="32"/>
  </w:num>
  <w:num w:numId="8">
    <w:abstractNumId w:val="19"/>
  </w:num>
  <w:num w:numId="9">
    <w:abstractNumId w:val="28"/>
  </w:num>
  <w:num w:numId="10">
    <w:abstractNumId w:val="15"/>
  </w:num>
  <w:num w:numId="11">
    <w:abstractNumId w:val="2"/>
  </w:num>
  <w:num w:numId="12">
    <w:abstractNumId w:val="30"/>
  </w:num>
  <w:num w:numId="13">
    <w:abstractNumId w:val="22"/>
  </w:num>
  <w:num w:numId="14">
    <w:abstractNumId w:val="17"/>
  </w:num>
  <w:num w:numId="15">
    <w:abstractNumId w:val="27"/>
  </w:num>
  <w:num w:numId="16">
    <w:abstractNumId w:val="18"/>
  </w:num>
  <w:num w:numId="17">
    <w:abstractNumId w:val="11"/>
  </w:num>
  <w:num w:numId="18">
    <w:abstractNumId w:val="5"/>
  </w:num>
  <w:num w:numId="19">
    <w:abstractNumId w:val="20"/>
  </w:num>
  <w:num w:numId="20">
    <w:abstractNumId w:val="14"/>
  </w:num>
  <w:num w:numId="21">
    <w:abstractNumId w:val="13"/>
  </w:num>
  <w:num w:numId="22">
    <w:abstractNumId w:val="0"/>
  </w:num>
  <w:num w:numId="23">
    <w:abstractNumId w:val="29"/>
  </w:num>
  <w:num w:numId="24">
    <w:abstractNumId w:val="33"/>
  </w:num>
  <w:num w:numId="25">
    <w:abstractNumId w:val="31"/>
  </w:num>
  <w:num w:numId="26">
    <w:abstractNumId w:val="1"/>
  </w:num>
  <w:num w:numId="27">
    <w:abstractNumId w:val="12"/>
  </w:num>
  <w:num w:numId="28">
    <w:abstractNumId w:val="24"/>
  </w:num>
  <w:num w:numId="29">
    <w:abstractNumId w:val="21"/>
  </w:num>
  <w:num w:numId="30">
    <w:abstractNumId w:val="3"/>
  </w:num>
  <w:num w:numId="31">
    <w:abstractNumId w:val="34"/>
  </w:num>
  <w:num w:numId="32">
    <w:abstractNumId w:val="6"/>
  </w:num>
  <w:num w:numId="33">
    <w:abstractNumId w:val="8"/>
  </w:num>
  <w:num w:numId="34">
    <w:abstractNumId w:val="4"/>
  </w:num>
  <w:num w:numId="3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DE"/>
    <w:rsid w:val="00010598"/>
    <w:rsid w:val="00014CC9"/>
    <w:rsid w:val="00015EC5"/>
    <w:rsid w:val="00021CC0"/>
    <w:rsid w:val="00025503"/>
    <w:rsid w:val="00027C3F"/>
    <w:rsid w:val="00033554"/>
    <w:rsid w:val="00034D68"/>
    <w:rsid w:val="00040D38"/>
    <w:rsid w:val="00047AD9"/>
    <w:rsid w:val="00050502"/>
    <w:rsid w:val="00052FE5"/>
    <w:rsid w:val="00062CE8"/>
    <w:rsid w:val="000642B8"/>
    <w:rsid w:val="0006506D"/>
    <w:rsid w:val="000651E8"/>
    <w:rsid w:val="000667F0"/>
    <w:rsid w:val="00067BAD"/>
    <w:rsid w:val="000732AA"/>
    <w:rsid w:val="00082CD8"/>
    <w:rsid w:val="00083DA5"/>
    <w:rsid w:val="00085873"/>
    <w:rsid w:val="00090180"/>
    <w:rsid w:val="00090AED"/>
    <w:rsid w:val="00090D01"/>
    <w:rsid w:val="000962F3"/>
    <w:rsid w:val="000A0719"/>
    <w:rsid w:val="000A752C"/>
    <w:rsid w:val="000B041C"/>
    <w:rsid w:val="000B225C"/>
    <w:rsid w:val="000B3475"/>
    <w:rsid w:val="000D0D8D"/>
    <w:rsid w:val="000E7408"/>
    <w:rsid w:val="000F0A62"/>
    <w:rsid w:val="000F678A"/>
    <w:rsid w:val="001016C2"/>
    <w:rsid w:val="00111863"/>
    <w:rsid w:val="00116255"/>
    <w:rsid w:val="00140A80"/>
    <w:rsid w:val="00142B55"/>
    <w:rsid w:val="00146ADF"/>
    <w:rsid w:val="0015439D"/>
    <w:rsid w:val="001629DD"/>
    <w:rsid w:val="00163254"/>
    <w:rsid w:val="00166D46"/>
    <w:rsid w:val="00177714"/>
    <w:rsid w:val="00181350"/>
    <w:rsid w:val="0018296F"/>
    <w:rsid w:val="001862A9"/>
    <w:rsid w:val="001A15B4"/>
    <w:rsid w:val="001A277C"/>
    <w:rsid w:val="001B2137"/>
    <w:rsid w:val="001C2680"/>
    <w:rsid w:val="001C4FB5"/>
    <w:rsid w:val="001C63F2"/>
    <w:rsid w:val="001D0C7F"/>
    <w:rsid w:val="001D1563"/>
    <w:rsid w:val="001D38D1"/>
    <w:rsid w:val="001D63D3"/>
    <w:rsid w:val="001E0616"/>
    <w:rsid w:val="001F55AE"/>
    <w:rsid w:val="001F6B11"/>
    <w:rsid w:val="001F7ACF"/>
    <w:rsid w:val="00200C6C"/>
    <w:rsid w:val="00201195"/>
    <w:rsid w:val="00206D4E"/>
    <w:rsid w:val="00206F35"/>
    <w:rsid w:val="00224E05"/>
    <w:rsid w:val="0022506B"/>
    <w:rsid w:val="00233576"/>
    <w:rsid w:val="00234A01"/>
    <w:rsid w:val="002546D7"/>
    <w:rsid w:val="00256B37"/>
    <w:rsid w:val="002730D7"/>
    <w:rsid w:val="00276B12"/>
    <w:rsid w:val="00282396"/>
    <w:rsid w:val="002834DA"/>
    <w:rsid w:val="002967C0"/>
    <w:rsid w:val="002B58A3"/>
    <w:rsid w:val="002B7141"/>
    <w:rsid w:val="002B754C"/>
    <w:rsid w:val="002B75F4"/>
    <w:rsid w:val="002E354A"/>
    <w:rsid w:val="002F7444"/>
    <w:rsid w:val="00302B2C"/>
    <w:rsid w:val="00310822"/>
    <w:rsid w:val="003133E5"/>
    <w:rsid w:val="00321A88"/>
    <w:rsid w:val="003434A8"/>
    <w:rsid w:val="003466A0"/>
    <w:rsid w:val="003651D5"/>
    <w:rsid w:val="0036606E"/>
    <w:rsid w:val="00371332"/>
    <w:rsid w:val="00377E6A"/>
    <w:rsid w:val="00380489"/>
    <w:rsid w:val="003805C3"/>
    <w:rsid w:val="00383088"/>
    <w:rsid w:val="00387A2D"/>
    <w:rsid w:val="00390AE2"/>
    <w:rsid w:val="00393961"/>
    <w:rsid w:val="003A056D"/>
    <w:rsid w:val="003A4CEA"/>
    <w:rsid w:val="003B05A3"/>
    <w:rsid w:val="003B35CE"/>
    <w:rsid w:val="003B7286"/>
    <w:rsid w:val="003C1F2B"/>
    <w:rsid w:val="003C45D1"/>
    <w:rsid w:val="003E4CDE"/>
    <w:rsid w:val="003E7903"/>
    <w:rsid w:val="003F1CD0"/>
    <w:rsid w:val="003F3DFA"/>
    <w:rsid w:val="00405B64"/>
    <w:rsid w:val="004167A7"/>
    <w:rsid w:val="0043059B"/>
    <w:rsid w:val="004322BE"/>
    <w:rsid w:val="0043716C"/>
    <w:rsid w:val="004449A8"/>
    <w:rsid w:val="00453684"/>
    <w:rsid w:val="00461299"/>
    <w:rsid w:val="0046156E"/>
    <w:rsid w:val="0046407B"/>
    <w:rsid w:val="00492143"/>
    <w:rsid w:val="004D03B6"/>
    <w:rsid w:val="004D0978"/>
    <w:rsid w:val="004D7400"/>
    <w:rsid w:val="004E3729"/>
    <w:rsid w:val="004E4D80"/>
    <w:rsid w:val="004E683C"/>
    <w:rsid w:val="004F1582"/>
    <w:rsid w:val="00504189"/>
    <w:rsid w:val="00504B0C"/>
    <w:rsid w:val="00516449"/>
    <w:rsid w:val="00520750"/>
    <w:rsid w:val="00520BB9"/>
    <w:rsid w:val="00523986"/>
    <w:rsid w:val="005273EE"/>
    <w:rsid w:val="00535C87"/>
    <w:rsid w:val="00542F26"/>
    <w:rsid w:val="0054349A"/>
    <w:rsid w:val="005528BD"/>
    <w:rsid w:val="005619E3"/>
    <w:rsid w:val="00570DAE"/>
    <w:rsid w:val="00574E2E"/>
    <w:rsid w:val="005768B4"/>
    <w:rsid w:val="00593C29"/>
    <w:rsid w:val="00596D27"/>
    <w:rsid w:val="00597CE2"/>
    <w:rsid w:val="005A3C7D"/>
    <w:rsid w:val="005A48D1"/>
    <w:rsid w:val="005B55BC"/>
    <w:rsid w:val="005C3115"/>
    <w:rsid w:val="005C337E"/>
    <w:rsid w:val="005C7268"/>
    <w:rsid w:val="005D0ACB"/>
    <w:rsid w:val="005D1276"/>
    <w:rsid w:val="005D5C17"/>
    <w:rsid w:val="006026C3"/>
    <w:rsid w:val="006048C1"/>
    <w:rsid w:val="00606331"/>
    <w:rsid w:val="0060748A"/>
    <w:rsid w:val="00607C7A"/>
    <w:rsid w:val="00615EC1"/>
    <w:rsid w:val="0063643F"/>
    <w:rsid w:val="00640996"/>
    <w:rsid w:val="00640E6F"/>
    <w:rsid w:val="00643FD0"/>
    <w:rsid w:val="00654131"/>
    <w:rsid w:val="00654941"/>
    <w:rsid w:val="00661A3A"/>
    <w:rsid w:val="006710C2"/>
    <w:rsid w:val="006710CA"/>
    <w:rsid w:val="00673A0B"/>
    <w:rsid w:val="00674B90"/>
    <w:rsid w:val="00685664"/>
    <w:rsid w:val="00685E88"/>
    <w:rsid w:val="00693B71"/>
    <w:rsid w:val="006A41BB"/>
    <w:rsid w:val="006B16FA"/>
    <w:rsid w:val="006B2AA1"/>
    <w:rsid w:val="006B5FE0"/>
    <w:rsid w:val="006C5945"/>
    <w:rsid w:val="006D0758"/>
    <w:rsid w:val="006D0D2F"/>
    <w:rsid w:val="006D23E6"/>
    <w:rsid w:val="006D23E7"/>
    <w:rsid w:val="006D2AAB"/>
    <w:rsid w:val="006D2EA2"/>
    <w:rsid w:val="006E5372"/>
    <w:rsid w:val="006F39CE"/>
    <w:rsid w:val="00704095"/>
    <w:rsid w:val="007055C5"/>
    <w:rsid w:val="0071268E"/>
    <w:rsid w:val="00713BF9"/>
    <w:rsid w:val="0071736C"/>
    <w:rsid w:val="00750DA6"/>
    <w:rsid w:val="007579C1"/>
    <w:rsid w:val="00763CF1"/>
    <w:rsid w:val="00791601"/>
    <w:rsid w:val="007A265B"/>
    <w:rsid w:val="007C15F0"/>
    <w:rsid w:val="007C6D16"/>
    <w:rsid w:val="007D3239"/>
    <w:rsid w:val="007E7C8C"/>
    <w:rsid w:val="007F39AC"/>
    <w:rsid w:val="007F39E1"/>
    <w:rsid w:val="007F6D49"/>
    <w:rsid w:val="008113E9"/>
    <w:rsid w:val="00817D5A"/>
    <w:rsid w:val="00836E47"/>
    <w:rsid w:val="00840573"/>
    <w:rsid w:val="00844982"/>
    <w:rsid w:val="00847E0F"/>
    <w:rsid w:val="00854C30"/>
    <w:rsid w:val="00856C8E"/>
    <w:rsid w:val="00863DCC"/>
    <w:rsid w:val="008663A8"/>
    <w:rsid w:val="00872116"/>
    <w:rsid w:val="008825ED"/>
    <w:rsid w:val="00884E73"/>
    <w:rsid w:val="00887831"/>
    <w:rsid w:val="0089635B"/>
    <w:rsid w:val="008A4C29"/>
    <w:rsid w:val="008A72ED"/>
    <w:rsid w:val="008B0081"/>
    <w:rsid w:val="008D5F9E"/>
    <w:rsid w:val="008E2720"/>
    <w:rsid w:val="008E7F64"/>
    <w:rsid w:val="008F4B3B"/>
    <w:rsid w:val="009163DE"/>
    <w:rsid w:val="00920AC5"/>
    <w:rsid w:val="0093170C"/>
    <w:rsid w:val="00945A29"/>
    <w:rsid w:val="00952831"/>
    <w:rsid w:val="00956DE9"/>
    <w:rsid w:val="00971057"/>
    <w:rsid w:val="00975B9A"/>
    <w:rsid w:val="00987338"/>
    <w:rsid w:val="00991862"/>
    <w:rsid w:val="00994B63"/>
    <w:rsid w:val="009B5CCF"/>
    <w:rsid w:val="009B7651"/>
    <w:rsid w:val="009C4349"/>
    <w:rsid w:val="009D34B0"/>
    <w:rsid w:val="009D4E33"/>
    <w:rsid w:val="009E32FA"/>
    <w:rsid w:val="009F6746"/>
    <w:rsid w:val="00A04A31"/>
    <w:rsid w:val="00A11173"/>
    <w:rsid w:val="00A26F57"/>
    <w:rsid w:val="00A326A2"/>
    <w:rsid w:val="00A357BD"/>
    <w:rsid w:val="00A3588C"/>
    <w:rsid w:val="00A411BB"/>
    <w:rsid w:val="00A5635F"/>
    <w:rsid w:val="00A6166C"/>
    <w:rsid w:val="00A82BB6"/>
    <w:rsid w:val="00A939C4"/>
    <w:rsid w:val="00A96B97"/>
    <w:rsid w:val="00AB299A"/>
    <w:rsid w:val="00AC1B2B"/>
    <w:rsid w:val="00AC5C4E"/>
    <w:rsid w:val="00AC7D94"/>
    <w:rsid w:val="00AD17E5"/>
    <w:rsid w:val="00AD1E88"/>
    <w:rsid w:val="00AE030A"/>
    <w:rsid w:val="00AF44E1"/>
    <w:rsid w:val="00AF58D3"/>
    <w:rsid w:val="00B0445E"/>
    <w:rsid w:val="00B0635F"/>
    <w:rsid w:val="00B13D7C"/>
    <w:rsid w:val="00B1527C"/>
    <w:rsid w:val="00B343D3"/>
    <w:rsid w:val="00B40D74"/>
    <w:rsid w:val="00B45CC3"/>
    <w:rsid w:val="00B474A8"/>
    <w:rsid w:val="00B501BA"/>
    <w:rsid w:val="00B50EB6"/>
    <w:rsid w:val="00B54893"/>
    <w:rsid w:val="00B5607D"/>
    <w:rsid w:val="00B60DA5"/>
    <w:rsid w:val="00B75EBE"/>
    <w:rsid w:val="00B809EA"/>
    <w:rsid w:val="00B87962"/>
    <w:rsid w:val="00B91749"/>
    <w:rsid w:val="00BA00EB"/>
    <w:rsid w:val="00BA2E56"/>
    <w:rsid w:val="00BB154E"/>
    <w:rsid w:val="00BE320B"/>
    <w:rsid w:val="00BE6715"/>
    <w:rsid w:val="00BE6CCF"/>
    <w:rsid w:val="00BE7832"/>
    <w:rsid w:val="00BF1999"/>
    <w:rsid w:val="00C10C4F"/>
    <w:rsid w:val="00C14FFF"/>
    <w:rsid w:val="00C2282A"/>
    <w:rsid w:val="00C2460D"/>
    <w:rsid w:val="00C249E1"/>
    <w:rsid w:val="00C37FA2"/>
    <w:rsid w:val="00C44314"/>
    <w:rsid w:val="00C460B0"/>
    <w:rsid w:val="00C47C51"/>
    <w:rsid w:val="00C52CA8"/>
    <w:rsid w:val="00C555BD"/>
    <w:rsid w:val="00C62B41"/>
    <w:rsid w:val="00C73C3C"/>
    <w:rsid w:val="00C854F2"/>
    <w:rsid w:val="00C8724A"/>
    <w:rsid w:val="00CB237C"/>
    <w:rsid w:val="00CC0565"/>
    <w:rsid w:val="00CE2D61"/>
    <w:rsid w:val="00D03AD4"/>
    <w:rsid w:val="00D16C50"/>
    <w:rsid w:val="00D1775E"/>
    <w:rsid w:val="00D20396"/>
    <w:rsid w:val="00D245FD"/>
    <w:rsid w:val="00D306A3"/>
    <w:rsid w:val="00D35318"/>
    <w:rsid w:val="00D43A8B"/>
    <w:rsid w:val="00D5306E"/>
    <w:rsid w:val="00D57E8B"/>
    <w:rsid w:val="00D61887"/>
    <w:rsid w:val="00D63970"/>
    <w:rsid w:val="00D9197F"/>
    <w:rsid w:val="00DA4D96"/>
    <w:rsid w:val="00DB28DE"/>
    <w:rsid w:val="00DB6F55"/>
    <w:rsid w:val="00DC316A"/>
    <w:rsid w:val="00DD0542"/>
    <w:rsid w:val="00DD1D2D"/>
    <w:rsid w:val="00DE5C11"/>
    <w:rsid w:val="00E2419A"/>
    <w:rsid w:val="00E25CBF"/>
    <w:rsid w:val="00E32BBC"/>
    <w:rsid w:val="00E43725"/>
    <w:rsid w:val="00E44747"/>
    <w:rsid w:val="00E466CB"/>
    <w:rsid w:val="00E53901"/>
    <w:rsid w:val="00E56575"/>
    <w:rsid w:val="00E57F8E"/>
    <w:rsid w:val="00E61DDA"/>
    <w:rsid w:val="00E70B64"/>
    <w:rsid w:val="00E7745B"/>
    <w:rsid w:val="00E8229B"/>
    <w:rsid w:val="00E87A31"/>
    <w:rsid w:val="00EA2FE4"/>
    <w:rsid w:val="00EA518A"/>
    <w:rsid w:val="00EB191E"/>
    <w:rsid w:val="00EB24B4"/>
    <w:rsid w:val="00EB3E61"/>
    <w:rsid w:val="00ED2332"/>
    <w:rsid w:val="00ED2FAD"/>
    <w:rsid w:val="00EE5D5A"/>
    <w:rsid w:val="00EF2F0C"/>
    <w:rsid w:val="00EF394E"/>
    <w:rsid w:val="00F00DF5"/>
    <w:rsid w:val="00F0746B"/>
    <w:rsid w:val="00F07B60"/>
    <w:rsid w:val="00F13466"/>
    <w:rsid w:val="00F16B3F"/>
    <w:rsid w:val="00F217D1"/>
    <w:rsid w:val="00F2618C"/>
    <w:rsid w:val="00F31925"/>
    <w:rsid w:val="00F32607"/>
    <w:rsid w:val="00F45401"/>
    <w:rsid w:val="00F46550"/>
    <w:rsid w:val="00F534D9"/>
    <w:rsid w:val="00F552DF"/>
    <w:rsid w:val="00F65B19"/>
    <w:rsid w:val="00F73F6C"/>
    <w:rsid w:val="00FA0AD6"/>
    <w:rsid w:val="00FC1959"/>
    <w:rsid w:val="00FC1F5A"/>
    <w:rsid w:val="00FD137C"/>
    <w:rsid w:val="00FD4CA7"/>
    <w:rsid w:val="00FD688F"/>
    <w:rsid w:val="00FE22C2"/>
    <w:rsid w:val="00FE27A6"/>
    <w:rsid w:val="00F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Univers 55" w:hAnsi="Univers 55"/>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s>
      <w:ind w:left="1440" w:hanging="1440"/>
    </w:pPr>
  </w:style>
  <w:style w:type="paragraph" w:styleId="BodyText">
    <w:name w:val="Body Text"/>
    <w:basedOn w:val="Normal"/>
    <w:rPr>
      <w:rFonts w:ascii="Univers 45 Light" w:hAnsi="Univers 45 Light"/>
      <w:b/>
      <w:color w:val="FFFFFF"/>
      <w:sz w:val="20"/>
    </w:rPr>
  </w:style>
  <w:style w:type="paragraph" w:customStyle="1" w:styleId="PMCToolHeading1">
    <w:name w:val="PMC Tool Heading 1"/>
    <w:basedOn w:val="Normal"/>
    <w:pPr>
      <w:spacing w:before="60" w:after="120"/>
    </w:pPr>
    <w:rPr>
      <w:rFonts w:ascii="Univers 55" w:hAnsi="Univers 55"/>
      <w:b/>
      <w:sz w:val="28"/>
    </w:rPr>
  </w:style>
  <w:style w:type="paragraph" w:styleId="BodyTextIndent2">
    <w:name w:val="Body Text Indent 2"/>
    <w:basedOn w:val="Normal"/>
    <w:pPr>
      <w:tabs>
        <w:tab w:val="left" w:pos="1440"/>
      </w:tabs>
      <w:ind w:left="1440" w:hanging="1440"/>
    </w:pPr>
    <w:rPr>
      <w:rFonts w:ascii="Univers 45 Light" w:hAnsi="Univers 45 Light"/>
      <w:sz w:val="20"/>
    </w:rPr>
  </w:style>
  <w:style w:type="paragraph" w:styleId="BodyText2">
    <w:name w:val="Body Text 2"/>
    <w:basedOn w:val="Normal"/>
    <w:rPr>
      <w:rFonts w:ascii="Univers 45 Light" w:hAnsi="Univers 45 Light"/>
      <w:sz w:val="20"/>
    </w:rPr>
  </w:style>
  <w:style w:type="paragraph" w:customStyle="1" w:styleId="bullet">
    <w:name w:val="bullet"/>
    <w:basedOn w:val="Normal"/>
    <w:pPr>
      <w:numPr>
        <w:numId w:val="8"/>
      </w:numPr>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rPr>
      <w:rFonts w:ascii="Univers 55" w:hAnsi="Univers 55"/>
      <w:b/>
      <w:sz w:val="18"/>
    </w:rPr>
  </w:style>
  <w:style w:type="character" w:styleId="PageNumber">
    <w:name w:val="page number"/>
    <w:basedOn w:val="DefaultParagraphFont"/>
  </w:style>
  <w:style w:type="paragraph" w:styleId="BlockText">
    <w:name w:val="Block Text"/>
    <w:basedOn w:val="Normal"/>
    <w:pPr>
      <w:tabs>
        <w:tab w:val="left" w:pos="360"/>
      </w:tabs>
      <w:spacing w:after="120"/>
      <w:ind w:left="360" w:right="4770"/>
    </w:pPr>
    <w:rPr>
      <w:rFonts w:ascii="Univers 45 Light" w:hAnsi="Univers 45 Light"/>
      <w:i/>
      <w:sz w:val="20"/>
    </w:rPr>
  </w:style>
  <w:style w:type="paragraph" w:styleId="BalloonText">
    <w:name w:val="Balloon Text"/>
    <w:basedOn w:val="Normal"/>
    <w:link w:val="BalloonTextChar"/>
    <w:rsid w:val="007F39E1"/>
    <w:rPr>
      <w:rFonts w:ascii="Tahoma" w:hAnsi="Tahoma" w:cs="Tahoma"/>
      <w:sz w:val="16"/>
      <w:szCs w:val="16"/>
    </w:rPr>
  </w:style>
  <w:style w:type="character" w:customStyle="1" w:styleId="BalloonTextChar">
    <w:name w:val="Balloon Text Char"/>
    <w:link w:val="BalloonText"/>
    <w:rsid w:val="007F39E1"/>
    <w:rPr>
      <w:rFonts w:ascii="Tahoma" w:hAnsi="Tahoma" w:cs="Tahoma"/>
      <w:sz w:val="16"/>
      <w:szCs w:val="16"/>
    </w:rPr>
  </w:style>
  <w:style w:type="table" w:styleId="TableGrid">
    <w:name w:val="Table Grid"/>
    <w:basedOn w:val="TableNormal"/>
    <w:rsid w:val="0008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7A31"/>
    <w:rPr>
      <w:color w:val="800080"/>
      <w:u w:val="single"/>
    </w:rPr>
  </w:style>
  <w:style w:type="paragraph" w:styleId="ListParagraph">
    <w:name w:val="List Paragraph"/>
    <w:basedOn w:val="Normal"/>
    <w:uiPriority w:val="34"/>
    <w:qFormat/>
    <w:rsid w:val="00224E05"/>
    <w:pPr>
      <w:ind w:left="720"/>
      <w:contextualSpacing/>
    </w:pPr>
    <w:rPr>
      <w:rFonts w:ascii="Times New Roman" w:hAnsi="Times New Roman"/>
      <w:sz w:val="24"/>
      <w:szCs w:val="24"/>
    </w:rPr>
  </w:style>
  <w:style w:type="character" w:styleId="CommentReference">
    <w:name w:val="annotation reference"/>
    <w:rsid w:val="00523986"/>
    <w:rPr>
      <w:sz w:val="16"/>
      <w:szCs w:val="16"/>
    </w:rPr>
  </w:style>
  <w:style w:type="paragraph" w:styleId="CommentText">
    <w:name w:val="annotation text"/>
    <w:basedOn w:val="Normal"/>
    <w:link w:val="CommentTextChar"/>
    <w:rsid w:val="00523986"/>
    <w:rPr>
      <w:sz w:val="20"/>
    </w:rPr>
  </w:style>
  <w:style w:type="character" w:customStyle="1" w:styleId="CommentTextChar">
    <w:name w:val="Comment Text Char"/>
    <w:link w:val="CommentText"/>
    <w:rsid w:val="00523986"/>
    <w:rPr>
      <w:rFonts w:ascii="Arial" w:hAnsi="Arial"/>
    </w:rPr>
  </w:style>
  <w:style w:type="paragraph" w:styleId="CommentSubject">
    <w:name w:val="annotation subject"/>
    <w:basedOn w:val="CommentText"/>
    <w:next w:val="CommentText"/>
    <w:link w:val="CommentSubjectChar"/>
    <w:rsid w:val="00523986"/>
    <w:rPr>
      <w:b/>
      <w:bCs/>
    </w:rPr>
  </w:style>
  <w:style w:type="character" w:customStyle="1" w:styleId="CommentSubjectChar">
    <w:name w:val="Comment Subject Char"/>
    <w:link w:val="CommentSubject"/>
    <w:rsid w:val="00523986"/>
    <w:rPr>
      <w:rFonts w:ascii="Arial" w:hAnsi="Arial"/>
      <w:b/>
      <w:bCs/>
    </w:rPr>
  </w:style>
  <w:style w:type="paragraph" w:styleId="Revision">
    <w:name w:val="Revision"/>
    <w:hidden/>
    <w:uiPriority w:val="99"/>
    <w:semiHidden/>
    <w:rsid w:val="00090180"/>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Univers 55" w:hAnsi="Univers 55"/>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s>
      <w:ind w:left="1440" w:hanging="1440"/>
    </w:pPr>
  </w:style>
  <w:style w:type="paragraph" w:styleId="BodyText">
    <w:name w:val="Body Text"/>
    <w:basedOn w:val="Normal"/>
    <w:rPr>
      <w:rFonts w:ascii="Univers 45 Light" w:hAnsi="Univers 45 Light"/>
      <w:b/>
      <w:color w:val="FFFFFF"/>
      <w:sz w:val="20"/>
    </w:rPr>
  </w:style>
  <w:style w:type="paragraph" w:customStyle="1" w:styleId="PMCToolHeading1">
    <w:name w:val="PMC Tool Heading 1"/>
    <w:basedOn w:val="Normal"/>
    <w:pPr>
      <w:spacing w:before="60" w:after="120"/>
    </w:pPr>
    <w:rPr>
      <w:rFonts w:ascii="Univers 55" w:hAnsi="Univers 55"/>
      <w:b/>
      <w:sz w:val="28"/>
    </w:rPr>
  </w:style>
  <w:style w:type="paragraph" w:styleId="BodyTextIndent2">
    <w:name w:val="Body Text Indent 2"/>
    <w:basedOn w:val="Normal"/>
    <w:pPr>
      <w:tabs>
        <w:tab w:val="left" w:pos="1440"/>
      </w:tabs>
      <w:ind w:left="1440" w:hanging="1440"/>
    </w:pPr>
    <w:rPr>
      <w:rFonts w:ascii="Univers 45 Light" w:hAnsi="Univers 45 Light"/>
      <w:sz w:val="20"/>
    </w:rPr>
  </w:style>
  <w:style w:type="paragraph" w:styleId="BodyText2">
    <w:name w:val="Body Text 2"/>
    <w:basedOn w:val="Normal"/>
    <w:rPr>
      <w:rFonts w:ascii="Univers 45 Light" w:hAnsi="Univers 45 Light"/>
      <w:sz w:val="20"/>
    </w:rPr>
  </w:style>
  <w:style w:type="paragraph" w:customStyle="1" w:styleId="bullet">
    <w:name w:val="bullet"/>
    <w:basedOn w:val="Normal"/>
    <w:pPr>
      <w:numPr>
        <w:numId w:val="8"/>
      </w:numPr>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rPr>
      <w:rFonts w:ascii="Univers 55" w:hAnsi="Univers 55"/>
      <w:b/>
      <w:sz w:val="18"/>
    </w:rPr>
  </w:style>
  <w:style w:type="character" w:styleId="PageNumber">
    <w:name w:val="page number"/>
    <w:basedOn w:val="DefaultParagraphFont"/>
  </w:style>
  <w:style w:type="paragraph" w:styleId="BlockText">
    <w:name w:val="Block Text"/>
    <w:basedOn w:val="Normal"/>
    <w:pPr>
      <w:tabs>
        <w:tab w:val="left" w:pos="360"/>
      </w:tabs>
      <w:spacing w:after="120"/>
      <w:ind w:left="360" w:right="4770"/>
    </w:pPr>
    <w:rPr>
      <w:rFonts w:ascii="Univers 45 Light" w:hAnsi="Univers 45 Light"/>
      <w:i/>
      <w:sz w:val="20"/>
    </w:rPr>
  </w:style>
  <w:style w:type="paragraph" w:styleId="BalloonText">
    <w:name w:val="Balloon Text"/>
    <w:basedOn w:val="Normal"/>
    <w:link w:val="BalloonTextChar"/>
    <w:rsid w:val="007F39E1"/>
    <w:rPr>
      <w:rFonts w:ascii="Tahoma" w:hAnsi="Tahoma" w:cs="Tahoma"/>
      <w:sz w:val="16"/>
      <w:szCs w:val="16"/>
    </w:rPr>
  </w:style>
  <w:style w:type="character" w:customStyle="1" w:styleId="BalloonTextChar">
    <w:name w:val="Balloon Text Char"/>
    <w:link w:val="BalloonText"/>
    <w:rsid w:val="007F39E1"/>
    <w:rPr>
      <w:rFonts w:ascii="Tahoma" w:hAnsi="Tahoma" w:cs="Tahoma"/>
      <w:sz w:val="16"/>
      <w:szCs w:val="16"/>
    </w:rPr>
  </w:style>
  <w:style w:type="table" w:styleId="TableGrid">
    <w:name w:val="Table Grid"/>
    <w:basedOn w:val="TableNormal"/>
    <w:rsid w:val="0008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7A31"/>
    <w:rPr>
      <w:color w:val="800080"/>
      <w:u w:val="single"/>
    </w:rPr>
  </w:style>
  <w:style w:type="paragraph" w:styleId="ListParagraph">
    <w:name w:val="List Paragraph"/>
    <w:basedOn w:val="Normal"/>
    <w:uiPriority w:val="34"/>
    <w:qFormat/>
    <w:rsid w:val="00224E05"/>
    <w:pPr>
      <w:ind w:left="720"/>
      <w:contextualSpacing/>
    </w:pPr>
    <w:rPr>
      <w:rFonts w:ascii="Times New Roman" w:hAnsi="Times New Roman"/>
      <w:sz w:val="24"/>
      <w:szCs w:val="24"/>
    </w:rPr>
  </w:style>
  <w:style w:type="character" w:styleId="CommentReference">
    <w:name w:val="annotation reference"/>
    <w:rsid w:val="00523986"/>
    <w:rPr>
      <w:sz w:val="16"/>
      <w:szCs w:val="16"/>
    </w:rPr>
  </w:style>
  <w:style w:type="paragraph" w:styleId="CommentText">
    <w:name w:val="annotation text"/>
    <w:basedOn w:val="Normal"/>
    <w:link w:val="CommentTextChar"/>
    <w:rsid w:val="00523986"/>
    <w:rPr>
      <w:sz w:val="20"/>
    </w:rPr>
  </w:style>
  <w:style w:type="character" w:customStyle="1" w:styleId="CommentTextChar">
    <w:name w:val="Comment Text Char"/>
    <w:link w:val="CommentText"/>
    <w:rsid w:val="00523986"/>
    <w:rPr>
      <w:rFonts w:ascii="Arial" w:hAnsi="Arial"/>
    </w:rPr>
  </w:style>
  <w:style w:type="paragraph" w:styleId="CommentSubject">
    <w:name w:val="annotation subject"/>
    <w:basedOn w:val="CommentText"/>
    <w:next w:val="CommentText"/>
    <w:link w:val="CommentSubjectChar"/>
    <w:rsid w:val="00523986"/>
    <w:rPr>
      <w:b/>
      <w:bCs/>
    </w:rPr>
  </w:style>
  <w:style w:type="character" w:customStyle="1" w:styleId="CommentSubjectChar">
    <w:name w:val="Comment Subject Char"/>
    <w:link w:val="CommentSubject"/>
    <w:rsid w:val="00523986"/>
    <w:rPr>
      <w:rFonts w:ascii="Arial" w:hAnsi="Arial"/>
      <w:b/>
      <w:bCs/>
    </w:rPr>
  </w:style>
  <w:style w:type="paragraph" w:styleId="Revision">
    <w:name w:val="Revision"/>
    <w:hidden/>
    <w:uiPriority w:val="99"/>
    <w:semiHidden/>
    <w:rsid w:val="0009018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9668">
      <w:bodyDiv w:val="1"/>
      <w:marLeft w:val="0"/>
      <w:marRight w:val="0"/>
      <w:marTop w:val="0"/>
      <w:marBottom w:val="0"/>
      <w:divBdr>
        <w:top w:val="none" w:sz="0" w:space="0" w:color="auto"/>
        <w:left w:val="none" w:sz="0" w:space="0" w:color="auto"/>
        <w:bottom w:val="none" w:sz="0" w:space="0" w:color="auto"/>
        <w:right w:val="none" w:sz="0" w:space="0" w:color="auto"/>
      </w:divBdr>
      <w:divsChild>
        <w:div w:id="280918152">
          <w:marLeft w:val="518"/>
          <w:marRight w:val="0"/>
          <w:marTop w:val="134"/>
          <w:marBottom w:val="0"/>
          <w:divBdr>
            <w:top w:val="none" w:sz="0" w:space="0" w:color="auto"/>
            <w:left w:val="none" w:sz="0" w:space="0" w:color="auto"/>
            <w:bottom w:val="none" w:sz="0" w:space="0" w:color="auto"/>
            <w:right w:val="none" w:sz="0" w:space="0" w:color="auto"/>
          </w:divBdr>
        </w:div>
        <w:div w:id="683827319">
          <w:marLeft w:val="518"/>
          <w:marRight w:val="0"/>
          <w:marTop w:val="134"/>
          <w:marBottom w:val="0"/>
          <w:divBdr>
            <w:top w:val="none" w:sz="0" w:space="0" w:color="auto"/>
            <w:left w:val="none" w:sz="0" w:space="0" w:color="auto"/>
            <w:bottom w:val="none" w:sz="0" w:space="0" w:color="auto"/>
            <w:right w:val="none" w:sz="0" w:space="0" w:color="auto"/>
          </w:divBdr>
        </w:div>
        <w:div w:id="905722962">
          <w:marLeft w:val="518"/>
          <w:marRight w:val="0"/>
          <w:marTop w:val="134"/>
          <w:marBottom w:val="0"/>
          <w:divBdr>
            <w:top w:val="none" w:sz="0" w:space="0" w:color="auto"/>
            <w:left w:val="none" w:sz="0" w:space="0" w:color="auto"/>
            <w:bottom w:val="none" w:sz="0" w:space="0" w:color="auto"/>
            <w:right w:val="none" w:sz="0" w:space="0" w:color="auto"/>
          </w:divBdr>
        </w:div>
        <w:div w:id="1035810720">
          <w:marLeft w:val="518"/>
          <w:marRight w:val="0"/>
          <w:marTop w:val="134"/>
          <w:marBottom w:val="0"/>
          <w:divBdr>
            <w:top w:val="none" w:sz="0" w:space="0" w:color="auto"/>
            <w:left w:val="none" w:sz="0" w:space="0" w:color="auto"/>
            <w:bottom w:val="none" w:sz="0" w:space="0" w:color="auto"/>
            <w:right w:val="none" w:sz="0" w:space="0" w:color="auto"/>
          </w:divBdr>
        </w:div>
        <w:div w:id="1186403851">
          <w:marLeft w:val="518"/>
          <w:marRight w:val="0"/>
          <w:marTop w:val="134"/>
          <w:marBottom w:val="0"/>
          <w:divBdr>
            <w:top w:val="none" w:sz="0" w:space="0" w:color="auto"/>
            <w:left w:val="none" w:sz="0" w:space="0" w:color="auto"/>
            <w:bottom w:val="none" w:sz="0" w:space="0" w:color="auto"/>
            <w:right w:val="none" w:sz="0" w:space="0" w:color="auto"/>
          </w:divBdr>
        </w:div>
        <w:div w:id="1690325799">
          <w:marLeft w:val="518"/>
          <w:marRight w:val="0"/>
          <w:marTop w:val="134"/>
          <w:marBottom w:val="0"/>
          <w:divBdr>
            <w:top w:val="none" w:sz="0" w:space="0" w:color="auto"/>
            <w:left w:val="none" w:sz="0" w:space="0" w:color="auto"/>
            <w:bottom w:val="none" w:sz="0" w:space="0" w:color="auto"/>
            <w:right w:val="none" w:sz="0" w:space="0" w:color="auto"/>
          </w:divBdr>
        </w:div>
      </w:divsChild>
    </w:div>
    <w:div w:id="551961202">
      <w:bodyDiv w:val="1"/>
      <w:marLeft w:val="0"/>
      <w:marRight w:val="0"/>
      <w:marTop w:val="0"/>
      <w:marBottom w:val="0"/>
      <w:divBdr>
        <w:top w:val="none" w:sz="0" w:space="0" w:color="auto"/>
        <w:left w:val="none" w:sz="0" w:space="0" w:color="auto"/>
        <w:bottom w:val="none" w:sz="0" w:space="0" w:color="auto"/>
        <w:right w:val="none" w:sz="0" w:space="0" w:color="auto"/>
      </w:divBdr>
    </w:div>
    <w:div w:id="655453579">
      <w:bodyDiv w:val="1"/>
      <w:marLeft w:val="0"/>
      <w:marRight w:val="0"/>
      <w:marTop w:val="0"/>
      <w:marBottom w:val="0"/>
      <w:divBdr>
        <w:top w:val="none" w:sz="0" w:space="0" w:color="auto"/>
        <w:left w:val="none" w:sz="0" w:space="0" w:color="auto"/>
        <w:bottom w:val="none" w:sz="0" w:space="0" w:color="auto"/>
        <w:right w:val="none" w:sz="0" w:space="0" w:color="auto"/>
      </w:divBdr>
      <w:divsChild>
        <w:div w:id="1466389734">
          <w:marLeft w:val="1152"/>
          <w:marRight w:val="0"/>
          <w:marTop w:val="125"/>
          <w:marBottom w:val="0"/>
          <w:divBdr>
            <w:top w:val="none" w:sz="0" w:space="0" w:color="auto"/>
            <w:left w:val="none" w:sz="0" w:space="0" w:color="auto"/>
            <w:bottom w:val="none" w:sz="0" w:space="0" w:color="auto"/>
            <w:right w:val="none" w:sz="0" w:space="0" w:color="auto"/>
          </w:divBdr>
        </w:div>
      </w:divsChild>
    </w:div>
    <w:div w:id="10183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hf.org/focusareas/performancemanagement/toolkit/Pages/PM_Toolkit_Self_Assessmen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A448-A602-418A-8A12-2FE19BDF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Leading Indicators Group:</vt:lpstr>
    </vt:vector>
  </TitlesOfParts>
  <Company>PHF</Company>
  <LinksUpToDate>false</LinksUpToDate>
  <CharactersWithSpaces>4650</CharactersWithSpaces>
  <SharedDoc>false</SharedDoc>
  <HLinks>
    <vt:vector size="6" baseType="variant">
      <vt:variant>
        <vt:i4>6684703</vt:i4>
      </vt:variant>
      <vt:variant>
        <vt:i4>0</vt:i4>
      </vt:variant>
      <vt:variant>
        <vt:i4>0</vt:i4>
      </vt:variant>
      <vt:variant>
        <vt:i4>5</vt:i4>
      </vt:variant>
      <vt:variant>
        <vt:lpwstr>http://www.phf.org/focusareas/performancemanagement/toolkit/Pages/PM_Toolkit_Self_Assessment.aspx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Indicators Group:</dc:title>
  <dc:creator>Sue Madden</dc:creator>
  <cp:lastModifiedBy>DHHS</cp:lastModifiedBy>
  <cp:revision>2</cp:revision>
  <cp:lastPrinted>2013-06-14T14:44:00Z</cp:lastPrinted>
  <dcterms:created xsi:type="dcterms:W3CDTF">2016-01-15T16:17:00Z</dcterms:created>
  <dcterms:modified xsi:type="dcterms:W3CDTF">2016-01-15T16:17:00Z</dcterms:modified>
</cp:coreProperties>
</file>