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2D:_Assessing_Current"/>
      <w:bookmarkStart w:id="1" w:name="_Toc332135146"/>
      <w:bookmarkStart w:id="2" w:name="_Toc332373581"/>
      <w:bookmarkStart w:id="3" w:name="_Toc334978051"/>
      <w:bookmarkStart w:id="4" w:name="_Toc335210886"/>
      <w:bookmarkStart w:id="5" w:name="_Toc336583061"/>
      <w:bookmarkStart w:id="6" w:name="_Toc337028917"/>
      <w:bookmarkStart w:id="7" w:name="_Toc337981980"/>
      <w:bookmarkStart w:id="8" w:name="_Toc340757824"/>
      <w:bookmarkEnd w:id="0"/>
      <w:r>
        <w:t>2D: Assessing Current Fall P</w:t>
      </w:r>
      <w:r w:rsidR="00B33003">
        <w:t>r</w:t>
      </w:r>
      <w:r>
        <w:t>evention Policies and Practices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 xml:space="preserve">Background: </w:t>
      </w:r>
      <w:r w:rsidRPr="00EA6B53">
        <w:t>The purpose of this self-assessment tool is to identify what processes of care your hospital has in place and what areas need improvement.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Reference:</w:t>
      </w:r>
      <w:r w:rsidRPr="00EA6B53">
        <w:t xml:space="preserve"> Adapted from AHRQ publication on the Falls Management Program for nursing homes. </w:t>
      </w:r>
      <w:hyperlink r:id="rId7" w:history="1">
        <w:r w:rsidRPr="00EA6B53">
          <w:rPr>
            <w:rStyle w:val="Hyperlink"/>
          </w:rPr>
          <w:t>www.ahrq.gov/research/ltc/fallspx/fallspxmanual.htm</w:t>
        </w:r>
      </w:hyperlink>
      <w:r w:rsidRPr="00EA6B53">
        <w:t>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A6B53">
        <w:rPr>
          <w:b/>
        </w:rPr>
        <w:t>How to use this tool:</w:t>
      </w:r>
      <w:r w:rsidRPr="00EA6B53">
        <w:t xml:space="preserve"> This tool should be filled out by the Implementation Team leader. Use your hospital’s policies, procedures, and general practices to answer the questions. 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t>The results from this self-assessment can help you identify which areas need improvement and develop a plan.</w:t>
      </w:r>
    </w:p>
    <w:p w:rsidR="00EA6B53" w:rsidRPr="00EA6B53" w:rsidRDefault="00EA6B53" w:rsidP="00EA6B53"/>
    <w:p w:rsidR="0032205F" w:rsidRDefault="0032205F" w:rsidP="00FC230D">
      <w:pPr>
        <w:sectPr w:rsidR="0032205F" w:rsidSect="0032205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142607" w:rsidRPr="005169B3" w:rsidRDefault="005169B3" w:rsidP="00FC230D">
      <w:pPr>
        <w:pStyle w:val="Heading5"/>
      </w:pPr>
      <w:r>
        <w:lastRenderedPageBreak/>
        <w:t>Current Fall Prevention Policies and Practices</w:t>
      </w:r>
    </w:p>
    <w:tbl>
      <w:tblPr>
        <w:tblW w:w="0" w:type="auto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37"/>
        <w:gridCol w:w="4478"/>
        <w:gridCol w:w="630"/>
        <w:gridCol w:w="540"/>
        <w:gridCol w:w="1498"/>
      </w:tblGrid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D" w:rsidRDefault="00142607" w:rsidP="00DD6A3D">
            <w:pPr>
              <w:spacing w:after="0"/>
            </w:pPr>
            <w:r w:rsidRPr="00C42C79">
              <w:t>A. Culture, Organizational Commitment, and Team Skills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Comments</w:t>
            </w: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1. Updated policies and procedures for a comprehensive fall prevention program?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2. Appointed falls team leader and resource person for staff?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3. Selection of staff members for interdisciplinary falls team?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4. Monthly falls team meeting using ground rules, leader, timekeeper, and recorder?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5. High-level managers attend team meetings periodically and monitor falls data at least quarterly?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6. No blame/no shame environment with honest investigation and reporting by staff?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7. Celebration of success stories and rewards for caregivers who reduce falls?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8. Adequate staffing for team leader to spend 8 hours/week and team to meet for 60 minutes/month?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9. Funds for adaptive equipment and environmental modifications?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10. Employee orientation materials emphasize importance of and hospital commitment to patient safety?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D" w:rsidRDefault="00142607" w:rsidP="00DD6A3D">
            <w:pPr>
              <w:spacing w:after="0"/>
            </w:pPr>
            <w:r w:rsidRPr="00C42C79">
              <w:t>B. Data Collection and Analysis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Comments</w:t>
            </w: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1. Accurate completion of fall incident report form by all staff?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2. Monthly falls analysis by: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location and time of fall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shift and day of week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type of injury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3. Monthly falls analysis computed as falls/1</w:t>
            </w:r>
            <w:r w:rsidR="005169B3" w:rsidRPr="00C42C79">
              <w:t>,</w:t>
            </w:r>
            <w:r w:rsidRPr="00C42C79">
              <w:t>000 patient-days?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4. Falls data reported to hospital management every quarter?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5. Feedback about falls data given to direct care staff each month?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6. Falls data trended over 6 months or more?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</w:tbl>
    <w:p w:rsidR="00A9769C" w:rsidRDefault="00A9769C" w:rsidP="00FC230D">
      <w:pPr>
        <w:sectPr w:rsidR="00A9769C" w:rsidSect="00A9769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0015"/>
        <w:gridCol w:w="630"/>
        <w:gridCol w:w="540"/>
        <w:gridCol w:w="1498"/>
      </w:tblGrid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D" w:rsidRDefault="00142607" w:rsidP="00DD6A3D">
            <w:pPr>
              <w:spacing w:after="0"/>
            </w:pPr>
            <w:r w:rsidRPr="00C42C79">
              <w:lastRenderedPageBreak/>
              <w:t>C. Staff Training and Information for Patients and Families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Comments</w:t>
            </w: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1. Education on fall prevention during new employee orientation and training?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 xml:space="preserve">2. Annual </w:t>
            </w:r>
            <w:proofErr w:type="spellStart"/>
            <w:r w:rsidRPr="00C42C79">
              <w:t>inservice</w:t>
            </w:r>
            <w:proofErr w:type="spellEnd"/>
            <w:r w:rsidRPr="00C42C79">
              <w:t xml:space="preserve"> training on fall prevention for all staff?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 xml:space="preserve">3. Staff education materials, including: 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H</w:t>
            </w:r>
            <w:r w:rsidR="00142607" w:rsidRPr="00C42C79">
              <w:t>ospital policies and procedures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F</w:t>
            </w:r>
            <w:r w:rsidR="00142607" w:rsidRPr="00C42C79">
              <w:t>all risk factors and consequences of falls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H</w:t>
            </w:r>
            <w:r w:rsidR="00142607" w:rsidRPr="00C42C79">
              <w:t>igh-risk medications, sleep hygiene measures for management of anxiety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L</w:t>
            </w:r>
            <w:r w:rsidR="00142607" w:rsidRPr="00C42C79">
              <w:t>ow blood pressure precautions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L</w:t>
            </w:r>
            <w:r w:rsidR="00142607" w:rsidRPr="00C42C79">
              <w:t>ow vision precautions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S</w:t>
            </w:r>
            <w:r w:rsidR="00142607" w:rsidRPr="00C42C79">
              <w:t>afety during transfer, ambulation, and wheelchair use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U</w:t>
            </w:r>
            <w:r w:rsidR="00142607" w:rsidRPr="00C42C79">
              <w:t>nsafe behaviors, monitoring devices, and management strategies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E</w:t>
            </w:r>
            <w:r w:rsidR="00142607" w:rsidRPr="00C42C79">
              <w:t>nvironment and equipment safety hazards and methods for improvement</w:t>
            </w:r>
          </w:p>
          <w:p w:rsidR="00142607" w:rsidRPr="00C42C79" w:rsidRDefault="005169B3" w:rsidP="00DD6A3D">
            <w:pPr>
              <w:pStyle w:val="ListParagraph"/>
              <w:spacing w:after="0"/>
            </w:pPr>
            <w:r w:rsidRPr="00C42C79">
              <w:t>F</w:t>
            </w:r>
            <w:r w:rsidR="00142607" w:rsidRPr="00C42C79">
              <w:t>oot care and footwear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 xml:space="preserve">4. All nurses trained in a fall response system that includes: 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I</w:t>
            </w:r>
            <w:r w:rsidR="00142607" w:rsidRPr="00C42C79">
              <w:t>mmediate evaluation and increased monitoring of patient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I</w:t>
            </w:r>
            <w:r w:rsidR="00142607" w:rsidRPr="00C42C79">
              <w:t>nvestigation of fall circumstances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D</w:t>
            </w:r>
            <w:r w:rsidR="00142607" w:rsidRPr="00C42C79">
              <w:t>ocumentation of fall</w:t>
            </w:r>
          </w:p>
          <w:p w:rsidR="00142607" w:rsidRPr="00C42C79" w:rsidRDefault="005169B3" w:rsidP="00DD6A3D">
            <w:pPr>
              <w:pStyle w:val="ListParagraph"/>
              <w:spacing w:after="0"/>
            </w:pPr>
            <w:r w:rsidRPr="00C42C79">
              <w:t>I</w:t>
            </w:r>
            <w:r w:rsidR="00142607" w:rsidRPr="00C42C79">
              <w:t>mmediate in</w:t>
            </w:r>
            <w:r w:rsidR="00C872E0" w:rsidRPr="00C42C79">
              <w:t>tervention within first 8 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5. Information for families and patients on fall risk reduction?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6. Medical staff given information about the program and their role?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D" w:rsidRDefault="00142607" w:rsidP="00DD6A3D">
            <w:pPr>
              <w:spacing w:after="0"/>
            </w:pPr>
            <w:r w:rsidRPr="00C42C79">
              <w:t>D. Environment and Equipment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Comments</w:t>
            </w: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 xml:space="preserve">1. Regular inspection of all resident rooms and bathrooms for safety problems, including: 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C</w:t>
            </w:r>
            <w:r w:rsidR="00142607" w:rsidRPr="00C42C79">
              <w:t>lutter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P</w:t>
            </w:r>
            <w:r w:rsidR="00142607" w:rsidRPr="00C42C79">
              <w:t>oor or insufficient lighting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U</w:t>
            </w:r>
            <w:r w:rsidR="00142607" w:rsidRPr="00C42C79">
              <w:t>nstable furniture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H</w:t>
            </w:r>
            <w:r w:rsidR="00142607" w:rsidRPr="00C42C79">
              <w:t>ard-to-reach personal items</w:t>
            </w:r>
          </w:p>
          <w:p w:rsidR="003156D3" w:rsidRPr="00C42C79" w:rsidRDefault="005169B3" w:rsidP="00DD6A3D">
            <w:pPr>
              <w:pStyle w:val="ListParagraph"/>
              <w:spacing w:after="0"/>
            </w:pPr>
            <w:r w:rsidRPr="00C42C79">
              <w:t>U</w:t>
            </w:r>
            <w:r w:rsidR="00142607" w:rsidRPr="00C42C79">
              <w:t>nsafe flooring</w:t>
            </w:r>
          </w:p>
          <w:p w:rsidR="00142607" w:rsidRPr="00C42C79" w:rsidRDefault="005169B3" w:rsidP="00DD6A3D">
            <w:pPr>
              <w:pStyle w:val="ListParagraph"/>
              <w:spacing w:after="0"/>
            </w:pPr>
            <w:r w:rsidRPr="00C42C79">
              <w:t>F</w:t>
            </w:r>
            <w:r w:rsidR="00142607" w:rsidRPr="00C42C79">
              <w:t xml:space="preserve">oot </w:t>
            </w:r>
            <w:r w:rsidRPr="00C42C79">
              <w:t xml:space="preserve">care </w:t>
            </w:r>
            <w:r w:rsidR="00142607" w:rsidRPr="00C42C79">
              <w:t>and foot</w:t>
            </w:r>
            <w:r w:rsidRPr="00C42C79">
              <w:t>wear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2. All staff trained to inspect and report environmental and equipment safety problems?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3. Repair of reported safety problems in a timely manner by maintenance staff?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4. Inspection and repair of all wheelchairs, canes, and walkers every 6 months?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  <w:tr w:rsidR="00142607" w:rsidRPr="00C42C79" w:rsidTr="00C42C79">
        <w:trPr>
          <w:trHeight w:val="20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  <w:r w:rsidRPr="00C42C79">
              <w:t>5. Communications and inspections documented for ongoing monitoring and accountability?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Pr="00C42C79" w:rsidRDefault="00142607" w:rsidP="00DD6A3D">
            <w:pPr>
              <w:spacing w:after="0"/>
            </w:pPr>
          </w:p>
        </w:tc>
      </w:tr>
    </w:tbl>
    <w:p w:rsidR="00BE2723" w:rsidRPr="0057133F" w:rsidRDefault="00BE2723" w:rsidP="00A9769C">
      <w:pPr>
        <w:pStyle w:val="Heading3"/>
        <w:keepNext w:val="0"/>
        <w:widowControl w:val="0"/>
        <w:spacing w:after="0"/>
        <w:rPr>
          <w:sz w:val="20"/>
          <w:szCs w:val="20"/>
        </w:rPr>
      </w:pPr>
      <w:bookmarkStart w:id="9" w:name="_2E:_Falls_kKnowledge"/>
      <w:bookmarkStart w:id="10" w:name="_2E:_Fall_Knowledge"/>
      <w:bookmarkEnd w:id="9"/>
      <w:bookmarkEnd w:id="10"/>
    </w:p>
    <w:sectPr w:rsidR="00BE2723" w:rsidRPr="0057133F" w:rsidSect="00A9769C">
      <w:pgSz w:w="15840" w:h="12240" w:orient="landscape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9C3A64" w:rsidRDefault="003128F0" w:rsidP="00B33003">
    <w:pPr>
      <w:pStyle w:val="Footer"/>
      <w:spacing w:after="0"/>
    </w:pPr>
    <w:r>
      <w:t>Section 7: Tools</w:t>
    </w:r>
    <w:r>
      <w:tab/>
    </w:r>
    <w:fldSimple w:instr=" PAGE   \* MERGEFORMAT ">
      <w:r w:rsidR="00A9769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A9769C" w:rsidRDefault="003128F0" w:rsidP="00A9769C">
    <w:pPr>
      <w:pStyle w:val="Footer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301A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69C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hrq.gov/research/ltc/fallspx/fallspxmanua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2013-01-28T23:36:00Z</dcterms:created>
  <dcterms:modified xsi:type="dcterms:W3CDTF">2013-01-28T23:41:00Z</dcterms:modified>
</cp:coreProperties>
</file>