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64" w:rsidRDefault="004A2464" w:rsidP="00FC230D">
      <w:pPr>
        <w:pStyle w:val="Heading3"/>
      </w:pPr>
      <w:bookmarkStart w:id="0" w:name="_3F:_Orthostatic_Vital"/>
      <w:bookmarkStart w:id="1" w:name="_Toc332135158"/>
      <w:bookmarkStart w:id="2" w:name="_Toc332373593"/>
      <w:bookmarkStart w:id="3" w:name="_Toc334978063"/>
      <w:bookmarkStart w:id="4" w:name="_Toc335210898"/>
      <w:bookmarkStart w:id="5" w:name="_Toc336583073"/>
      <w:bookmarkStart w:id="6" w:name="_Toc337028929"/>
      <w:bookmarkStart w:id="7" w:name="_Toc337981992"/>
      <w:bookmarkStart w:id="8" w:name="_Toc340757836"/>
      <w:bookmarkStart w:id="9" w:name="_Toc332135155"/>
      <w:bookmarkStart w:id="10" w:name="_Toc332373590"/>
      <w:bookmarkStart w:id="11" w:name="_Toc334978060"/>
      <w:bookmarkStart w:id="12" w:name="_Toc335210895"/>
      <w:bookmarkStart w:id="13" w:name="_Toc336583070"/>
      <w:bookmarkStart w:id="14" w:name="_Toc337028926"/>
      <w:bookmarkStart w:id="15" w:name="_Toc337981989"/>
      <w:bookmarkStart w:id="16" w:name="_Toc340757833"/>
      <w:bookmarkEnd w:id="0"/>
      <w:r>
        <w:t>3F: Orthostatic Vital Sign Measurement</w:t>
      </w:r>
      <w:bookmarkEnd w:id="1"/>
      <w:bookmarkEnd w:id="2"/>
      <w:bookmarkEnd w:id="3"/>
      <w:bookmarkEnd w:id="4"/>
      <w:bookmarkEnd w:id="5"/>
      <w:bookmarkEnd w:id="6"/>
      <w:bookmarkEnd w:id="7"/>
      <w:bookmarkEnd w:id="8"/>
      <w:r>
        <w:t xml:space="preserve"> </w:t>
      </w:r>
    </w:p>
    <w:tbl>
      <w:tblPr>
        <w:tblStyle w:val="TableGrid"/>
        <w:tblW w:w="0" w:type="auto"/>
        <w:tblLook w:val="04A0"/>
      </w:tblPr>
      <w:tblGrid>
        <w:gridCol w:w="9576"/>
      </w:tblGrid>
      <w:tr w:rsidR="00EA6B53" w:rsidRPr="00EA6B53" w:rsidTr="00B33003">
        <w:trPr>
          <w:trHeight w:val="7488"/>
        </w:trPr>
        <w:tc>
          <w:tcPr>
            <w:tcW w:w="9576" w:type="dxa"/>
          </w:tcPr>
          <w:p w:rsidR="00EA6B53" w:rsidRPr="00EA6B53" w:rsidRDefault="00EA6B53" w:rsidP="00EA6B53">
            <w:r w:rsidRPr="00EA6B53">
              <w:rPr>
                <w:b/>
              </w:rPr>
              <w:t>Background:</w:t>
            </w:r>
            <w:r w:rsidRPr="00EA6B53">
              <w:t xml:space="preserve"> This tool can be used to identify orthostatic hypotension, a risk factor for falls in hospitalized patients. </w:t>
            </w:r>
          </w:p>
          <w:p w:rsidR="00EA6B53" w:rsidRPr="00EA6B53" w:rsidRDefault="00EA6B53" w:rsidP="00EA6B53">
            <w:r w:rsidRPr="00EA6B53">
              <w:rPr>
                <w:b/>
              </w:rPr>
              <w:t>Reference:</w:t>
            </w:r>
            <w:r w:rsidRPr="00EA6B53">
              <w:t xml:space="preserve"> Adapted from: John Dempsey Hospital Department of Nursing Clinical Manual/Nursing Practice Manual (available at: </w:t>
            </w:r>
            <w:hyperlink r:id="rId7" w:tooltip="John Dempsey Hospital Nursing Clinical/Practical Manual protocol on orthostatics" w:history="1">
              <w:r w:rsidRPr="00EA6B53">
                <w:rPr>
                  <w:rStyle w:val="Hyperlink"/>
                </w:rPr>
                <w:t>http://nursing.uchc.edu/nursing_standards/docs/Orthostatic%20(Postural)%20Vital%20Sign%20Measurement.pdf</w:t>
              </w:r>
            </w:hyperlink>
            <w:r w:rsidRPr="00EA6B53">
              <w:t xml:space="preserve"> ) with information from </w:t>
            </w:r>
            <w:proofErr w:type="spellStart"/>
            <w:r w:rsidRPr="00EA6B53">
              <w:t>MaineHealth</w:t>
            </w:r>
            <w:proofErr w:type="spellEnd"/>
            <w:r w:rsidRPr="00EA6B53">
              <w:t xml:space="preserve"> Cardiovascular Health (available at: </w:t>
            </w:r>
            <w:hyperlink r:id="rId8" w:history="1">
              <w:r w:rsidRPr="00EA6B53">
                <w:rPr>
                  <w:rStyle w:val="Hyperlink"/>
                </w:rPr>
                <w:t>www.mainehealth.org/workfiles/mh_healthinformation/Measuring_Orthostatic_Vital_</w:t>
              </w:r>
              <w:r w:rsidR="009F21B7">
                <w:rPr>
                  <w:rStyle w:val="Hyperlink"/>
                </w:rPr>
                <w:br w:type="textWrapping" w:clear="all"/>
              </w:r>
              <w:r w:rsidRPr="00EA6B53">
                <w:rPr>
                  <w:rStyle w:val="Hyperlink"/>
                </w:rPr>
                <w:t>Signs.pdf</w:t>
              </w:r>
            </w:hyperlink>
            <w:r w:rsidRPr="00EA6B53">
              <w:t>)</w:t>
            </w:r>
            <w:r w:rsidR="009F21B7">
              <w:t>.</w:t>
            </w:r>
          </w:p>
          <w:p w:rsidR="00EA6B53" w:rsidRPr="00EA6B53" w:rsidRDefault="00EA6B53" w:rsidP="00EA6B53">
            <w:r w:rsidRPr="00EA6B53">
              <w:rPr>
                <w:b/>
              </w:rPr>
              <w:t>How to use this tool:</w:t>
            </w:r>
            <w:r w:rsidRPr="00EA6B53">
              <w:t xml:space="preserve"> Staff nurses and nursing assistants typically complete this protocol. All findings should be reported to the treating medical provider. The decision whether to use this protocol on all patients (e.g., on admission), or as needed, will depend on the specific unit. However, consider checking orthostatic vital signs:</w:t>
            </w:r>
          </w:p>
          <w:p w:rsidR="00EA6B53" w:rsidRPr="00EA6B53" w:rsidRDefault="00EA6B53" w:rsidP="00EA6B53">
            <w:pPr>
              <w:pStyle w:val="ListBullet"/>
            </w:pPr>
            <w:r w:rsidRPr="00EA6B53">
              <w:t>After a fall.</w:t>
            </w:r>
          </w:p>
          <w:p w:rsidR="00EA6B53" w:rsidRPr="00EA6B53" w:rsidRDefault="00EA6B53" w:rsidP="00EA6B53">
            <w:pPr>
              <w:pStyle w:val="ListBullet"/>
            </w:pPr>
            <w:r w:rsidRPr="00EA6B53">
              <w:t xml:space="preserve">When a patient complains of a symptom that may be due to </w:t>
            </w:r>
            <w:proofErr w:type="spellStart"/>
            <w:r w:rsidRPr="00EA6B53">
              <w:t>orthostasis</w:t>
            </w:r>
            <w:proofErr w:type="spellEnd"/>
            <w:r w:rsidRPr="00EA6B53">
              <w:t xml:space="preserve"> (e.g., lightheadedness).</w:t>
            </w:r>
          </w:p>
          <w:p w:rsidR="00EA6B53" w:rsidRPr="00EA6B53" w:rsidRDefault="00EA6B53" w:rsidP="00EA6B53">
            <w:pPr>
              <w:pStyle w:val="ListBullet"/>
            </w:pPr>
            <w:r w:rsidRPr="00EA6B53">
              <w:t xml:space="preserve">As part of a routine admission assessment on units where patients frequently take medications that cause </w:t>
            </w:r>
            <w:proofErr w:type="spellStart"/>
            <w:r w:rsidRPr="00EA6B53">
              <w:t>orthostasis</w:t>
            </w:r>
            <w:proofErr w:type="spellEnd"/>
            <w:r w:rsidRPr="00EA6B53">
              <w:t xml:space="preserve"> (e.g., geriatric psychiatry).</w:t>
            </w:r>
          </w:p>
          <w:p w:rsidR="00EA6B53" w:rsidRPr="00EA6B53" w:rsidRDefault="00EA6B53" w:rsidP="00EA6B53">
            <w:pPr>
              <w:pStyle w:val="ListBullet"/>
            </w:pPr>
            <w:r w:rsidRPr="00EA6B53">
              <w:t xml:space="preserve">When a patient is on a medication that may cause </w:t>
            </w:r>
            <w:proofErr w:type="spellStart"/>
            <w:r w:rsidRPr="00EA6B53">
              <w:t>orthostasis</w:t>
            </w:r>
            <w:proofErr w:type="spellEnd"/>
            <w:r w:rsidRPr="00EA6B53">
              <w:t xml:space="preserve"> and has other risk factors for falls.</w:t>
            </w:r>
          </w:p>
          <w:p w:rsidR="00EA6B53" w:rsidRPr="00EA6B53" w:rsidRDefault="00EA6B53" w:rsidP="00B33003">
            <w:pPr>
              <w:spacing w:after="60"/>
            </w:pPr>
            <w:r w:rsidRPr="00EA6B53">
              <w:t xml:space="preserve">Use this tool in conjunction with clinical assessment and a standard assessment of fall risk factors (e.g., </w:t>
            </w:r>
            <w:r w:rsidRPr="005317CF">
              <w:t>Tool 3H, “Morse Fall Scale for Identifying Fall Risk Factors,</w:t>
            </w:r>
            <w:r w:rsidRPr="00EA6B53">
              <w:t xml:space="preserve"> or </w:t>
            </w:r>
            <w:r w:rsidRPr="005317CF">
              <w:t>Tool 3G, ‘STRATIFY Scale for Identifying Fall Risk Factors”</w:t>
            </w:r>
            <w:r w:rsidRPr="00EA6B53">
              <w:t xml:space="preserve">) to determine a patient’s risk factors for falls, and then plan care accordingly. </w:t>
            </w:r>
          </w:p>
        </w:tc>
      </w:tr>
    </w:tbl>
    <w:p w:rsidR="004A2464" w:rsidRDefault="004A2464" w:rsidP="00FC230D">
      <w:r>
        <w:br w:type="page"/>
      </w:r>
    </w:p>
    <w:p w:rsidR="004A2464" w:rsidRPr="008C5E78" w:rsidRDefault="004A2464" w:rsidP="00FC230D">
      <w:pPr>
        <w:pStyle w:val="Heading5"/>
      </w:pPr>
      <w:r w:rsidRPr="008C5E78">
        <w:lastRenderedPageBreak/>
        <w:t>Protocol for Orthostatic (Postural) Vital Sign Measurement</w:t>
      </w:r>
    </w:p>
    <w:p w:rsidR="004A2464" w:rsidRPr="008C5E78" w:rsidRDefault="004A2464" w:rsidP="00FC230D">
      <w:r w:rsidRPr="008C5E78">
        <w:t>Policy</w:t>
      </w:r>
    </w:p>
    <w:p w:rsidR="004A2464" w:rsidRDefault="004A2464" w:rsidP="00586872">
      <w:pPr>
        <w:pStyle w:val="ListNumber"/>
        <w:numPr>
          <w:ilvl w:val="0"/>
          <w:numId w:val="37"/>
        </w:numPr>
      </w:pPr>
      <w:r>
        <w:t xml:space="preserve">Orthostatic vital signs may be indicated to evaluate patients who are at risk for </w:t>
      </w:r>
      <w:proofErr w:type="spellStart"/>
      <w:r>
        <w:t>hypovolemia</w:t>
      </w:r>
      <w:proofErr w:type="spellEnd"/>
      <w:r>
        <w:t xml:space="preserve"> (vomiting, diarrhea, bleeding), have had syncope or near syncope (dizziness, fainting), or are at risk for falls. A significant change in vital signs with a change in position also signals increased risk for falls.</w:t>
      </w:r>
    </w:p>
    <w:p w:rsidR="009F21B7" w:rsidRDefault="009F21B7" w:rsidP="00635B67">
      <w:pPr>
        <w:pStyle w:val="ListNumber"/>
        <w:numPr>
          <w:ilvl w:val="0"/>
          <w:numId w:val="0"/>
        </w:numPr>
        <w:ind w:left="360"/>
      </w:pPr>
    </w:p>
    <w:p w:rsidR="004A2464" w:rsidRDefault="004A2464" w:rsidP="00635B67">
      <w:pPr>
        <w:pStyle w:val="ListNumber"/>
        <w:numPr>
          <w:ilvl w:val="0"/>
          <w:numId w:val="0"/>
        </w:numPr>
        <w:ind w:left="360"/>
      </w:pPr>
      <w:r>
        <w:t>Orthostatic vital signs are not indicated in patients who:</w:t>
      </w:r>
    </w:p>
    <w:p w:rsidR="004A2464" w:rsidRDefault="004A2464" w:rsidP="00586872">
      <w:pPr>
        <w:pStyle w:val="ListNumber2"/>
        <w:numPr>
          <w:ilvl w:val="0"/>
          <w:numId w:val="5"/>
        </w:numPr>
      </w:pPr>
      <w:r>
        <w:t>Have supine hypotension.</w:t>
      </w:r>
    </w:p>
    <w:p w:rsidR="004A2464" w:rsidRDefault="004A2464" w:rsidP="009F21B7">
      <w:pPr>
        <w:pStyle w:val="ListNumber2"/>
      </w:pPr>
      <w:r>
        <w:t xml:space="preserve">Have a sitting blood pressure </w:t>
      </w:r>
      <w:r>
        <w:rPr>
          <w:u w:val="thick" w:color="000000"/>
        </w:rPr>
        <w:t>≤</w:t>
      </w:r>
      <w:r>
        <w:t>90/60.</w:t>
      </w:r>
    </w:p>
    <w:p w:rsidR="004A2464" w:rsidRDefault="004A2464" w:rsidP="009F21B7">
      <w:pPr>
        <w:pStyle w:val="ListNumber2"/>
      </w:pPr>
      <w:r>
        <w:t>Have acute deep vein thrombosis.</w:t>
      </w:r>
    </w:p>
    <w:p w:rsidR="004A2464" w:rsidRDefault="004A2464" w:rsidP="009F21B7">
      <w:pPr>
        <w:pStyle w:val="ListNumber2"/>
      </w:pPr>
      <w:r>
        <w:t xml:space="preserve">Exhibit the clinical syndrome of shock. </w:t>
      </w:r>
    </w:p>
    <w:p w:rsidR="004A2464" w:rsidRDefault="004A2464" w:rsidP="009F21B7">
      <w:pPr>
        <w:pStyle w:val="ListNumber2"/>
      </w:pPr>
      <w:r>
        <w:t>Have severely altered mental status.</w:t>
      </w:r>
    </w:p>
    <w:p w:rsidR="004A2464" w:rsidRDefault="004A2464" w:rsidP="009F21B7">
      <w:pPr>
        <w:pStyle w:val="ListNumber2"/>
      </w:pPr>
      <w:r>
        <w:t>Have possible spinal injuries.</w:t>
      </w:r>
    </w:p>
    <w:p w:rsidR="004A2464" w:rsidRDefault="004A2464" w:rsidP="009F21B7">
      <w:pPr>
        <w:pStyle w:val="ListNumber2"/>
      </w:pPr>
      <w:r>
        <w:t>Have lower extremity or pelvic fractures.</w:t>
      </w:r>
    </w:p>
    <w:p w:rsidR="004A2464" w:rsidRDefault="004A2464" w:rsidP="009F21B7">
      <w:pPr>
        <w:pStyle w:val="ListNumber2"/>
      </w:pPr>
      <w:r>
        <w:t>Are not mobile enough to get out of bed.</w:t>
      </w:r>
    </w:p>
    <w:p w:rsidR="004A2464" w:rsidRPr="008C5E78" w:rsidRDefault="004A2464" w:rsidP="00635B67">
      <w:pPr>
        <w:pStyle w:val="ListNumber"/>
        <w:numPr>
          <w:ilvl w:val="0"/>
          <w:numId w:val="0"/>
        </w:numPr>
        <w:ind w:left="360"/>
      </w:pPr>
      <w:r w:rsidRPr="008C5E78">
        <w:t xml:space="preserve">Orthostatic vital signs (blood pressure, pulse, and symptoms) will be obtained and recorded while the patient is in the supine position as well as in the standing position. If the patient is unable to stand, </w:t>
      </w:r>
      <w:proofErr w:type="spellStart"/>
      <w:r w:rsidRPr="008C5E78">
        <w:t>orthostatics</w:t>
      </w:r>
      <w:proofErr w:type="spellEnd"/>
      <w:r w:rsidRPr="008C5E78">
        <w:t xml:space="preserve"> may be taken while the patient is sitting with feet dangling.</w:t>
      </w:r>
    </w:p>
    <w:p w:rsidR="004A2464" w:rsidRPr="008C5E78" w:rsidRDefault="004A2464" w:rsidP="00FC230D">
      <w:r w:rsidRPr="008C5E78">
        <w:t>Equipment</w:t>
      </w:r>
    </w:p>
    <w:p w:rsidR="004A2464" w:rsidRDefault="004A2464" w:rsidP="00FC230D">
      <w:pPr>
        <w:pStyle w:val="ListBullet"/>
      </w:pPr>
      <w:r>
        <w:t>Noninvasive blood pressure measurement device.</w:t>
      </w:r>
    </w:p>
    <w:p w:rsidR="004A2464" w:rsidRDefault="004A2464" w:rsidP="00FC230D">
      <w:pPr>
        <w:pStyle w:val="ListBullet"/>
        <w:rPr>
          <w:rFonts w:eastAsia="Courier New"/>
          <w:b/>
          <w:bCs/>
        </w:rPr>
      </w:pPr>
      <w:r>
        <w:t>Blood pressure cuff of correct size for the patient.</w:t>
      </w:r>
    </w:p>
    <w:p w:rsidR="004A2464" w:rsidRPr="008C5E78" w:rsidRDefault="004A2464" w:rsidP="00FC230D">
      <w:r w:rsidRPr="008C5E78">
        <w:t>Procedure</w:t>
      </w:r>
    </w:p>
    <w:p w:rsidR="004A2464" w:rsidRDefault="004A2464" w:rsidP="00586872">
      <w:pPr>
        <w:pStyle w:val="ListNumber"/>
        <w:numPr>
          <w:ilvl w:val="0"/>
          <w:numId w:val="38"/>
        </w:numPr>
      </w:pPr>
      <w:r>
        <w:t>Instruct the patient on the process of orthostatic blood pressure measurement and its rationale.</w:t>
      </w:r>
    </w:p>
    <w:p w:rsidR="004A2464" w:rsidRDefault="004A2464" w:rsidP="00586872">
      <w:pPr>
        <w:pStyle w:val="ListNumber"/>
        <w:numPr>
          <w:ilvl w:val="0"/>
          <w:numId w:val="38"/>
        </w:numPr>
      </w:pPr>
      <w:r>
        <w:t>Assess by verbal report and observation the patient’s ability to stand.</w:t>
      </w:r>
    </w:p>
    <w:p w:rsidR="004A2464" w:rsidRDefault="004A2464" w:rsidP="00586872">
      <w:pPr>
        <w:pStyle w:val="ListNumber"/>
        <w:numPr>
          <w:ilvl w:val="0"/>
          <w:numId w:val="38"/>
        </w:numPr>
      </w:pPr>
      <w:r>
        <w:t>Have patient lie in bed with the head flat for a minimum of 3 minutes, and preferably 5 minutes.</w:t>
      </w:r>
    </w:p>
    <w:p w:rsidR="004A2464" w:rsidRDefault="004A2464" w:rsidP="00586872">
      <w:pPr>
        <w:pStyle w:val="ListNumber"/>
        <w:numPr>
          <w:ilvl w:val="0"/>
          <w:numId w:val="38"/>
        </w:numPr>
      </w:pPr>
      <w:r>
        <w:t xml:space="preserve">Measure the blood pressure and the pulse while the patient is supine. </w:t>
      </w:r>
    </w:p>
    <w:p w:rsidR="004A2464" w:rsidRDefault="004A2464" w:rsidP="00586872">
      <w:pPr>
        <w:pStyle w:val="ListNumber"/>
        <w:numPr>
          <w:ilvl w:val="0"/>
          <w:numId w:val="38"/>
        </w:numPr>
      </w:pPr>
      <w:r>
        <w:t>Instruct patient to sit for 1 minute.</w:t>
      </w:r>
    </w:p>
    <w:p w:rsidR="004A2464" w:rsidRPr="007B46CA" w:rsidRDefault="004A2464" w:rsidP="00586872">
      <w:pPr>
        <w:pStyle w:val="ListNumber2"/>
        <w:numPr>
          <w:ilvl w:val="0"/>
          <w:numId w:val="6"/>
        </w:numPr>
      </w:pPr>
      <w:r w:rsidRPr="007B46CA">
        <w:t>Ask patient about dizziness, weakness, or visual changes associated with position chan</w:t>
      </w:r>
      <w:r>
        <w:t>ge. Note diaphoresis or pallor.</w:t>
      </w:r>
    </w:p>
    <w:p w:rsidR="004A2464" w:rsidRDefault="004A2464" w:rsidP="00586872">
      <w:pPr>
        <w:pStyle w:val="ListNumber2"/>
      </w:pPr>
      <w:r>
        <w:t>Check sitting blood pressure and pulse.</w:t>
      </w:r>
    </w:p>
    <w:p w:rsidR="004A2464" w:rsidRPr="00C4655D" w:rsidRDefault="004A2464" w:rsidP="00586872">
      <w:pPr>
        <w:pStyle w:val="ListNumber2"/>
      </w:pPr>
      <w:r w:rsidRPr="007B46CA">
        <w:t xml:space="preserve">If the patient has symptoms </w:t>
      </w:r>
      <w:r>
        <w:t>associated with position change</w:t>
      </w:r>
      <w:r w:rsidRPr="007B46CA">
        <w:t xml:space="preserve"> or sitting blood pressure </w:t>
      </w:r>
      <w:r>
        <w:t>≤</w:t>
      </w:r>
      <w:r w:rsidRPr="007B46CA">
        <w:t>90/60, put patient back to bed.</w:t>
      </w:r>
    </w:p>
    <w:p w:rsidR="003128F0" w:rsidRDefault="003128F0">
      <w:pPr>
        <w:spacing w:after="200" w:line="276" w:lineRule="auto"/>
      </w:pPr>
      <w:r>
        <w:br w:type="page"/>
      </w:r>
    </w:p>
    <w:p w:rsidR="004A2464" w:rsidRDefault="004A2464" w:rsidP="00586872">
      <w:pPr>
        <w:pStyle w:val="ListNumber"/>
        <w:numPr>
          <w:ilvl w:val="0"/>
          <w:numId w:val="40"/>
        </w:numPr>
        <w:ind w:left="360"/>
      </w:pPr>
      <w:r>
        <w:lastRenderedPageBreak/>
        <w:t>Instruct patient to stand.</w:t>
      </w:r>
    </w:p>
    <w:p w:rsidR="004A2464" w:rsidRDefault="004A2464" w:rsidP="00586872">
      <w:pPr>
        <w:pStyle w:val="ListNumber2"/>
        <w:numPr>
          <w:ilvl w:val="0"/>
          <w:numId w:val="7"/>
        </w:numPr>
      </w:pPr>
      <w:r w:rsidRPr="00C25611">
        <w:t>Ask patient about dizziness, weakness, or visual changes associated with position change. Note diaphoresis or pallor.</w:t>
      </w:r>
    </w:p>
    <w:p w:rsidR="004A2464" w:rsidRDefault="004A2464" w:rsidP="00FC230D">
      <w:pPr>
        <w:pStyle w:val="ListNumber2"/>
      </w:pPr>
      <w:r w:rsidRPr="00C25611">
        <w:t xml:space="preserve">If patient is unable to stand, sit </w:t>
      </w:r>
      <w:r>
        <w:t>patient</w:t>
      </w:r>
      <w:r w:rsidRPr="00C25611">
        <w:t xml:space="preserve"> upright with legs dangling over the edge of the bed.</w:t>
      </w:r>
    </w:p>
    <w:p w:rsidR="004A2464" w:rsidRPr="00C25611" w:rsidRDefault="004A2464" w:rsidP="00FC230D">
      <w:pPr>
        <w:pStyle w:val="ListNumber2"/>
      </w:pPr>
      <w:r w:rsidRPr="00C25611">
        <w:t xml:space="preserve">The patient should be permitted to resume a supine position immediately </w:t>
      </w:r>
      <w:r>
        <w:t>if</w:t>
      </w:r>
      <w:r w:rsidRPr="00C25611">
        <w:t xml:space="preserve"> syncope or near</w:t>
      </w:r>
      <w:r>
        <w:t xml:space="preserve"> </w:t>
      </w:r>
      <w:r w:rsidRPr="00C25611">
        <w:t>syncope develop</w:t>
      </w:r>
      <w:r>
        <w:t>s</w:t>
      </w:r>
      <w:r w:rsidRPr="00C25611">
        <w:t>.</w:t>
      </w:r>
    </w:p>
    <w:p w:rsidR="004A2464" w:rsidRDefault="004A2464" w:rsidP="00586872">
      <w:pPr>
        <w:pStyle w:val="ListNumber"/>
        <w:ind w:left="360"/>
      </w:pPr>
      <w:r>
        <w:t>Measure the blood pressure and pulse immediately after patient has stood up, and then repeat the measurements 3 minutes after patient stands. Support the forearm at heart level when taking the blood pressures to prevent inaccurate measurement.</w:t>
      </w:r>
    </w:p>
    <w:p w:rsidR="004A2464" w:rsidRDefault="004A2464" w:rsidP="00586872">
      <w:pPr>
        <w:pStyle w:val="ListNumber"/>
        <w:ind w:left="360"/>
      </w:pPr>
      <w:r>
        <w:t>Assist patient back to bed in a position of comfort.</w:t>
      </w:r>
    </w:p>
    <w:p w:rsidR="004A2464" w:rsidRDefault="004A2464" w:rsidP="00586872">
      <w:pPr>
        <w:pStyle w:val="ListNumber"/>
        <w:ind w:left="360"/>
      </w:pPr>
      <w:r>
        <w:t xml:space="preserve">Document vital signs and other pertinent observations on the nursing </w:t>
      </w:r>
      <w:proofErr w:type="spellStart"/>
      <w:r>
        <w:t>flowsheet</w:t>
      </w:r>
      <w:proofErr w:type="spellEnd"/>
      <w:r>
        <w:t xml:space="preserve"> or in the medical record. Note all measurements taken and the position of the patient during each reading.</w:t>
      </w:r>
    </w:p>
    <w:p w:rsidR="004A2464" w:rsidRPr="008C5E78" w:rsidRDefault="004A2464" w:rsidP="00FC230D">
      <w:pPr>
        <w:rPr>
          <w:rFonts w:eastAsia="Times New Roman"/>
        </w:rPr>
      </w:pPr>
      <w:r w:rsidRPr="008C5E78">
        <w:t>Evaluation</w:t>
      </w:r>
    </w:p>
    <w:p w:rsidR="004A2464" w:rsidRDefault="004A2464" w:rsidP="00586872">
      <w:pPr>
        <w:pStyle w:val="ListNumber"/>
        <w:numPr>
          <w:ilvl w:val="0"/>
          <w:numId w:val="41"/>
        </w:numPr>
        <w:ind w:left="360"/>
      </w:pPr>
      <w:r w:rsidRPr="00586872">
        <w:rPr>
          <w:spacing w:val="-1"/>
        </w:rPr>
        <w:t>S</w:t>
      </w:r>
      <w:r w:rsidRPr="00C95A64">
        <w:t>ubtract</w:t>
      </w:r>
      <w:r w:rsidRPr="00586872">
        <w:rPr>
          <w:spacing w:val="-7"/>
        </w:rPr>
        <w:t xml:space="preserve"> </w:t>
      </w:r>
      <w:r w:rsidRPr="00C95A64">
        <w:t>values</w:t>
      </w:r>
      <w:r w:rsidRPr="00586872">
        <w:rPr>
          <w:spacing w:val="-6"/>
        </w:rPr>
        <w:t xml:space="preserve"> 3 minutes after standing (or if patient cannot stand, then sitting) </w:t>
      </w:r>
      <w:r w:rsidRPr="00C95A64">
        <w:t>fr</w:t>
      </w:r>
      <w:r w:rsidRPr="00586872">
        <w:rPr>
          <w:spacing w:val="2"/>
        </w:rPr>
        <w:t>o</w:t>
      </w:r>
      <w:r w:rsidRPr="00C95A64">
        <w:t>m</w:t>
      </w:r>
      <w:r w:rsidRPr="00586872">
        <w:rPr>
          <w:spacing w:val="-5"/>
        </w:rPr>
        <w:t xml:space="preserve"> </w:t>
      </w:r>
      <w:r w:rsidRPr="00586872">
        <w:rPr>
          <w:spacing w:val="-1"/>
        </w:rPr>
        <w:t>l</w:t>
      </w:r>
      <w:r w:rsidRPr="00586872">
        <w:rPr>
          <w:spacing w:val="2"/>
        </w:rPr>
        <w:t>y</w:t>
      </w:r>
      <w:r w:rsidRPr="00586872">
        <w:rPr>
          <w:spacing w:val="-1"/>
        </w:rPr>
        <w:t>i</w:t>
      </w:r>
      <w:r w:rsidRPr="00C95A64">
        <w:t>ng</w:t>
      </w:r>
      <w:r w:rsidRPr="00586872">
        <w:rPr>
          <w:spacing w:val="-6"/>
        </w:rPr>
        <w:t xml:space="preserve"> </w:t>
      </w:r>
      <w:r w:rsidRPr="00C95A64">
        <w:t>values.</w:t>
      </w:r>
    </w:p>
    <w:p w:rsidR="004A2464" w:rsidRDefault="004A2464" w:rsidP="00586872">
      <w:pPr>
        <w:ind w:left="360"/>
      </w:pPr>
      <w:r w:rsidRPr="00C95A64">
        <w:t>A</w:t>
      </w:r>
      <w:r w:rsidRPr="00C95A64">
        <w:rPr>
          <w:spacing w:val="-2"/>
        </w:rPr>
        <w:t xml:space="preserve"> </w:t>
      </w:r>
      <w:r w:rsidRPr="00C95A64">
        <w:t>decline</w:t>
      </w:r>
      <w:r w:rsidRPr="00C95A64">
        <w:rPr>
          <w:spacing w:val="-6"/>
        </w:rPr>
        <w:t xml:space="preserve"> </w:t>
      </w:r>
      <w:r w:rsidRPr="00C95A64">
        <w:t>of</w:t>
      </w:r>
      <w:r w:rsidRPr="00C95A64">
        <w:rPr>
          <w:spacing w:val="-2"/>
        </w:rPr>
        <w:t xml:space="preserve"> </w:t>
      </w:r>
      <w:r>
        <w:rPr>
          <w:spacing w:val="-1"/>
          <w:u w:val="single" w:color="000000"/>
        </w:rPr>
        <w:t>≥</w:t>
      </w:r>
      <w:r w:rsidRPr="00C95A64">
        <w:t>20mm</w:t>
      </w:r>
      <w:r w:rsidRPr="00C95A64">
        <w:rPr>
          <w:spacing w:val="-7"/>
        </w:rPr>
        <w:t xml:space="preserve"> </w:t>
      </w:r>
      <w:r w:rsidRPr="00C95A64">
        <w:t>Hg</w:t>
      </w:r>
      <w:r w:rsidRPr="00C95A64">
        <w:rPr>
          <w:spacing w:val="-3"/>
        </w:rPr>
        <w:t xml:space="preserve"> </w:t>
      </w:r>
      <w:r w:rsidRPr="00C95A64">
        <w:t>in</w:t>
      </w:r>
      <w:r w:rsidRPr="00C95A64">
        <w:rPr>
          <w:spacing w:val="-2"/>
        </w:rPr>
        <w:t xml:space="preserve"> </w:t>
      </w:r>
      <w:r w:rsidRPr="00C95A64">
        <w:rPr>
          <w:spacing w:val="-1"/>
        </w:rPr>
        <w:t>s</w:t>
      </w:r>
      <w:r w:rsidRPr="00C95A64">
        <w:rPr>
          <w:spacing w:val="2"/>
        </w:rPr>
        <w:t>y</w:t>
      </w:r>
      <w:r w:rsidRPr="00C95A64">
        <w:t>stolic</w:t>
      </w:r>
      <w:r w:rsidRPr="00C95A64">
        <w:rPr>
          <w:spacing w:val="-8"/>
        </w:rPr>
        <w:t xml:space="preserve"> </w:t>
      </w:r>
      <w:r w:rsidRPr="00C95A64">
        <w:t>or</w:t>
      </w:r>
      <w:r w:rsidRPr="00C95A64">
        <w:rPr>
          <w:spacing w:val="-2"/>
        </w:rPr>
        <w:t xml:space="preserve"> </w:t>
      </w:r>
      <w:r>
        <w:rPr>
          <w:spacing w:val="-1"/>
          <w:u w:val="single" w:color="000000"/>
        </w:rPr>
        <w:t>≥</w:t>
      </w:r>
      <w:r w:rsidRPr="00C95A64">
        <w:t>10</w:t>
      </w:r>
      <w:r w:rsidRPr="00C95A64">
        <w:rPr>
          <w:spacing w:val="-3"/>
        </w:rPr>
        <w:t xml:space="preserve"> </w:t>
      </w:r>
      <w:r w:rsidRPr="00C95A64">
        <w:t>mm</w:t>
      </w:r>
      <w:r w:rsidRPr="00C95A64">
        <w:rPr>
          <w:spacing w:val="-3"/>
        </w:rPr>
        <w:t xml:space="preserve"> </w:t>
      </w:r>
      <w:r w:rsidRPr="00C95A64">
        <w:t>Hg</w:t>
      </w:r>
      <w:r w:rsidRPr="00C95A64">
        <w:rPr>
          <w:spacing w:val="-3"/>
        </w:rPr>
        <w:t xml:space="preserve"> </w:t>
      </w:r>
      <w:r w:rsidRPr="00C95A64">
        <w:t>in</w:t>
      </w:r>
      <w:r w:rsidRPr="00C95A64">
        <w:rPr>
          <w:spacing w:val="-2"/>
        </w:rPr>
        <w:t xml:space="preserve"> </w:t>
      </w:r>
      <w:r w:rsidRPr="00C95A64">
        <w:t>diastol</w:t>
      </w:r>
      <w:r w:rsidRPr="00C95A64">
        <w:rPr>
          <w:spacing w:val="-1"/>
        </w:rPr>
        <w:t>i</w:t>
      </w:r>
      <w:r w:rsidRPr="00C95A64">
        <w:t>c</w:t>
      </w:r>
      <w:r w:rsidRPr="00C95A64">
        <w:rPr>
          <w:spacing w:val="-7"/>
        </w:rPr>
        <w:t xml:space="preserve"> </w:t>
      </w:r>
      <w:r w:rsidRPr="00C95A64">
        <w:t>blood</w:t>
      </w:r>
      <w:r w:rsidRPr="00C95A64">
        <w:rPr>
          <w:spacing w:val="-6"/>
        </w:rPr>
        <w:t xml:space="preserve"> </w:t>
      </w:r>
      <w:r w:rsidRPr="00C95A64">
        <w:t>pressure</w:t>
      </w:r>
      <w:r w:rsidRPr="00C95A64">
        <w:rPr>
          <w:spacing w:val="-7"/>
        </w:rPr>
        <w:t xml:space="preserve"> after </w:t>
      </w:r>
      <w:r>
        <w:rPr>
          <w:spacing w:val="-7"/>
        </w:rPr>
        <w:t>3</w:t>
      </w:r>
      <w:r w:rsidRPr="00C95A64">
        <w:rPr>
          <w:spacing w:val="-7"/>
        </w:rPr>
        <w:t xml:space="preserve"> minutes of standing </w:t>
      </w:r>
      <w:r w:rsidRPr="00C95A64">
        <w:t>= orthostatic</w:t>
      </w:r>
      <w:r w:rsidRPr="00C95A64">
        <w:rPr>
          <w:spacing w:val="-9"/>
        </w:rPr>
        <w:t xml:space="preserve"> </w:t>
      </w:r>
      <w:r w:rsidRPr="00C95A64">
        <w:rPr>
          <w:spacing w:val="-1"/>
        </w:rPr>
        <w:t>h</w:t>
      </w:r>
      <w:r w:rsidRPr="00C95A64">
        <w:t>ypotension.</w:t>
      </w:r>
    </w:p>
    <w:p w:rsidR="004A2464" w:rsidRDefault="004A2464" w:rsidP="00586872">
      <w:pPr>
        <w:ind w:left="360"/>
      </w:pPr>
      <w:r w:rsidRPr="00C95A64">
        <w:t xml:space="preserve">A heart rate increase of at least 30 beats per minute after </w:t>
      </w:r>
      <w:r>
        <w:t>3</w:t>
      </w:r>
      <w:r w:rsidRPr="00C95A64">
        <w:t xml:space="preserve"> minutes of standing may suggest </w:t>
      </w:r>
      <w:proofErr w:type="spellStart"/>
      <w:r w:rsidRPr="00C95A64">
        <w:t>hypovolemia</w:t>
      </w:r>
      <w:proofErr w:type="spellEnd"/>
      <w:r w:rsidRPr="00C95A64">
        <w:t>, independent of whether the patient meets criteria for orthostatic hypotension.</w:t>
      </w:r>
    </w:p>
    <w:p w:rsidR="004A2464" w:rsidRDefault="004A2464" w:rsidP="00586872">
      <w:pPr>
        <w:ind w:left="360"/>
      </w:pPr>
      <w:r w:rsidRPr="00C95A64">
        <w:t xml:space="preserve">A blood pressure drop immediately after standing that resolves at </w:t>
      </w:r>
      <w:r>
        <w:t>3</w:t>
      </w:r>
      <w:r w:rsidRPr="00C95A64">
        <w:t xml:space="preserve"> minutes does not indicate orthostatic hypotension. However, this finding may be useful to confirm a patient’s complaint of feeling dizzy upon standing and </w:t>
      </w:r>
      <w:r>
        <w:t xml:space="preserve">may </w:t>
      </w:r>
      <w:r w:rsidRPr="00C95A64">
        <w:t>lead to patient education about using caution when arising from a lying or sitting position.</w:t>
      </w:r>
    </w:p>
    <w:p w:rsidR="004A2464" w:rsidRPr="00C95A64" w:rsidRDefault="004A2464" w:rsidP="00586872">
      <w:pPr>
        <w:ind w:left="360"/>
      </w:pPr>
      <w:r w:rsidRPr="00C95A64">
        <w:t>Report all findings to the treating medical provider, including all sets of blood pressure and pulse results, and whether the patient experienced pallor, diaphoresis, or faintness when upright.</w:t>
      </w:r>
    </w:p>
    <w:p w:rsidR="004A2464" w:rsidRDefault="004A2464" w:rsidP="00FC230D">
      <w:r>
        <w:t>Somet</w:t>
      </w:r>
      <w:r>
        <w:rPr>
          <w:spacing w:val="1"/>
        </w:rPr>
        <w:t>i</w:t>
      </w:r>
      <w:r>
        <w:rPr>
          <w:spacing w:val="-2"/>
        </w:rPr>
        <w:t>m</w:t>
      </w:r>
      <w:r>
        <w:rPr>
          <w:spacing w:val="1"/>
        </w:rPr>
        <w:t>e</w:t>
      </w:r>
      <w:r>
        <w:t>s</w:t>
      </w:r>
      <w:r>
        <w:rPr>
          <w:spacing w:val="-10"/>
        </w:rPr>
        <w:t xml:space="preserve"> </w:t>
      </w:r>
      <w:r>
        <w:t>it</w:t>
      </w:r>
      <w:r>
        <w:rPr>
          <w:spacing w:val="-1"/>
        </w:rPr>
        <w:t xml:space="preserve"> </w:t>
      </w:r>
      <w:r>
        <w:t>may</w:t>
      </w:r>
      <w:r>
        <w:rPr>
          <w:spacing w:val="-2"/>
        </w:rPr>
        <w:t xml:space="preserve"> </w:t>
      </w:r>
      <w:r>
        <w:t>be</w:t>
      </w:r>
      <w:r>
        <w:rPr>
          <w:spacing w:val="-2"/>
        </w:rPr>
        <w:t xml:space="preserve"> </w:t>
      </w:r>
      <w:r>
        <w:t>diffi</w:t>
      </w:r>
      <w:r>
        <w:rPr>
          <w:spacing w:val="-1"/>
        </w:rPr>
        <w:t>c</w:t>
      </w:r>
      <w:r>
        <w:rPr>
          <w:spacing w:val="1"/>
        </w:rPr>
        <w:t>u</w:t>
      </w:r>
      <w:r>
        <w:t>lt</w:t>
      </w:r>
      <w:r>
        <w:rPr>
          <w:spacing w:val="-7"/>
        </w:rPr>
        <w:t xml:space="preserve"> </w:t>
      </w:r>
      <w:r>
        <w:t>to</w:t>
      </w:r>
      <w:r>
        <w:rPr>
          <w:spacing w:val="-3"/>
        </w:rPr>
        <w:t xml:space="preserve"> </w:t>
      </w:r>
      <w:r>
        <w:t>deter</w:t>
      </w:r>
      <w:r>
        <w:rPr>
          <w:spacing w:val="-2"/>
        </w:rPr>
        <w:t>m</w:t>
      </w:r>
      <w:r>
        <w:rPr>
          <w:spacing w:val="1"/>
        </w:rPr>
        <w:t>in</w:t>
      </w:r>
      <w:r>
        <w:t>e</w:t>
      </w:r>
      <w:r>
        <w:rPr>
          <w:spacing w:val="-9"/>
        </w:rPr>
        <w:t xml:space="preserve"> </w:t>
      </w:r>
      <w:r>
        <w:t>if</w:t>
      </w:r>
      <w:r>
        <w:rPr>
          <w:spacing w:val="-1"/>
        </w:rPr>
        <w:t xml:space="preserve"> </w:t>
      </w:r>
      <w:r>
        <w:t>the</w:t>
      </w:r>
      <w:r>
        <w:rPr>
          <w:spacing w:val="-3"/>
        </w:rPr>
        <w:t xml:space="preserve"> </w:t>
      </w:r>
      <w:r>
        <w:t>resident/patient</w:t>
      </w:r>
      <w:r>
        <w:rPr>
          <w:spacing w:val="-1"/>
        </w:rPr>
        <w:t xml:space="preserve"> </w:t>
      </w:r>
      <w:r>
        <w:t>has orthostatic hypotension</w:t>
      </w:r>
      <w:r>
        <w:rPr>
          <w:spacing w:val="-12"/>
        </w:rPr>
        <w:t xml:space="preserve"> </w:t>
      </w:r>
      <w:r>
        <w:t>when</w:t>
      </w:r>
      <w:r>
        <w:rPr>
          <w:spacing w:val="-5"/>
        </w:rPr>
        <w:t xml:space="preserve"> </w:t>
      </w:r>
      <w:r>
        <w:t>checking on</w:t>
      </w:r>
      <w:r>
        <w:rPr>
          <w:spacing w:val="-1"/>
        </w:rPr>
        <w:t>l</w:t>
      </w:r>
      <w:r>
        <w:t>y</w:t>
      </w:r>
      <w:r>
        <w:rPr>
          <w:spacing w:val="-3"/>
        </w:rPr>
        <w:t xml:space="preserve"> at </w:t>
      </w:r>
      <w:r>
        <w:t>one</w:t>
      </w:r>
      <w:r>
        <w:rPr>
          <w:spacing w:val="-3"/>
        </w:rPr>
        <w:t xml:space="preserve"> </w:t>
      </w:r>
      <w:r>
        <w:t>po</w:t>
      </w:r>
      <w:r>
        <w:rPr>
          <w:spacing w:val="-1"/>
        </w:rPr>
        <w:t>in</w:t>
      </w:r>
      <w:r>
        <w:t>t</w:t>
      </w:r>
      <w:r>
        <w:rPr>
          <w:spacing w:val="-5"/>
        </w:rPr>
        <w:t xml:space="preserve"> </w:t>
      </w:r>
      <w:r>
        <w:t>in</w:t>
      </w:r>
      <w:r>
        <w:rPr>
          <w:spacing w:val="-2"/>
        </w:rPr>
        <w:t xml:space="preserve"> </w:t>
      </w:r>
      <w:r>
        <w:t>ti</w:t>
      </w:r>
      <w:r>
        <w:rPr>
          <w:spacing w:val="-2"/>
        </w:rPr>
        <w:t>m</w:t>
      </w:r>
      <w:r>
        <w:t>e.</w:t>
      </w:r>
      <w:r>
        <w:rPr>
          <w:spacing w:val="52"/>
        </w:rPr>
        <w:t xml:space="preserve"> </w:t>
      </w:r>
      <w:r>
        <w:t>If</w:t>
      </w:r>
      <w:r>
        <w:rPr>
          <w:spacing w:val="-1"/>
        </w:rPr>
        <w:t xml:space="preserve"> </w:t>
      </w:r>
      <w:r>
        <w:t>the</w:t>
      </w:r>
      <w:r>
        <w:rPr>
          <w:spacing w:val="-3"/>
        </w:rPr>
        <w:t xml:space="preserve"> </w:t>
      </w:r>
      <w:r>
        <w:t>resident/patient</w:t>
      </w:r>
      <w:r>
        <w:rPr>
          <w:spacing w:val="-15"/>
        </w:rPr>
        <w:t xml:space="preserve"> </w:t>
      </w:r>
      <w:r>
        <w:t>does</w:t>
      </w:r>
      <w:r>
        <w:rPr>
          <w:spacing w:val="-4"/>
        </w:rPr>
        <w:t xml:space="preserve"> </w:t>
      </w:r>
      <w:r>
        <w:t>not</w:t>
      </w:r>
      <w:r>
        <w:rPr>
          <w:spacing w:val="-4"/>
        </w:rPr>
        <w:t xml:space="preserve"> </w:t>
      </w:r>
      <w:r>
        <w:t>show</w:t>
      </w:r>
      <w:r>
        <w:rPr>
          <w:spacing w:val="-5"/>
        </w:rPr>
        <w:t xml:space="preserve"> </w:t>
      </w:r>
      <w:r>
        <w:t>evide</w:t>
      </w:r>
      <w:r>
        <w:rPr>
          <w:spacing w:val="-1"/>
        </w:rPr>
        <w:t>n</w:t>
      </w:r>
      <w:r>
        <w:t>ce</w:t>
      </w:r>
      <w:r>
        <w:rPr>
          <w:spacing w:val="-8"/>
        </w:rPr>
        <w:t xml:space="preserve"> </w:t>
      </w:r>
      <w:r>
        <w:t>of</w:t>
      </w:r>
      <w:r>
        <w:rPr>
          <w:spacing w:val="-2"/>
        </w:rPr>
        <w:t xml:space="preserve"> </w:t>
      </w:r>
      <w:r>
        <w:t>orthostatic</w:t>
      </w:r>
      <w:r>
        <w:rPr>
          <w:spacing w:val="-9"/>
        </w:rPr>
        <w:t xml:space="preserve"> </w:t>
      </w:r>
      <w:r>
        <w:rPr>
          <w:spacing w:val="-1"/>
        </w:rPr>
        <w:t>h</w:t>
      </w:r>
      <w:r>
        <w:rPr>
          <w:spacing w:val="2"/>
        </w:rPr>
        <w:t>y</w:t>
      </w:r>
      <w:r>
        <w:t>potens</w:t>
      </w:r>
      <w:r>
        <w:rPr>
          <w:spacing w:val="-1"/>
        </w:rPr>
        <w:t>i</w:t>
      </w:r>
      <w:r>
        <w:t>on during</w:t>
      </w:r>
      <w:r>
        <w:rPr>
          <w:spacing w:val="-6"/>
        </w:rPr>
        <w:t xml:space="preserve"> </w:t>
      </w:r>
      <w:r>
        <w:t>the</w:t>
      </w:r>
      <w:r>
        <w:rPr>
          <w:spacing w:val="-3"/>
        </w:rPr>
        <w:t xml:space="preserve"> </w:t>
      </w:r>
      <w:r>
        <w:t>as</w:t>
      </w:r>
      <w:r>
        <w:rPr>
          <w:spacing w:val="1"/>
        </w:rPr>
        <w:t>s</w:t>
      </w:r>
      <w:r>
        <w:t>es</w:t>
      </w:r>
      <w:r>
        <w:rPr>
          <w:spacing w:val="1"/>
        </w:rPr>
        <w:t>s</w:t>
      </w:r>
      <w:r>
        <w:t>ment</w:t>
      </w:r>
      <w:r>
        <w:rPr>
          <w:spacing w:val="-8"/>
        </w:rPr>
        <w:t xml:space="preserve"> </w:t>
      </w:r>
      <w:r>
        <w:t>but</w:t>
      </w:r>
      <w:r>
        <w:rPr>
          <w:spacing w:val="-3"/>
        </w:rPr>
        <w:t xml:space="preserve"> has </w:t>
      </w:r>
      <w:r>
        <w:t>co</w:t>
      </w:r>
      <w:r>
        <w:rPr>
          <w:spacing w:val="-2"/>
        </w:rPr>
        <w:t>m</w:t>
      </w:r>
      <w:r>
        <w:rPr>
          <w:spacing w:val="1"/>
        </w:rPr>
        <w:t>p</w:t>
      </w:r>
      <w:r>
        <w:t>lained</w:t>
      </w:r>
      <w:r>
        <w:rPr>
          <w:spacing w:val="-9"/>
        </w:rPr>
        <w:t xml:space="preserve"> </w:t>
      </w:r>
      <w:r>
        <w:t>of</w:t>
      </w:r>
      <w:r>
        <w:rPr>
          <w:spacing w:val="-1"/>
        </w:rPr>
        <w:t xml:space="preserve"> </w:t>
      </w:r>
      <w:r>
        <w:t>lightheadedness</w:t>
      </w:r>
      <w:r>
        <w:rPr>
          <w:spacing w:val="-14"/>
        </w:rPr>
        <w:t xml:space="preserve"> </w:t>
      </w:r>
      <w:r>
        <w:t>or</w:t>
      </w:r>
      <w:r>
        <w:rPr>
          <w:spacing w:val="-2"/>
        </w:rPr>
        <w:t xml:space="preserve"> </w:t>
      </w:r>
      <w:r>
        <w:t>dizziness,</w:t>
      </w:r>
      <w:r>
        <w:rPr>
          <w:spacing w:val="-9"/>
        </w:rPr>
        <w:t xml:space="preserve"> </w:t>
      </w:r>
      <w:r>
        <w:t>perfo</w:t>
      </w:r>
      <w:r>
        <w:rPr>
          <w:spacing w:val="1"/>
        </w:rPr>
        <w:t>r</w:t>
      </w:r>
      <w:r>
        <w:t>m</w:t>
      </w:r>
      <w:r>
        <w:rPr>
          <w:spacing w:val="-8"/>
        </w:rPr>
        <w:t xml:space="preserve"> </w:t>
      </w:r>
      <w:r>
        <w:t>the me</w:t>
      </w:r>
      <w:r>
        <w:rPr>
          <w:spacing w:val="1"/>
        </w:rPr>
        <w:t>a</w:t>
      </w:r>
      <w:r>
        <w:t>sur</w:t>
      </w:r>
      <w:r>
        <w:rPr>
          <w:spacing w:val="1"/>
        </w:rPr>
        <w:t>e</w:t>
      </w:r>
      <w:r>
        <w:t>ments</w:t>
      </w:r>
      <w:r>
        <w:rPr>
          <w:spacing w:val="-13"/>
        </w:rPr>
        <w:t xml:space="preserve"> </w:t>
      </w:r>
      <w:r>
        <w:t>when</w:t>
      </w:r>
      <w:r>
        <w:rPr>
          <w:spacing w:val="-5"/>
        </w:rPr>
        <w:t xml:space="preserve"> </w:t>
      </w:r>
      <w:r>
        <w:t>the</w:t>
      </w:r>
      <w:r>
        <w:rPr>
          <w:spacing w:val="-3"/>
        </w:rPr>
        <w:t xml:space="preserve"> </w:t>
      </w:r>
      <w:r>
        <w:t>resident/patient</w:t>
      </w:r>
      <w:r>
        <w:rPr>
          <w:spacing w:val="-14"/>
        </w:rPr>
        <w:t xml:space="preserve"> </w:t>
      </w:r>
      <w:r>
        <w:t>co</w:t>
      </w:r>
      <w:r>
        <w:rPr>
          <w:spacing w:val="-2"/>
        </w:rPr>
        <w:t>m</w:t>
      </w:r>
      <w:r>
        <w:rPr>
          <w:spacing w:val="1"/>
        </w:rPr>
        <w:t>p</w:t>
      </w:r>
      <w:r>
        <w:t>lains</w:t>
      </w:r>
      <w:r>
        <w:rPr>
          <w:spacing w:val="-9"/>
        </w:rPr>
        <w:t xml:space="preserve"> </w:t>
      </w:r>
      <w:r>
        <w:t>or</w:t>
      </w:r>
      <w:r>
        <w:rPr>
          <w:spacing w:val="-1"/>
        </w:rPr>
        <w:t xml:space="preserve"> </w:t>
      </w:r>
      <w:r>
        <w:t>within 2 hours of the start of a</w:t>
      </w:r>
      <w:r>
        <w:rPr>
          <w:spacing w:val="-2"/>
        </w:rPr>
        <w:t xml:space="preserve"> m</w:t>
      </w:r>
      <w:r>
        <w:rPr>
          <w:spacing w:val="1"/>
        </w:rPr>
        <w:t>e</w:t>
      </w:r>
      <w:r>
        <w:t>al.</w:t>
      </w:r>
    </w:p>
    <w:sectPr w:rsidR="004A2464" w:rsidSect="00943A93">
      <w:footnotePr>
        <w:numFmt w:val="chicago"/>
      </w:foot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77B"/>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3A93"/>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health.org/workfiles/mh_healthinformation/Measuring_Orthostatic_Vital_Signs.pdf" TargetMode="External"/><Relationship Id="rId3" Type="http://schemas.openxmlformats.org/officeDocument/2006/relationships/settings" Target="settings.xml"/><Relationship Id="rId7" Type="http://schemas.openxmlformats.org/officeDocument/2006/relationships/hyperlink" Target="http://nursing.uchc.edu/nursing_standards/docs/Orthostatic%20(Postural)%20Vital%20Sign%20Measur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2013-01-29T00:06:00Z</dcterms:created>
  <dcterms:modified xsi:type="dcterms:W3CDTF">2013-01-29T00:11:00Z</dcterms:modified>
</cp:coreProperties>
</file>