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3IH:_Medication_fFall"/>
      <w:bookmarkStart w:id="1" w:name="_3I:_Medication_Fall"/>
      <w:bookmarkStart w:id="2" w:name="_Toc332135157"/>
      <w:bookmarkStart w:id="3" w:name="_Toc332373592"/>
      <w:bookmarkStart w:id="4" w:name="_Toc334978062"/>
      <w:bookmarkStart w:id="5" w:name="_Toc335210897"/>
      <w:bookmarkStart w:id="6" w:name="_Toc336583072"/>
      <w:bookmarkStart w:id="7" w:name="_Toc337028928"/>
      <w:bookmarkStart w:id="8" w:name="_Toc337981991"/>
      <w:bookmarkStart w:id="9" w:name="_Toc340757835"/>
      <w:bookmarkEnd w:id="0"/>
      <w:bookmarkEnd w:id="1"/>
      <w:r>
        <w:t>3</w:t>
      </w:r>
      <w:r w:rsidR="005545BB">
        <w:t>I</w:t>
      </w:r>
      <w:r>
        <w:t xml:space="preserve">: Medication </w:t>
      </w:r>
      <w:r w:rsidR="00F854C8">
        <w:t>F</w:t>
      </w:r>
      <w:r>
        <w:t xml:space="preserve">all </w:t>
      </w:r>
      <w:r w:rsidR="00F854C8">
        <w:t>R</w:t>
      </w:r>
      <w:r>
        <w:t xml:space="preserve">isk </w:t>
      </w:r>
      <w:r w:rsidR="00F854C8">
        <w:t>S</w:t>
      </w:r>
      <w:r>
        <w:t>c</w:t>
      </w:r>
      <w:r w:rsidR="00F854C8">
        <w:t>or</w:t>
      </w:r>
      <w:r>
        <w:t xml:space="preserve">e and </w:t>
      </w:r>
      <w:r w:rsidR="00F854C8">
        <w:t>E</w:t>
      </w:r>
      <w:r>
        <w:t xml:space="preserve">valuation </w:t>
      </w:r>
      <w:r w:rsidR="00F854C8">
        <w:t>T</w:t>
      </w:r>
      <w:r>
        <w:t>ools</w:t>
      </w:r>
      <w:bookmarkEnd w:id="2"/>
      <w:bookmarkEnd w:id="3"/>
      <w:bookmarkEnd w:id="4"/>
      <w:bookmarkEnd w:id="5"/>
      <w:bookmarkEnd w:id="6"/>
      <w:bookmarkEnd w:id="7"/>
      <w:bookmarkEnd w:id="8"/>
      <w:bookmarkEnd w:id="9"/>
    </w:p>
    <w:p w:rsidR="00142607" w:rsidRDefault="00142607" w:rsidP="00B33003">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medication-related risk factors for falls in hospitalized patients. A pharmacist would perform this assessment.</w:t>
      </w:r>
    </w:p>
    <w:p w:rsidR="00142607" w:rsidRDefault="00142607" w:rsidP="00B33003">
      <w:pPr>
        <w:pBdr>
          <w:top w:val="single" w:sz="4" w:space="1" w:color="auto"/>
          <w:left w:val="single" w:sz="4" w:space="4" w:color="auto"/>
          <w:bottom w:val="single" w:sz="4" w:space="1" w:color="auto"/>
          <w:right w:val="single" w:sz="4" w:space="4" w:color="auto"/>
        </w:pBdr>
      </w:pPr>
      <w:r>
        <w:rPr>
          <w:b/>
        </w:rPr>
        <w:t>Reference:</w:t>
      </w:r>
      <w:r>
        <w:t xml:space="preserve"> </w:t>
      </w:r>
      <w:r w:rsidR="009E20BD" w:rsidRPr="006A56A4">
        <w:t xml:space="preserve">Used with permission: Beasley B, </w:t>
      </w:r>
      <w:proofErr w:type="spellStart"/>
      <w:r w:rsidR="009E20BD" w:rsidRPr="006A56A4">
        <w:t>Patatanian</w:t>
      </w:r>
      <w:proofErr w:type="spellEnd"/>
      <w:r w:rsidR="00056473">
        <w:t xml:space="preserve"> </w:t>
      </w:r>
      <w:r w:rsidR="009E20BD" w:rsidRPr="006A56A4">
        <w:t xml:space="preserve">E. Development and implementation of a pharmacy fall prevention program. </w:t>
      </w:r>
      <w:r w:rsidR="00EB07E7" w:rsidRPr="00EB07E7">
        <w:rPr>
          <w:iCs/>
        </w:rPr>
        <w:t xml:space="preserve">Hosp </w:t>
      </w:r>
      <w:proofErr w:type="spellStart"/>
      <w:r w:rsidR="00EB07E7" w:rsidRPr="00EB07E7">
        <w:rPr>
          <w:iCs/>
        </w:rPr>
        <w:t>Pharm</w:t>
      </w:r>
      <w:proofErr w:type="spellEnd"/>
      <w:r w:rsidR="009E20BD" w:rsidRPr="006A56A4">
        <w:t xml:space="preserve"> 2009</w:t>
      </w:r>
      <w:proofErr w:type="gramStart"/>
      <w:r w:rsidR="009E20BD" w:rsidRPr="006A56A4">
        <w:t>;44</w:t>
      </w:r>
      <w:proofErr w:type="gramEnd"/>
      <w:r w:rsidR="009E20BD" w:rsidRPr="006A56A4">
        <w:t xml:space="preserve">(12):1095-1102. </w:t>
      </w:r>
      <w:proofErr w:type="gramStart"/>
      <w:r w:rsidR="009E20BD" w:rsidRPr="006A56A4">
        <w:t>© 2009</w:t>
      </w:r>
      <w:r w:rsidR="00F854C8">
        <w:t>,</w:t>
      </w:r>
      <w:r w:rsidR="009E20BD" w:rsidRPr="006A56A4">
        <w:t xml:space="preserve"> Thomas Land Publishers</w:t>
      </w:r>
      <w:r w:rsidR="00F854C8">
        <w:t>,</w:t>
      </w:r>
      <w:r w:rsidR="009E20BD" w:rsidRPr="006A56A4">
        <w:t xml:space="preserve"> </w:t>
      </w:r>
      <w:hyperlink r:id="rId7" w:history="1">
        <w:r w:rsidR="00EB07E7" w:rsidRPr="00EB07E7">
          <w:t>www.hosp-pharmacy.com</w:t>
        </w:r>
      </w:hyperlink>
      <w:r w:rsidR="00F854C8">
        <w:t>.</w:t>
      </w:r>
      <w:proofErr w:type="gramEnd"/>
      <w:r w:rsidR="009E20BD">
        <w:rPr>
          <w:rFonts w:ascii="Arial" w:hAnsi="Arial" w:cs="Arial"/>
          <w:sz w:val="20"/>
          <w:szCs w:val="20"/>
        </w:rPr>
        <w:t xml:space="preserve"> </w:t>
      </w:r>
    </w:p>
    <w:p w:rsidR="00142607" w:rsidRDefault="00142607" w:rsidP="00B33003">
      <w:pPr>
        <w:pBdr>
          <w:top w:val="single" w:sz="4" w:space="1" w:color="auto"/>
          <w:left w:val="single" w:sz="4" w:space="4" w:color="auto"/>
          <w:bottom w:val="single" w:sz="4" w:space="1" w:color="auto"/>
          <w:right w:val="single" w:sz="4" w:space="4" w:color="auto"/>
        </w:pBdr>
      </w:pPr>
      <w:r>
        <w:rPr>
          <w:b/>
        </w:rPr>
        <w:t>How to use this tool:</w:t>
      </w:r>
      <w:r>
        <w:t xml:space="preserve"> </w:t>
      </w:r>
      <w:r w:rsidR="008069F1">
        <w:t>Evaluate m</w:t>
      </w:r>
      <w:r w:rsidR="002125D6">
        <w:t>edication-related fall risk on admission</w:t>
      </w:r>
      <w:r w:rsidR="008069F1">
        <w:t xml:space="preserve"> and </w:t>
      </w:r>
      <w:r w:rsidR="002125D6">
        <w:t>at regular intervals thereafter</w:t>
      </w:r>
      <w:r w:rsidR="008069F1">
        <w:t xml:space="preserve">. </w:t>
      </w:r>
      <w:r>
        <w:t xml:space="preserve">Add up the point value (risk level) for every medication the patient is taking. If the patient is taking more than one medication in a particular risk category, the score should be calculated by (risk level score) x (number of medications in that risk level category). For a patient at risk, a pharmacist should use the evaluation tools to determine if medications may be tapered, discontinued, or changed to a safer alternative. </w:t>
      </w:r>
    </w:p>
    <w:p w:rsidR="00142607" w:rsidRDefault="00142607" w:rsidP="00B33003">
      <w:pPr>
        <w:pBdr>
          <w:top w:val="single" w:sz="4" w:space="1" w:color="auto"/>
          <w:left w:val="single" w:sz="4" w:space="4" w:color="auto"/>
          <w:bottom w:val="single" w:sz="4" w:space="1" w:color="auto"/>
          <w:right w:val="single" w:sz="4" w:space="4" w:color="auto"/>
        </w:pBdr>
      </w:pPr>
      <w:r>
        <w:t xml:space="preserve">Use this tool in conjunction with clinical assessment and a nursing risk scale (e.g., </w:t>
      </w:r>
      <w:r w:rsidRPr="00940CE4">
        <w:t>Tool 3</w:t>
      </w:r>
      <w:r w:rsidR="005545BB" w:rsidRPr="00940CE4">
        <w:t>H</w:t>
      </w:r>
      <w:r w:rsidR="00F854C8" w:rsidRPr="00940CE4">
        <w:t>,</w:t>
      </w:r>
      <w:r w:rsidR="00506391" w:rsidRPr="00940CE4">
        <w:t xml:space="preserve"> </w:t>
      </w:r>
      <w:r w:rsidR="000F4062" w:rsidRPr="00940CE4">
        <w:t>“</w:t>
      </w:r>
      <w:r w:rsidR="00506391" w:rsidRPr="00940CE4">
        <w:t>Morse Fall Scale for Identifying Fall Risk Factors</w:t>
      </w:r>
      <w:r w:rsidR="00F854C8" w:rsidRPr="00940CE4">
        <w:t>,</w:t>
      </w:r>
      <w:r w:rsidR="000F4062" w:rsidRPr="00940CE4">
        <w:t>”</w:t>
      </w:r>
      <w:r w:rsidRPr="00601643">
        <w:t xml:space="preserve"> or </w:t>
      </w:r>
      <w:r w:rsidRPr="00940CE4">
        <w:t>3G</w:t>
      </w:r>
      <w:r w:rsidR="00F854C8" w:rsidRPr="00940CE4">
        <w:t>,</w:t>
      </w:r>
      <w:r w:rsidR="00506391" w:rsidRPr="00940CE4">
        <w:t xml:space="preserve"> </w:t>
      </w:r>
      <w:r w:rsidR="000F4062" w:rsidRPr="00940CE4">
        <w:t>“</w:t>
      </w:r>
      <w:r w:rsidR="00506391" w:rsidRPr="00940CE4">
        <w:t>STRATIFY Scale for Identifying Fall Risk Factors</w:t>
      </w:r>
      <w:r w:rsidR="000F4062" w:rsidRPr="00940CE4">
        <w:t>”</w:t>
      </w:r>
      <w:r>
        <w:t>) to determine if a patient is at risk for falls and plan care accordingly. Note that this scale may not capture the medication risk factors that are most important on your hospital ward, so consider your local circumstances.* A hybrid approach is to have the nurse use a scale such as the one below and alert the pharmacist if the total score is 6 or greater.</w:t>
      </w:r>
    </w:p>
    <w:p w:rsidR="00142607" w:rsidRDefault="00142607" w:rsidP="00B33003">
      <w:pPr>
        <w:pBdr>
          <w:top w:val="single" w:sz="4" w:space="1" w:color="auto"/>
          <w:left w:val="single" w:sz="4" w:space="4" w:color="auto"/>
          <w:bottom w:val="single" w:sz="4" w:space="1" w:color="auto"/>
          <w:right w:val="single" w:sz="4" w:space="4" w:color="auto"/>
        </w:pBdr>
      </w:pPr>
      <w:r w:rsidRPr="00222939">
        <w:t>If your hospital uses an electronic health record, consult your hospital’s information systems staff about integrating this tool into the electronic health record.</w:t>
      </w:r>
      <w:r>
        <w:t xml:space="preserve"> </w:t>
      </w:r>
    </w:p>
    <w:p w:rsidR="00F854C8" w:rsidRDefault="00F854C8" w:rsidP="00B33003">
      <w:pPr>
        <w:pBdr>
          <w:top w:val="single" w:sz="4" w:space="1" w:color="auto"/>
          <w:left w:val="single" w:sz="4" w:space="4" w:color="auto"/>
          <w:bottom w:val="single" w:sz="4" w:space="1" w:color="auto"/>
          <w:right w:val="single" w:sz="4" w:space="4" w:color="auto"/>
        </w:pBdr>
        <w:rPr>
          <w:rFonts w:ascii="Arial" w:hAnsi="Arial" w:cs="Arial"/>
          <w:b/>
          <w:szCs w:val="22"/>
        </w:rPr>
      </w:pPr>
      <w:r>
        <w:rPr>
          <w:rFonts w:eastAsia="Times New Roman"/>
          <w:color w:val="231F20"/>
          <w:spacing w:val="-2"/>
          <w:position w:val="-1"/>
        </w:rPr>
        <w:t xml:space="preserve">* Formularies may differ. </w:t>
      </w:r>
      <w:r>
        <w:t xml:space="preserve">Consult the hospital pharmacy and therapeutics committee or pharmacy department for formulary drugs within the </w:t>
      </w:r>
      <w:r>
        <w:rPr>
          <w:rFonts w:eastAsia="Times New Roman"/>
          <w:color w:val="231F20"/>
          <w:spacing w:val="-2"/>
          <w:position w:val="-1"/>
        </w:rPr>
        <w:t>America</w:t>
      </w:r>
      <w:r>
        <w:rPr>
          <w:rFonts w:eastAsia="Times New Roman"/>
          <w:color w:val="231F20"/>
          <w:position w:val="-1"/>
        </w:rPr>
        <w:t>n</w:t>
      </w:r>
      <w:r>
        <w:rPr>
          <w:rFonts w:eastAsia="Times New Roman"/>
          <w:color w:val="231F20"/>
          <w:spacing w:val="37"/>
          <w:position w:val="-1"/>
        </w:rPr>
        <w:t xml:space="preserve"> </w:t>
      </w:r>
      <w:r>
        <w:rPr>
          <w:rFonts w:eastAsia="Times New Roman"/>
          <w:color w:val="231F20"/>
          <w:spacing w:val="-2"/>
          <w:w w:val="109"/>
          <w:position w:val="-1"/>
        </w:rPr>
        <w:t>Hospita</w:t>
      </w:r>
      <w:r>
        <w:rPr>
          <w:rFonts w:eastAsia="Times New Roman"/>
          <w:color w:val="231F20"/>
          <w:w w:val="109"/>
          <w:position w:val="-1"/>
        </w:rPr>
        <w:t>l</w:t>
      </w:r>
      <w:r>
        <w:rPr>
          <w:rFonts w:eastAsia="Times New Roman"/>
          <w:color w:val="231F20"/>
          <w:spacing w:val="3"/>
          <w:w w:val="109"/>
          <w:position w:val="-1"/>
        </w:rPr>
        <w:t xml:space="preserve"> </w:t>
      </w:r>
      <w:r>
        <w:rPr>
          <w:rFonts w:eastAsia="Times New Roman"/>
          <w:color w:val="231F20"/>
          <w:spacing w:val="-2"/>
          <w:position w:val="-1"/>
        </w:rPr>
        <w:t>Formular</w:t>
      </w:r>
      <w:r>
        <w:rPr>
          <w:rFonts w:eastAsia="Times New Roman"/>
          <w:color w:val="231F20"/>
          <w:position w:val="-1"/>
        </w:rPr>
        <w:t xml:space="preserve">y </w:t>
      </w:r>
      <w:r>
        <w:rPr>
          <w:rFonts w:eastAsia="Times New Roman"/>
          <w:color w:val="231F20"/>
          <w:spacing w:val="-2"/>
          <w:position w:val="-1"/>
        </w:rPr>
        <w:t>Service</w:t>
      </w:r>
      <w:r>
        <w:t xml:space="preserve"> drug class identified in the table. The hospital can decide how to specify the drugs that fall within these risk classes.</w:t>
      </w:r>
      <w:r>
        <w:rPr>
          <w:rFonts w:eastAsia="Times New Roman"/>
          <w:color w:val="231F20"/>
          <w:spacing w:val="-2"/>
          <w:position w:val="-1"/>
        </w:rPr>
        <w:t xml:space="preserve"> Also consider the dose and timing of medications (e.g., avoiding diuretic use close to bedtime).</w:t>
      </w:r>
      <w:r>
        <w:rPr>
          <w:rFonts w:ascii="Arial" w:hAnsi="Arial" w:cs="Arial"/>
          <w:b/>
        </w:rPr>
        <w:br w:type="page"/>
      </w:r>
    </w:p>
    <w:p w:rsidR="00142607" w:rsidRDefault="00142607" w:rsidP="00FC230D">
      <w:pPr>
        <w:pStyle w:val="Heading5"/>
      </w:pPr>
      <w:r>
        <w:lastRenderedPageBreak/>
        <w:t xml:space="preserve">Medication </w:t>
      </w:r>
      <w:r w:rsidR="00F854C8">
        <w:t>F</w:t>
      </w:r>
      <w:r>
        <w:t xml:space="preserve">all </w:t>
      </w:r>
      <w:r w:rsidR="00F854C8">
        <w:t>R</w:t>
      </w:r>
      <w:r>
        <w:t xml:space="preserve">isk </w:t>
      </w:r>
      <w:r w:rsidR="00F854C8">
        <w:t>S</w:t>
      </w:r>
      <w:r>
        <w:t>core</w:t>
      </w:r>
    </w:p>
    <w:tbl>
      <w:tblPr>
        <w:tblW w:w="9360" w:type="dxa"/>
        <w:tblLayout w:type="fixed"/>
        <w:tblCellMar>
          <w:top w:w="29" w:type="dxa"/>
          <w:left w:w="115" w:type="dxa"/>
          <w:bottom w:w="29" w:type="dxa"/>
          <w:right w:w="115" w:type="dxa"/>
        </w:tblCellMar>
        <w:tblLook w:val="01E0"/>
      </w:tblPr>
      <w:tblGrid>
        <w:gridCol w:w="1867"/>
        <w:gridCol w:w="3182"/>
        <w:gridCol w:w="4311"/>
      </w:tblGrid>
      <w:tr w:rsidR="00142607" w:rsidTr="00A670DC">
        <w:trPr>
          <w:trHeight w:val="20"/>
          <w:tblHeader/>
        </w:trPr>
        <w:tc>
          <w:tcPr>
            <w:tcW w:w="997" w:type="pct"/>
            <w:tcBorders>
              <w:top w:val="single" w:sz="4" w:space="0" w:color="auto"/>
              <w:left w:val="single" w:sz="4" w:space="0" w:color="auto"/>
              <w:bottom w:val="single" w:sz="4" w:space="0" w:color="auto"/>
              <w:right w:val="single" w:sz="4" w:space="0" w:color="auto"/>
            </w:tcBorders>
            <w:vAlign w:val="bottom"/>
            <w:hideMark/>
          </w:tcPr>
          <w:p w:rsidR="00142607" w:rsidRPr="00F854C8" w:rsidRDefault="00EB07E7" w:rsidP="0078164B">
            <w:pPr>
              <w:spacing w:after="0"/>
            </w:pPr>
            <w:r w:rsidRPr="00EB07E7">
              <w:t>Point Value (Risk Level)</w:t>
            </w:r>
          </w:p>
        </w:tc>
        <w:tc>
          <w:tcPr>
            <w:tcW w:w="1700" w:type="pct"/>
            <w:tcBorders>
              <w:top w:val="single" w:sz="4" w:space="0" w:color="auto"/>
              <w:left w:val="single" w:sz="4" w:space="0" w:color="auto"/>
              <w:bottom w:val="single" w:sz="4" w:space="0" w:color="auto"/>
              <w:right w:val="single" w:sz="4" w:space="0" w:color="auto"/>
            </w:tcBorders>
            <w:vAlign w:val="bottom"/>
            <w:hideMark/>
          </w:tcPr>
          <w:p w:rsidR="00142607" w:rsidRPr="00F854C8" w:rsidRDefault="00EB07E7" w:rsidP="0078164B">
            <w:pPr>
              <w:spacing w:after="0"/>
            </w:pPr>
            <w:r w:rsidRPr="00EB07E7">
              <w:t>American</w:t>
            </w:r>
            <w:r w:rsidRPr="00EB07E7">
              <w:rPr>
                <w:spacing w:val="37"/>
              </w:rPr>
              <w:t xml:space="preserve"> </w:t>
            </w:r>
            <w:r w:rsidRPr="00EB07E7">
              <w:rPr>
                <w:w w:val="109"/>
              </w:rPr>
              <w:t>Hospital</w:t>
            </w:r>
            <w:r w:rsidRPr="00EB07E7">
              <w:rPr>
                <w:spacing w:val="3"/>
                <w:w w:val="109"/>
              </w:rPr>
              <w:t xml:space="preserve"> </w:t>
            </w:r>
            <w:r w:rsidRPr="00EB07E7">
              <w:t>Formulary Service Class</w:t>
            </w:r>
          </w:p>
        </w:tc>
        <w:tc>
          <w:tcPr>
            <w:tcW w:w="2303" w:type="pct"/>
            <w:tcBorders>
              <w:top w:val="single" w:sz="4" w:space="0" w:color="auto"/>
              <w:left w:val="single" w:sz="4" w:space="0" w:color="auto"/>
              <w:bottom w:val="single" w:sz="4" w:space="0" w:color="auto"/>
              <w:right w:val="single" w:sz="4" w:space="0" w:color="auto"/>
            </w:tcBorders>
            <w:vAlign w:val="bottom"/>
            <w:hideMark/>
          </w:tcPr>
          <w:p w:rsidR="00142607" w:rsidRPr="00F854C8" w:rsidRDefault="00EB07E7" w:rsidP="0078164B">
            <w:pPr>
              <w:spacing w:after="0"/>
            </w:pPr>
            <w:r w:rsidRPr="00EB07E7">
              <w:t>Comments</w:t>
            </w:r>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3 (High)</w:t>
            </w:r>
          </w:p>
        </w:tc>
        <w:tc>
          <w:tcPr>
            <w:tcW w:w="1700"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Analgesics,* antipsychotics, anticonvulsants, benzodiazepines</w:t>
            </w:r>
            <w:r w:rsidR="00A670DC">
              <w:rPr>
                <w:rFonts w:ascii="Arial" w:hAnsi="Arial" w:cs="Arial"/>
                <w:vertAlign w:val="superscript"/>
              </w:rPr>
              <w:t>†</w:t>
            </w:r>
          </w:p>
        </w:tc>
        <w:tc>
          <w:tcPr>
            <w:tcW w:w="2303"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Sedation, dizziness, postural disturbances, altered gait and balance, impaired cognition</w:t>
            </w:r>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2 (Medium)</w:t>
            </w:r>
          </w:p>
        </w:tc>
        <w:tc>
          <w:tcPr>
            <w:tcW w:w="1700"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proofErr w:type="spellStart"/>
            <w:r>
              <w:t>Antihypertensives</w:t>
            </w:r>
            <w:proofErr w:type="spellEnd"/>
            <w:r>
              <w:t xml:space="preserve">, cardiac drugs, </w:t>
            </w:r>
            <w:proofErr w:type="spellStart"/>
            <w:r>
              <w:t>antiarrhythmics</w:t>
            </w:r>
            <w:proofErr w:type="spellEnd"/>
            <w:r>
              <w:t>, antidepressants</w:t>
            </w:r>
          </w:p>
        </w:tc>
        <w:tc>
          <w:tcPr>
            <w:tcW w:w="2303" w:type="pct"/>
            <w:tcBorders>
              <w:top w:val="single" w:sz="4" w:space="0" w:color="auto"/>
              <w:left w:val="single" w:sz="4" w:space="0" w:color="auto"/>
              <w:bottom w:val="single" w:sz="4" w:space="0" w:color="auto"/>
              <w:right w:val="single" w:sz="4" w:space="0" w:color="auto"/>
            </w:tcBorders>
            <w:hideMark/>
          </w:tcPr>
          <w:p w:rsidR="00142607" w:rsidRDefault="009151AA" w:rsidP="0078164B">
            <w:pPr>
              <w:spacing w:after="0"/>
            </w:pPr>
            <w:r>
              <w:t xml:space="preserve">Induced </w:t>
            </w:r>
            <w:proofErr w:type="spellStart"/>
            <w:r>
              <w:t>orthostasis</w:t>
            </w:r>
            <w:proofErr w:type="spellEnd"/>
            <w:r>
              <w:t xml:space="preserve">, impaired cerebral perfusion, poor </w:t>
            </w:r>
            <w:r w:rsidR="00142607">
              <w:t>health status</w:t>
            </w:r>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1 (Low)</w:t>
            </w:r>
          </w:p>
        </w:tc>
        <w:tc>
          <w:tcPr>
            <w:tcW w:w="1700"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Diuretics</w:t>
            </w:r>
          </w:p>
        </w:tc>
        <w:tc>
          <w:tcPr>
            <w:tcW w:w="2303"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Increased ambulation, induced </w:t>
            </w:r>
            <w:proofErr w:type="spellStart"/>
            <w:r>
              <w:t>orthostasis</w:t>
            </w:r>
            <w:proofErr w:type="spellEnd"/>
          </w:p>
        </w:tc>
      </w:tr>
      <w:tr w:rsidR="00142607" w:rsidTr="00A670DC">
        <w:trPr>
          <w:trHeight w:val="20"/>
        </w:trPr>
        <w:tc>
          <w:tcPr>
            <w:tcW w:w="997"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Score ≥ 6</w:t>
            </w:r>
          </w:p>
        </w:tc>
        <w:tc>
          <w:tcPr>
            <w:tcW w:w="1700" w:type="pct"/>
            <w:tcBorders>
              <w:top w:val="single" w:sz="4" w:space="0" w:color="auto"/>
              <w:left w:val="single" w:sz="4" w:space="0" w:color="auto"/>
              <w:bottom w:val="single" w:sz="4" w:space="0" w:color="auto"/>
              <w:right w:val="single" w:sz="4" w:space="0" w:color="auto"/>
            </w:tcBorders>
          </w:tcPr>
          <w:p w:rsidR="00142607" w:rsidRDefault="00142607" w:rsidP="0078164B">
            <w:pPr>
              <w:spacing w:after="0"/>
            </w:pPr>
          </w:p>
        </w:tc>
        <w:tc>
          <w:tcPr>
            <w:tcW w:w="2303" w:type="pct"/>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Higher risk for fall; evaluate patient</w:t>
            </w:r>
          </w:p>
        </w:tc>
      </w:tr>
    </w:tbl>
    <w:p w:rsidR="00142607" w:rsidRDefault="00142607" w:rsidP="00FC230D">
      <w:pPr>
        <w:pStyle w:val="FootnoteText"/>
      </w:pPr>
      <w:r>
        <w:t>*</w:t>
      </w:r>
      <w:r w:rsidR="00A670DC">
        <w:t xml:space="preserve"> </w:t>
      </w:r>
      <w:r>
        <w:t>Includes opiates</w:t>
      </w:r>
      <w:r w:rsidR="00A670DC">
        <w:t>.</w:t>
      </w:r>
    </w:p>
    <w:p w:rsidR="00142607" w:rsidRDefault="00A670DC" w:rsidP="00FC230D">
      <w:pPr>
        <w:pStyle w:val="FootnoteText"/>
      </w:pPr>
      <w:r>
        <w:rPr>
          <w:rFonts w:ascii="Arial" w:hAnsi="Arial" w:cs="Arial"/>
          <w:vertAlign w:val="superscript"/>
        </w:rPr>
        <w:t>†</w:t>
      </w:r>
      <w:r>
        <w:rPr>
          <w:vertAlign w:val="superscript"/>
        </w:rPr>
        <w:t xml:space="preserve"> </w:t>
      </w:r>
      <w:r w:rsidR="00142607">
        <w:t xml:space="preserve">Although not included in the original scoring system, the falls toolkit team recommends that you include non-benzodiazepine sedative-hypnotic drugs (e.g., </w:t>
      </w:r>
      <w:proofErr w:type="spellStart"/>
      <w:r w:rsidR="00142607">
        <w:t>zolpidem</w:t>
      </w:r>
      <w:proofErr w:type="spellEnd"/>
      <w:r w:rsidR="00142607">
        <w:t>) in this category.</w:t>
      </w:r>
    </w:p>
    <w:p w:rsidR="00142607" w:rsidRDefault="00142607" w:rsidP="00FC230D">
      <w:pPr>
        <w:pStyle w:val="Heading5"/>
      </w:pPr>
      <w:r>
        <w:t>Medication Fall Risk Evaluation Tools</w:t>
      </w:r>
    </w:p>
    <w:p w:rsidR="00142607" w:rsidRDefault="009151AA" w:rsidP="00FC230D">
      <w:pPr>
        <w:rPr>
          <w:rFonts w:ascii="Arial" w:eastAsia="Times New Roman" w:hAnsi="Arial" w:cs="Arial"/>
          <w:b/>
          <w:color w:val="231F20"/>
          <w:spacing w:val="-2"/>
          <w:position w:val="-1"/>
        </w:rPr>
      </w:pPr>
      <w:r>
        <w:t>Use the tools below</w:t>
      </w:r>
      <w:r w:rsidR="00142607">
        <w:t xml:space="preserve"> when evaluating patients </w:t>
      </w:r>
      <w:r>
        <w:t>found to have high medication-related risk for falls</w:t>
      </w:r>
      <w:r w:rsidR="00142607">
        <w:t>. The comments section provides information on how to evaluate the indicators.</w:t>
      </w:r>
    </w:p>
    <w:tbl>
      <w:tblPr>
        <w:tblW w:w="9360" w:type="dxa"/>
        <w:tblLayout w:type="fixed"/>
        <w:tblCellMar>
          <w:top w:w="29" w:type="dxa"/>
          <w:left w:w="115" w:type="dxa"/>
          <w:bottom w:w="29" w:type="dxa"/>
          <w:right w:w="115" w:type="dxa"/>
        </w:tblCellMar>
        <w:tblLook w:val="04A0"/>
      </w:tblPr>
      <w:tblGrid>
        <w:gridCol w:w="2056"/>
        <w:gridCol w:w="7304"/>
      </w:tblGrid>
      <w:tr w:rsidR="00142607" w:rsidTr="00A670DC">
        <w:trPr>
          <w:trHeight w:val="20"/>
          <w:tblHeader/>
        </w:trPr>
        <w:tc>
          <w:tcPr>
            <w:tcW w:w="2783" w:type="dxa"/>
            <w:tcBorders>
              <w:top w:val="single" w:sz="4" w:space="0" w:color="auto"/>
              <w:left w:val="single" w:sz="4" w:space="0" w:color="auto"/>
              <w:bottom w:val="single" w:sz="4" w:space="0" w:color="auto"/>
              <w:right w:val="single" w:sz="4" w:space="0" w:color="auto"/>
            </w:tcBorders>
            <w:vAlign w:val="bottom"/>
            <w:hideMark/>
          </w:tcPr>
          <w:p w:rsidR="00142607" w:rsidRDefault="00142607" w:rsidP="0078164B">
            <w:pPr>
              <w:spacing w:after="0"/>
            </w:pPr>
            <w:r>
              <w:t>Indicator</w:t>
            </w:r>
          </w:p>
        </w:tc>
        <w:tc>
          <w:tcPr>
            <w:tcW w:w="10143" w:type="dxa"/>
            <w:tcBorders>
              <w:top w:val="single" w:sz="4" w:space="0" w:color="auto"/>
              <w:left w:val="single" w:sz="4" w:space="0" w:color="auto"/>
              <w:bottom w:val="single" w:sz="4" w:space="0" w:color="auto"/>
              <w:right w:val="single" w:sz="4" w:space="0" w:color="auto"/>
            </w:tcBorders>
            <w:vAlign w:val="bottom"/>
            <w:hideMark/>
          </w:tcPr>
          <w:p w:rsidR="00142607" w:rsidRDefault="00142607" w:rsidP="0078164B">
            <w:pPr>
              <w:spacing w:after="0"/>
            </w:pPr>
            <w:r>
              <w:t>Comments</w:t>
            </w:r>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Medications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Beers criteria,* dose</w:t>
            </w:r>
            <w:r w:rsidR="009151AA">
              <w:t xml:space="preserve"> adjustment for renal function </w:t>
            </w:r>
            <w:r>
              <w:t>or disease state, overu</w:t>
            </w:r>
            <w:r w:rsidR="00432B2F">
              <w:t>se</w:t>
            </w:r>
            <w:r>
              <w:t xml:space="preserve"> of medications, IV access</w:t>
            </w:r>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Laboratory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Therapeutic drug levels (</w:t>
            </w:r>
            <w:proofErr w:type="spellStart"/>
            <w:r>
              <w:t>digoxin</w:t>
            </w:r>
            <w:proofErr w:type="spellEnd"/>
            <w:r>
              <w:t xml:space="preserve">, </w:t>
            </w:r>
            <w:proofErr w:type="spellStart"/>
            <w:r>
              <w:t>phenytoin</w:t>
            </w:r>
            <w:proofErr w:type="spellEnd"/>
            <w:r>
              <w:t xml:space="preserve">), </w:t>
            </w:r>
            <w:r w:rsidR="00A670DC">
              <w:rPr>
                <w:rFonts w:eastAsia="Times New Roman"/>
                <w:color w:val="231F20"/>
                <w:spacing w:val="-2"/>
                <w:w w:val="108"/>
              </w:rPr>
              <w:t>internationa</w:t>
            </w:r>
            <w:r w:rsidR="00A670DC">
              <w:rPr>
                <w:rFonts w:eastAsia="Times New Roman"/>
                <w:color w:val="231F20"/>
                <w:w w:val="108"/>
              </w:rPr>
              <w:t>l</w:t>
            </w:r>
            <w:r w:rsidR="00A670DC">
              <w:rPr>
                <w:rFonts w:eastAsia="Times New Roman"/>
                <w:color w:val="231F20"/>
                <w:spacing w:val="12"/>
                <w:w w:val="108"/>
              </w:rPr>
              <w:t xml:space="preserve"> </w:t>
            </w:r>
            <w:r w:rsidR="00A670DC">
              <w:rPr>
                <w:rFonts w:eastAsia="Times New Roman"/>
                <w:color w:val="231F20"/>
                <w:spacing w:val="-2"/>
                <w:w w:val="108"/>
              </w:rPr>
              <w:t>normalize</w:t>
            </w:r>
            <w:r w:rsidR="00A670DC">
              <w:rPr>
                <w:rFonts w:eastAsia="Times New Roman"/>
                <w:color w:val="231F20"/>
                <w:w w:val="108"/>
              </w:rPr>
              <w:t>d</w:t>
            </w:r>
            <w:r w:rsidR="00A670DC">
              <w:rPr>
                <w:rFonts w:eastAsia="Times New Roman"/>
                <w:color w:val="231F20"/>
                <w:spacing w:val="-4"/>
                <w:w w:val="108"/>
              </w:rPr>
              <w:t xml:space="preserve"> </w:t>
            </w:r>
            <w:r w:rsidR="00A670DC">
              <w:rPr>
                <w:rFonts w:eastAsia="Times New Roman"/>
                <w:color w:val="231F20"/>
                <w:spacing w:val="-2"/>
              </w:rPr>
              <w:t>ratio</w:t>
            </w:r>
            <w:r>
              <w:t xml:space="preserve">, electrolytes, </w:t>
            </w:r>
            <w:r w:rsidR="00A670DC">
              <w:t>hemoglobin/</w:t>
            </w:r>
            <w:proofErr w:type="spellStart"/>
            <w:r w:rsidR="00A670DC">
              <w:t>hematocrit</w:t>
            </w:r>
            <w:proofErr w:type="spellEnd"/>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Disease states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proofErr w:type="spellStart"/>
            <w:r>
              <w:t>Comorbidities</w:t>
            </w:r>
            <w:proofErr w:type="spellEnd"/>
            <w:r>
              <w:t xml:space="preserve">, </w:t>
            </w:r>
            <w:r w:rsidR="00A670DC">
              <w:t>hypertension</w:t>
            </w:r>
            <w:r>
              <w:t xml:space="preserve">, </w:t>
            </w:r>
            <w:r w:rsidR="00A670DC">
              <w:t>congestive heart failure</w:t>
            </w:r>
            <w:r>
              <w:t xml:space="preserve">, </w:t>
            </w:r>
            <w:r w:rsidR="00A670DC">
              <w:t>diabetes</w:t>
            </w:r>
            <w:r>
              <w:t>, orthopedic surgery, prior fall, dementia,</w:t>
            </w:r>
            <w:r w:rsidR="00056473">
              <w:t xml:space="preserve"> </w:t>
            </w:r>
            <w:r>
              <w:t>other</w:t>
            </w:r>
            <w:r w:rsidR="00432B2F">
              <w:rPr>
                <w:rFonts w:ascii="Arial" w:hAnsi="Arial" w:cs="Arial"/>
                <w:vertAlign w:val="superscript"/>
              </w:rPr>
              <w:t>†</w:t>
            </w:r>
          </w:p>
        </w:tc>
      </w:tr>
      <w:tr w:rsidR="00142607" w:rsidTr="00A670DC">
        <w:trPr>
          <w:trHeight w:val="20"/>
        </w:trPr>
        <w:tc>
          <w:tcPr>
            <w:tcW w:w="278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 xml:space="preserve">Education </w:t>
            </w:r>
          </w:p>
        </w:tc>
        <w:tc>
          <w:tcPr>
            <w:tcW w:w="10143" w:type="dxa"/>
            <w:tcBorders>
              <w:top w:val="single" w:sz="4" w:space="0" w:color="auto"/>
              <w:left w:val="single" w:sz="4" w:space="0" w:color="auto"/>
              <w:bottom w:val="single" w:sz="4" w:space="0" w:color="auto"/>
              <w:right w:val="single" w:sz="4" w:space="0" w:color="auto"/>
            </w:tcBorders>
            <w:hideMark/>
          </w:tcPr>
          <w:p w:rsidR="00142607" w:rsidRDefault="00142607" w:rsidP="0078164B">
            <w:pPr>
              <w:spacing w:after="0"/>
            </w:pPr>
            <w:r>
              <w:t>Patient’s ability/willingness</w:t>
            </w:r>
            <w:r w:rsidR="00056473">
              <w:t xml:space="preserve"> </w:t>
            </w:r>
            <w:r>
              <w:t>to learn, patient’s mental</w:t>
            </w:r>
            <w:r w:rsidR="00056473">
              <w:t xml:space="preserve"> </w:t>
            </w:r>
            <w:r>
              <w:t>status</w:t>
            </w:r>
          </w:p>
        </w:tc>
      </w:tr>
    </w:tbl>
    <w:p w:rsidR="00142607" w:rsidRDefault="00142607" w:rsidP="00FC230D">
      <w:pPr>
        <w:pStyle w:val="EndnoteText"/>
      </w:pPr>
      <w:r>
        <w:rPr>
          <w:rFonts w:eastAsia="Times New Roman"/>
          <w:color w:val="231F20"/>
          <w:spacing w:val="-2"/>
          <w:w w:val="106"/>
        </w:rPr>
        <w:t>*</w:t>
      </w:r>
      <w:r>
        <w:t xml:space="preserve"> Beers criteria are available at:</w:t>
      </w:r>
      <w:r w:rsidR="00056473">
        <w:t xml:space="preserve"> </w:t>
      </w:r>
      <w:r>
        <w:t xml:space="preserve">American Geriatrics Society </w:t>
      </w:r>
      <w:r w:rsidR="00A670DC">
        <w:t>u</w:t>
      </w:r>
      <w:r>
        <w:t xml:space="preserve">pdated Beers </w:t>
      </w:r>
      <w:r w:rsidR="00A670DC">
        <w:t>c</w:t>
      </w:r>
      <w:r>
        <w:t xml:space="preserve">riteria for </w:t>
      </w:r>
      <w:r w:rsidR="00A670DC">
        <w:t>p</w:t>
      </w:r>
      <w:r>
        <w:t xml:space="preserve">otentially </w:t>
      </w:r>
      <w:r w:rsidR="00A670DC">
        <w:t>i</w:t>
      </w:r>
      <w:r>
        <w:t xml:space="preserve">nappropriate </w:t>
      </w:r>
      <w:r w:rsidR="00A670DC">
        <w:t>m</w:t>
      </w:r>
      <w:r>
        <w:t xml:space="preserve">edication use in </w:t>
      </w:r>
      <w:r w:rsidR="00A670DC">
        <w:t>o</w:t>
      </w:r>
      <w:r>
        <w:t xml:space="preserve">lder </w:t>
      </w:r>
      <w:r w:rsidR="00A670DC">
        <w:t>a</w:t>
      </w:r>
      <w:r>
        <w:t xml:space="preserve">dults. J Am </w:t>
      </w:r>
      <w:proofErr w:type="spellStart"/>
      <w:r>
        <w:t>Geriatr</w:t>
      </w:r>
      <w:proofErr w:type="spellEnd"/>
      <w:r>
        <w:t xml:space="preserve"> Soc 2012</w:t>
      </w:r>
      <w:proofErr w:type="gramStart"/>
      <w:r>
        <w:t>;60</w:t>
      </w:r>
      <w:proofErr w:type="gramEnd"/>
      <w:r>
        <w:t>(4):616-31.</w:t>
      </w:r>
    </w:p>
    <w:p w:rsidR="00142607" w:rsidRDefault="00A670DC" w:rsidP="00FC230D">
      <w:pPr>
        <w:pStyle w:val="EndnoteText"/>
        <w:rPr>
          <w:w w:val="106"/>
        </w:rPr>
      </w:pPr>
      <w:r w:rsidRPr="00A670DC">
        <w:rPr>
          <w:rFonts w:ascii="Arial" w:hAnsi="Arial" w:cs="Arial"/>
          <w:spacing w:val="-1"/>
          <w:position w:val="6"/>
          <w:vertAlign w:val="superscript"/>
        </w:rPr>
        <w:t>†</w:t>
      </w:r>
      <w:r w:rsidRPr="00A670DC">
        <w:rPr>
          <w:spacing w:val="-1"/>
          <w:position w:val="6"/>
        </w:rPr>
        <w:t xml:space="preserve"> </w:t>
      </w:r>
      <w:r w:rsidR="00142607">
        <w:t>Age</w:t>
      </w:r>
      <w:r w:rsidR="00142607">
        <w:rPr>
          <w:spacing w:val="7"/>
        </w:rPr>
        <w:t xml:space="preserve"> </w:t>
      </w:r>
      <w:r w:rsidR="00142607">
        <w:t>65</w:t>
      </w:r>
      <w:r w:rsidR="00142607">
        <w:rPr>
          <w:spacing w:val="23"/>
        </w:rPr>
        <w:t xml:space="preserve"> </w:t>
      </w:r>
      <w:r w:rsidR="00142607">
        <w:t>years</w:t>
      </w:r>
      <w:r w:rsidR="00142607">
        <w:rPr>
          <w:spacing w:val="22"/>
        </w:rPr>
        <w:t xml:space="preserve"> </w:t>
      </w:r>
      <w:r w:rsidR="00142607">
        <w:t>or</w:t>
      </w:r>
      <w:r w:rsidR="00142607">
        <w:rPr>
          <w:spacing w:val="22"/>
        </w:rPr>
        <w:t xml:space="preserve"> </w:t>
      </w:r>
      <w:r w:rsidR="00142607">
        <w:t>older.</w:t>
      </w:r>
    </w:p>
    <w:sectPr w:rsidR="00142607" w:rsidSect="00940CE4">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2E3"/>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CE4"/>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sp-pharma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2013-01-29T14:35:00Z</dcterms:created>
  <dcterms:modified xsi:type="dcterms:W3CDTF">2013-01-29T14:38:00Z</dcterms:modified>
</cp:coreProperties>
</file>