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3N:_Post-fall_aAssessment,"/>
      <w:bookmarkStart w:id="1" w:name="_3N:_Postfall_Assessment,"/>
      <w:bookmarkStart w:id="2" w:name="_Toc332135163"/>
      <w:bookmarkStart w:id="3" w:name="_Toc332373598"/>
      <w:bookmarkStart w:id="4" w:name="_Toc334978068"/>
      <w:bookmarkStart w:id="5" w:name="_Toc335210903"/>
      <w:bookmarkStart w:id="6" w:name="_Toc336583079"/>
      <w:bookmarkStart w:id="7" w:name="_Toc337028934"/>
      <w:bookmarkStart w:id="8" w:name="_Toc337981997"/>
      <w:bookmarkStart w:id="9" w:name="_Toc340757841"/>
      <w:bookmarkEnd w:id="0"/>
      <w:bookmarkEnd w:id="1"/>
      <w:r>
        <w:t xml:space="preserve">3N: </w:t>
      </w:r>
      <w:proofErr w:type="spellStart"/>
      <w:r>
        <w:t>Postfall</w:t>
      </w:r>
      <w:proofErr w:type="spellEnd"/>
      <w:r>
        <w:t xml:space="preserve"> </w:t>
      </w:r>
      <w:r w:rsidR="00CC38DC">
        <w:t>A</w:t>
      </w:r>
      <w:r>
        <w:t>ssessment</w:t>
      </w:r>
      <w:r w:rsidR="00A71937">
        <w:t xml:space="preserve">, </w:t>
      </w:r>
      <w:r w:rsidR="00CC38DC">
        <w:t>C</w:t>
      </w:r>
      <w:r>
        <w:t xml:space="preserve">linical </w:t>
      </w:r>
      <w:r w:rsidR="00CC38DC">
        <w:t>R</w:t>
      </w:r>
      <w:r>
        <w:t>eview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42607" w:rsidRDefault="00142607" w:rsidP="0076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Background:</w:t>
      </w:r>
      <w:r>
        <w:t xml:space="preserve"> This protocol explains how to assess and follow injury risk in a patient who has fallen.</w:t>
      </w:r>
    </w:p>
    <w:p w:rsidR="00445AC1" w:rsidRDefault="00142607" w:rsidP="0076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Reference: </w:t>
      </w:r>
      <w:r>
        <w:t xml:space="preserve">Adapted from the South Australia Health Fall Prevention Toolkit. Available at: </w:t>
      </w:r>
      <w:hyperlink r:id="rId7" w:history="1">
        <w:r w:rsidR="00296083" w:rsidRPr="00236CD8">
          <w:rPr>
            <w:rStyle w:val="Hyperlink"/>
          </w:rPr>
          <w:t>www.sahealth.sa.gov.au/wps/wcm/connect/5a7adb80464f6640a604fe2e504170d4/Post+fall+management+protocol-SaQ-20110330.pdf?MOD=AJPERES&amp;CACHEID=5a7adb80464f6640a604fe2e504170d4</w:t>
        </w:r>
      </w:hyperlink>
    </w:p>
    <w:p w:rsidR="00142607" w:rsidRPr="00BD5084" w:rsidRDefault="00142607" w:rsidP="00767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How to use this tool:</w:t>
      </w:r>
      <w:r>
        <w:t xml:space="preserve"> Staff nurses and physicians should follow this protocol, in combination with clinical judgment, with patients who have just fallen. Training on the Glasgow Coma Scale is available at: </w:t>
      </w:r>
      <w:hyperlink r:id="rId8" w:history="1">
        <w:r w:rsidR="00296083" w:rsidRPr="00236CD8">
          <w:rPr>
            <w:rStyle w:val="Hyperlink"/>
          </w:rPr>
          <w:t>www.nursingtimes.net/Binaries/0-4-1/4-1735373.pdf</w:t>
        </w:r>
      </w:hyperlink>
      <w:r w:rsidR="00BD5084">
        <w:rPr>
          <w:rStyle w:val="Hyperlink"/>
          <w:color w:val="auto"/>
          <w:u w:val="none"/>
        </w:rPr>
        <w:t xml:space="preserve">. (Full citation: </w:t>
      </w:r>
      <w:proofErr w:type="spellStart"/>
      <w:r w:rsidR="00843BD2">
        <w:rPr>
          <w:rStyle w:val="Hyperlink"/>
          <w:color w:val="auto"/>
          <w:u w:val="none"/>
        </w:rPr>
        <w:t>Jevon</w:t>
      </w:r>
      <w:proofErr w:type="spellEnd"/>
      <w:r w:rsidR="00843BD2">
        <w:rPr>
          <w:rStyle w:val="Hyperlink"/>
          <w:color w:val="auto"/>
          <w:u w:val="none"/>
        </w:rPr>
        <w:t xml:space="preserve"> P.</w:t>
      </w:r>
      <w:r w:rsidR="00BD5084" w:rsidRPr="00BD5084">
        <w:rPr>
          <w:rStyle w:val="Hyperlink"/>
          <w:color w:val="auto"/>
          <w:u w:val="none"/>
        </w:rPr>
        <w:t xml:space="preserve"> Neurological </w:t>
      </w:r>
      <w:r w:rsidR="00296083">
        <w:rPr>
          <w:rStyle w:val="Hyperlink"/>
          <w:color w:val="auto"/>
          <w:u w:val="none"/>
        </w:rPr>
        <w:t>a</w:t>
      </w:r>
      <w:r w:rsidR="00BD5084" w:rsidRPr="00BD5084">
        <w:rPr>
          <w:rStyle w:val="Hyperlink"/>
          <w:color w:val="auto"/>
          <w:u w:val="none"/>
        </w:rPr>
        <w:t xml:space="preserve">ssessment </w:t>
      </w:r>
      <w:r w:rsidR="00296083">
        <w:rPr>
          <w:rStyle w:val="Hyperlink"/>
          <w:color w:val="auto"/>
          <w:u w:val="none"/>
        </w:rPr>
        <w:t>p</w:t>
      </w:r>
      <w:r w:rsidR="00BD5084" w:rsidRPr="00BD5084">
        <w:rPr>
          <w:rStyle w:val="Hyperlink"/>
          <w:color w:val="auto"/>
          <w:u w:val="none"/>
        </w:rPr>
        <w:t>art 4 - Glas</w:t>
      </w:r>
      <w:r w:rsidR="00843BD2">
        <w:rPr>
          <w:rStyle w:val="Hyperlink"/>
          <w:color w:val="auto"/>
          <w:u w:val="none"/>
        </w:rPr>
        <w:t xml:space="preserve">gow Coma Scale 2. </w:t>
      </w:r>
      <w:proofErr w:type="spellStart"/>
      <w:r w:rsidR="00843BD2" w:rsidRPr="00296083">
        <w:rPr>
          <w:rStyle w:val="Hyperlink"/>
          <w:color w:val="auto"/>
          <w:u w:val="none"/>
        </w:rPr>
        <w:t>Nurs</w:t>
      </w:r>
      <w:proofErr w:type="spellEnd"/>
      <w:r w:rsidR="00843BD2" w:rsidRPr="00296083">
        <w:rPr>
          <w:rStyle w:val="Hyperlink"/>
          <w:color w:val="auto"/>
          <w:u w:val="none"/>
        </w:rPr>
        <w:t xml:space="preserve"> Times </w:t>
      </w:r>
      <w:r w:rsidR="00843BD2">
        <w:rPr>
          <w:rStyle w:val="Hyperlink"/>
          <w:color w:val="auto"/>
          <w:u w:val="none"/>
        </w:rPr>
        <w:t>2008</w:t>
      </w:r>
      <w:proofErr w:type="gramStart"/>
      <w:r w:rsidR="00843BD2">
        <w:rPr>
          <w:rStyle w:val="Hyperlink"/>
          <w:color w:val="auto"/>
          <w:u w:val="none"/>
        </w:rPr>
        <w:t>;</w:t>
      </w:r>
      <w:r w:rsidR="00BD5084" w:rsidRPr="00BD5084">
        <w:rPr>
          <w:rStyle w:val="Hyperlink"/>
          <w:color w:val="auto"/>
          <w:u w:val="none"/>
        </w:rPr>
        <w:t>104</w:t>
      </w:r>
      <w:proofErr w:type="gramEnd"/>
      <w:r w:rsidR="00296083">
        <w:rPr>
          <w:rStyle w:val="Hyperlink"/>
          <w:color w:val="auto"/>
          <w:u w:val="none"/>
        </w:rPr>
        <w:t>(</w:t>
      </w:r>
      <w:r w:rsidR="00BD5084" w:rsidRPr="00BD5084">
        <w:rPr>
          <w:rStyle w:val="Hyperlink"/>
          <w:color w:val="auto"/>
          <w:u w:val="none"/>
        </w:rPr>
        <w:t>30</w:t>
      </w:r>
      <w:r w:rsidR="00296083">
        <w:rPr>
          <w:rStyle w:val="Hyperlink"/>
          <w:color w:val="auto"/>
          <w:u w:val="none"/>
        </w:rPr>
        <w:t>)</w:t>
      </w:r>
      <w:r w:rsidR="00BD5084" w:rsidRPr="00BD5084">
        <w:rPr>
          <w:rStyle w:val="Hyperlink"/>
          <w:color w:val="auto"/>
          <w:u w:val="none"/>
        </w:rPr>
        <w:t>:24-5</w:t>
      </w:r>
      <w:r w:rsidR="00BD5084">
        <w:rPr>
          <w:rStyle w:val="Hyperlink"/>
          <w:color w:val="auto"/>
          <w:u w:val="none"/>
        </w:rPr>
        <w:t>.) This training includes graphics demonstrating various aspects of the scale.</w:t>
      </w:r>
    </w:p>
    <w:p w:rsidR="00296083" w:rsidRDefault="00296083" w:rsidP="00FC230D"/>
    <w:p w:rsidR="00296083" w:rsidRDefault="00296083" w:rsidP="00FC230D">
      <w:pPr>
        <w:sectPr w:rsidR="00296083"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</w:sectPr>
      </w:pPr>
    </w:p>
    <w:p w:rsidR="00142607" w:rsidRDefault="00142607" w:rsidP="00FC230D">
      <w:pPr>
        <w:pStyle w:val="Heading5"/>
      </w:pPr>
      <w:proofErr w:type="spellStart"/>
      <w:r>
        <w:lastRenderedPageBreak/>
        <w:t>Postfall</w:t>
      </w:r>
      <w:proofErr w:type="spellEnd"/>
      <w:r>
        <w:t xml:space="preserve"> </w:t>
      </w:r>
      <w:r w:rsidR="00296083">
        <w:t>A</w:t>
      </w:r>
      <w:r>
        <w:t>ssessment</w:t>
      </w:r>
      <w:r w:rsidR="00A71937">
        <w:t>,</w:t>
      </w:r>
      <w:r>
        <w:t xml:space="preserve"> </w:t>
      </w:r>
      <w:r w:rsidR="00296083">
        <w:t>C</w:t>
      </w:r>
      <w:r>
        <w:t xml:space="preserve">linical </w:t>
      </w:r>
      <w:r w:rsidR="00296083">
        <w:t>R</w:t>
      </w:r>
      <w:r>
        <w:t>eview</w:t>
      </w:r>
    </w:p>
    <w:p w:rsidR="00296083" w:rsidRDefault="00296083" w:rsidP="00767BCD">
      <w:pPr>
        <w:spacing w:after="120"/>
      </w:pPr>
      <w:r w:rsidRPr="00296083">
        <w:rPr>
          <w:b/>
        </w:rPr>
        <w:t>Note</w:t>
      </w:r>
      <w:r>
        <w:rPr>
          <w:b/>
        </w:rPr>
        <w:t>:</w:t>
      </w:r>
      <w:r w:rsidRPr="00296083">
        <w:rPr>
          <w:b/>
        </w:rPr>
        <w:t xml:space="preserve"> </w:t>
      </w:r>
      <w:r w:rsidR="00613522" w:rsidRPr="00613522">
        <w:t xml:space="preserve">There is increased risk of intracranial hemorrhage in patients with advanced age; on anticoagulant and/or </w:t>
      </w:r>
      <w:proofErr w:type="spellStart"/>
      <w:r w:rsidR="00613522" w:rsidRPr="00613522">
        <w:t>antiplatelet</w:t>
      </w:r>
      <w:proofErr w:type="spellEnd"/>
      <w:r w:rsidR="00613522" w:rsidRPr="00613522">
        <w:t xml:space="preserve"> therapy; and known </w:t>
      </w:r>
      <w:proofErr w:type="spellStart"/>
      <w:r w:rsidR="00613522" w:rsidRPr="00613522">
        <w:t>coagulopathy</w:t>
      </w:r>
      <w:proofErr w:type="spellEnd"/>
      <w:r w:rsidR="00613522" w:rsidRPr="00613522">
        <w:t>, including those with alcoholism.</w:t>
      </w:r>
      <w:r w:rsidRPr="00296083">
        <w:rPr>
          <w:b/>
        </w:rPr>
        <w:t xml:space="preserve"> </w:t>
      </w:r>
      <w:r>
        <w:t>In addition, there may be late manifestations of head injury after 24 hours.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4985"/>
        <w:gridCol w:w="277"/>
        <w:gridCol w:w="5538"/>
      </w:tblGrid>
      <w:tr w:rsidR="00142607" w:rsidTr="00C16F48">
        <w:trPr>
          <w:jc w:val="center"/>
        </w:trPr>
        <w:tc>
          <w:tcPr>
            <w:tcW w:w="4860" w:type="dxa"/>
          </w:tcPr>
          <w:p w:rsidR="00142607" w:rsidRPr="00767BCD" w:rsidRDefault="00142607" w:rsidP="00F504E9">
            <w:pPr>
              <w:spacing w:after="60"/>
              <w:jc w:val="center"/>
              <w:rPr>
                <w:b/>
              </w:rPr>
            </w:pPr>
            <w:r w:rsidRPr="00767BCD">
              <w:rPr>
                <w:b/>
              </w:rPr>
              <w:t>Does not hit head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3"/>
              </w:numPr>
            </w:pPr>
            <w:r w:rsidRPr="00C95A64">
              <w:t>Assess immediate danger to all involved. Assess circulation, airway</w:t>
            </w:r>
            <w:r w:rsidR="0040436B">
              <w:t>,</w:t>
            </w:r>
            <w:r w:rsidRPr="00C95A64">
              <w:t xml:space="preserve"> and breathing according to your hospital’s protocol.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3"/>
              </w:numPr>
            </w:pPr>
            <w:r w:rsidRPr="00C95A64">
              <w:t xml:space="preserve">Call for assistance. Activate appropriate emergency response team if required.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3"/>
              </w:numPr>
            </w:pPr>
            <w:r w:rsidRPr="00C95A64">
              <w:t xml:space="preserve">Do not move the patient until he/she has been assessed for safety to be moved. Examine cervical spine and if there is any indication of injury do not move the patient; instead, immobilize cervical spine, and call treating medical provider.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3"/>
              </w:numPr>
            </w:pPr>
            <w:r w:rsidRPr="00C95A64">
              <w:t>Identify all visible injuries and initiate first aid</w:t>
            </w:r>
            <w:r w:rsidR="00E10E02">
              <w:t>;</w:t>
            </w:r>
            <w:r w:rsidRPr="00C95A64">
              <w:t xml:space="preserve"> for example</w:t>
            </w:r>
            <w:r w:rsidR="0040436B">
              <w:t>,</w:t>
            </w:r>
            <w:r w:rsidRPr="00C95A64">
              <w:t xml:space="preserve"> cover wounds.</w:t>
            </w:r>
          </w:p>
          <w:p w:rsidR="00142607" w:rsidRPr="00C95A64" w:rsidRDefault="00142607" w:rsidP="00586872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C95A64">
              <w:t xml:space="preserve">Assist patient to move using safe handling practices. </w:t>
            </w:r>
          </w:p>
          <w:p w:rsidR="00142607" w:rsidRPr="00767BCD" w:rsidRDefault="00142607" w:rsidP="00F504E9">
            <w:pPr>
              <w:spacing w:after="60"/>
              <w:jc w:val="center"/>
              <w:rPr>
                <w:b/>
              </w:rPr>
            </w:pPr>
            <w:r w:rsidRPr="00767BCD">
              <w:rPr>
                <w:b/>
              </w:rPr>
              <w:t>Proceed to: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4"/>
              </w:numPr>
            </w:pPr>
            <w:r w:rsidRPr="00C95A64">
              <w:t>Check vital signs (blood pressure, heart rate, respiratory rate, oxygen saturation, and hydration).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4"/>
              </w:numPr>
            </w:pPr>
            <w:r w:rsidRPr="00C95A64">
              <w:t xml:space="preserve">Clean and dress any wounds.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4"/>
              </w:numPr>
            </w:pPr>
            <w:r w:rsidRPr="00C95A64">
              <w:t xml:space="preserve">Inform treating medical provider.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4"/>
              </w:numPr>
            </w:pPr>
            <w:r w:rsidRPr="00C95A64">
              <w:t xml:space="preserve">Provide analgesia if required and not contraindicated.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4"/>
              </w:numPr>
            </w:pPr>
            <w:r w:rsidRPr="00C95A64">
              <w:t xml:space="preserve">Arrange further tests as indicated, such as blood sugar levels and </w:t>
            </w:r>
            <w:proofErr w:type="gramStart"/>
            <w:r w:rsidR="0040436B">
              <w:t>x</w:t>
            </w:r>
            <w:proofErr w:type="gramEnd"/>
            <w:r w:rsidR="0040436B">
              <w:t xml:space="preserve"> </w:t>
            </w:r>
            <w:r w:rsidRPr="00C95A64">
              <w:t>rays.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4"/>
              </w:numPr>
            </w:pPr>
            <w:r w:rsidRPr="00C95A64">
              <w:t xml:space="preserve">Review current care plan </w:t>
            </w:r>
            <w:r w:rsidR="0040436B">
              <w:t>and</w:t>
            </w:r>
            <w:r w:rsidRPr="00C95A64">
              <w:t xml:space="preserve"> implement additional fall prevention strategies.</w:t>
            </w:r>
          </w:p>
          <w:p w:rsidR="00142607" w:rsidRPr="00C95A64" w:rsidRDefault="00142607" w:rsidP="00586872">
            <w:pPr>
              <w:pStyle w:val="ListParagraph"/>
              <w:numPr>
                <w:ilvl w:val="0"/>
                <w:numId w:val="24"/>
              </w:numPr>
              <w:spacing w:after="120"/>
            </w:pPr>
            <w:r w:rsidRPr="00C95A64">
              <w:t xml:space="preserve">Provide fall prevention information (Tool 3J). </w:t>
            </w:r>
          </w:p>
          <w:p w:rsidR="00142607" w:rsidRPr="00767BCD" w:rsidRDefault="00142607" w:rsidP="00F504E9">
            <w:pPr>
              <w:spacing w:after="60"/>
              <w:jc w:val="center"/>
              <w:rPr>
                <w:b/>
              </w:rPr>
            </w:pPr>
            <w:r w:rsidRPr="00767BCD">
              <w:rPr>
                <w:b/>
              </w:rPr>
              <w:t>Observations:</w:t>
            </w:r>
          </w:p>
          <w:p w:rsidR="00142607" w:rsidRDefault="00142607" w:rsidP="00586872">
            <w:pPr>
              <w:pStyle w:val="ListParagraph"/>
              <w:numPr>
                <w:ilvl w:val="0"/>
                <w:numId w:val="25"/>
              </w:numPr>
            </w:pPr>
            <w:r>
              <w:t xml:space="preserve">Continue observations at least every </w:t>
            </w:r>
            <w:r w:rsidR="0040436B">
              <w:t>4</w:t>
            </w:r>
            <w:r>
              <w:t xml:space="preserve"> hours for 24 hours or as required. </w:t>
            </w:r>
          </w:p>
        </w:tc>
        <w:tc>
          <w:tcPr>
            <w:tcW w:w="270" w:type="dxa"/>
          </w:tcPr>
          <w:p w:rsidR="00142607" w:rsidRDefault="00142607" w:rsidP="00FC230D"/>
        </w:tc>
        <w:tc>
          <w:tcPr>
            <w:tcW w:w="5400" w:type="dxa"/>
          </w:tcPr>
          <w:p w:rsidR="00142607" w:rsidRPr="00767BCD" w:rsidRDefault="00142607" w:rsidP="00F504E9">
            <w:pPr>
              <w:spacing w:after="60"/>
              <w:jc w:val="center"/>
              <w:rPr>
                <w:b/>
              </w:rPr>
            </w:pPr>
            <w:r w:rsidRPr="00767BCD">
              <w:rPr>
                <w:b/>
              </w:rPr>
              <w:t xml:space="preserve">Hits head or </w:t>
            </w:r>
            <w:r w:rsidR="00B47F62" w:rsidRPr="00767BCD">
              <w:rPr>
                <w:b/>
              </w:rPr>
              <w:t xml:space="preserve">has </w:t>
            </w:r>
            <w:proofErr w:type="spellStart"/>
            <w:r w:rsidRPr="00767BCD">
              <w:rPr>
                <w:b/>
              </w:rPr>
              <w:t>unwitnessed</w:t>
            </w:r>
            <w:proofErr w:type="spellEnd"/>
            <w:r w:rsidRPr="00767BCD">
              <w:rPr>
                <w:b/>
              </w:rPr>
              <w:t xml:space="preserve"> fall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5"/>
              </w:numPr>
            </w:pPr>
            <w:r w:rsidRPr="00C95A64">
              <w:t>Assess immediate danger to all involved. Assess circulation, airway</w:t>
            </w:r>
            <w:r w:rsidR="00E10E02">
              <w:t>,</w:t>
            </w:r>
            <w:r w:rsidRPr="00C95A64">
              <w:t xml:space="preserve"> and breathing according to your hospital’s protocol.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5"/>
              </w:numPr>
            </w:pPr>
            <w:r w:rsidRPr="00C95A64">
              <w:t>Call for assistance. Activate appropriate emergency response team if required.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5"/>
              </w:numPr>
            </w:pPr>
            <w:r w:rsidRPr="00C95A64">
              <w:t>Do not move the patient until he/she has been assessed for safety to be moved. Examine cervical spine and if there is any indication of injury do not move the patient; instead, immobilize cervical spine, and call treating medical provider.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5"/>
              </w:numPr>
            </w:pPr>
            <w:r w:rsidRPr="00C95A64">
              <w:t xml:space="preserve">Assess Glasgow Coma Scale (next page).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5"/>
              </w:numPr>
            </w:pPr>
            <w:r w:rsidRPr="00C95A64">
              <w:t>Identify all visible injuries and initiate first aid</w:t>
            </w:r>
            <w:r w:rsidR="00E10E02">
              <w:t>;</w:t>
            </w:r>
            <w:r w:rsidRPr="00C95A64">
              <w:t xml:space="preserve"> for example</w:t>
            </w:r>
            <w:r w:rsidR="00E10E02">
              <w:t>,</w:t>
            </w:r>
            <w:r w:rsidRPr="00C95A64">
              <w:t xml:space="preserve"> cover wounds. </w:t>
            </w:r>
          </w:p>
          <w:p w:rsidR="00142607" w:rsidRPr="00C95A64" w:rsidRDefault="00142607" w:rsidP="00586872">
            <w:pPr>
              <w:pStyle w:val="ListParagraph"/>
              <w:numPr>
                <w:ilvl w:val="0"/>
                <w:numId w:val="25"/>
              </w:numPr>
              <w:spacing w:after="120"/>
            </w:pPr>
            <w:r w:rsidRPr="00C95A64">
              <w:t>Assist patient to move using safe handling practices.</w:t>
            </w:r>
          </w:p>
          <w:p w:rsidR="00142607" w:rsidRPr="00767BCD" w:rsidRDefault="00142607" w:rsidP="00F504E9">
            <w:pPr>
              <w:spacing w:after="60"/>
              <w:jc w:val="center"/>
              <w:rPr>
                <w:b/>
              </w:rPr>
            </w:pPr>
            <w:r w:rsidRPr="00767BCD">
              <w:rPr>
                <w:b/>
              </w:rPr>
              <w:t>Proceed to:</w:t>
            </w:r>
          </w:p>
          <w:p w:rsidR="00C95A64" w:rsidRDefault="00BB219F" w:rsidP="00586872">
            <w:pPr>
              <w:pStyle w:val="ListParagraph"/>
              <w:numPr>
                <w:ilvl w:val="0"/>
                <w:numId w:val="26"/>
              </w:numPr>
            </w:pPr>
            <w:r>
              <w:t>Record n</w:t>
            </w:r>
            <w:r w:rsidR="00142607" w:rsidRPr="00C95A64">
              <w:t>eurologic observations</w:t>
            </w:r>
            <w:r w:rsidR="00E10E02">
              <w:t>,</w:t>
            </w:r>
            <w:r w:rsidR="00142607" w:rsidRPr="00C95A64">
              <w:t xml:space="preserve"> incl</w:t>
            </w:r>
            <w:r w:rsidR="00E10E02">
              <w:t>uding</w:t>
            </w:r>
            <w:r w:rsidR="00142607" w:rsidRPr="00C95A64">
              <w:t xml:space="preserve"> Glasgow Coma Scale. Observe for signs indicating stroke, change in consciousness, headache, amnesia</w:t>
            </w:r>
            <w:r>
              <w:t>,</w:t>
            </w:r>
            <w:r w:rsidR="00142607" w:rsidRPr="00C95A64">
              <w:t xml:space="preserve"> or vomiting. </w:t>
            </w:r>
          </w:p>
          <w:p w:rsidR="00C95A64" w:rsidRDefault="00BB219F" w:rsidP="00586872">
            <w:pPr>
              <w:pStyle w:val="ListParagraph"/>
              <w:numPr>
                <w:ilvl w:val="0"/>
                <w:numId w:val="26"/>
              </w:numPr>
            </w:pPr>
            <w:r>
              <w:t>Get b</w:t>
            </w:r>
            <w:r w:rsidR="00142607" w:rsidRPr="00C95A64">
              <w:t>aseline vital signs (blood pressure, heart rate, respiratory rate, oxygen saturation, temperature</w:t>
            </w:r>
            <w:r>
              <w:t>,</w:t>
            </w:r>
            <w:r w:rsidR="00142607" w:rsidRPr="00C95A64">
              <w:t xml:space="preserve"> and hydration).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6"/>
              </w:numPr>
            </w:pPr>
            <w:r w:rsidRPr="00C95A64">
              <w:t>Clean and dress any wounds.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6"/>
              </w:numPr>
            </w:pPr>
            <w:r w:rsidRPr="00C95A64">
              <w:t xml:space="preserve">Arrange medical review.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6"/>
              </w:numPr>
            </w:pPr>
            <w:r w:rsidRPr="00C95A64">
              <w:t xml:space="preserve">Provide analgesia if required and not contraindicated.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6"/>
              </w:numPr>
            </w:pPr>
            <w:r w:rsidRPr="00C95A64">
              <w:t xml:space="preserve">Arrange further tests as indicated, such as blood sugar levels, </w:t>
            </w:r>
            <w:proofErr w:type="gramStart"/>
            <w:r w:rsidR="00BB219F">
              <w:t>x</w:t>
            </w:r>
            <w:proofErr w:type="gramEnd"/>
            <w:r w:rsidR="00BB219F">
              <w:t xml:space="preserve"> </w:t>
            </w:r>
            <w:r w:rsidRPr="00C95A64">
              <w:t>rays, E</w:t>
            </w:r>
            <w:r w:rsidR="00BB219F">
              <w:t>C</w:t>
            </w:r>
            <w:r w:rsidRPr="00C95A64">
              <w:t xml:space="preserve">G, and CT scan. </w:t>
            </w:r>
          </w:p>
          <w:p w:rsidR="00C95A64" w:rsidRDefault="00142607" w:rsidP="00586872">
            <w:pPr>
              <w:pStyle w:val="ListParagraph"/>
              <w:numPr>
                <w:ilvl w:val="0"/>
                <w:numId w:val="26"/>
              </w:numPr>
            </w:pPr>
            <w:r w:rsidRPr="00C95A64">
              <w:t xml:space="preserve">Review current care plan </w:t>
            </w:r>
            <w:r w:rsidR="00BB219F">
              <w:t>and</w:t>
            </w:r>
            <w:r w:rsidRPr="00C95A64">
              <w:t xml:space="preserve"> implement additional fall prevention strategies. </w:t>
            </w:r>
          </w:p>
          <w:p w:rsidR="00142607" w:rsidRPr="00C95A64" w:rsidRDefault="00142607" w:rsidP="00586872">
            <w:pPr>
              <w:pStyle w:val="ListParagraph"/>
              <w:numPr>
                <w:ilvl w:val="0"/>
                <w:numId w:val="26"/>
              </w:numPr>
              <w:spacing w:after="120"/>
            </w:pPr>
            <w:r w:rsidRPr="00C95A64">
              <w:t xml:space="preserve">Provide fall prevention information (Tool 3J). </w:t>
            </w:r>
          </w:p>
          <w:p w:rsidR="00142607" w:rsidRPr="00767BCD" w:rsidRDefault="00142607" w:rsidP="00F504E9">
            <w:pPr>
              <w:spacing w:after="60"/>
              <w:jc w:val="center"/>
              <w:rPr>
                <w:b/>
              </w:rPr>
            </w:pPr>
            <w:r w:rsidRPr="00767BCD">
              <w:rPr>
                <w:b/>
              </w:rPr>
              <w:t>Observations:</w:t>
            </w:r>
          </w:p>
          <w:p w:rsidR="00142607" w:rsidRDefault="00142607" w:rsidP="00586872">
            <w:pPr>
              <w:pStyle w:val="ListParagraph"/>
              <w:numPr>
                <w:ilvl w:val="0"/>
                <w:numId w:val="27"/>
              </w:numPr>
            </w:pPr>
            <w:r>
              <w:t xml:space="preserve">Record vital signs and neurologic observations at least hourly for 4 hours </w:t>
            </w:r>
            <w:r w:rsidR="00BB219F">
              <w:t xml:space="preserve">and </w:t>
            </w:r>
            <w:r>
              <w:t xml:space="preserve">then review. </w:t>
            </w:r>
          </w:p>
          <w:p w:rsidR="00142607" w:rsidRDefault="00142607" w:rsidP="00586872">
            <w:pPr>
              <w:pStyle w:val="ListParagraph"/>
              <w:numPr>
                <w:ilvl w:val="0"/>
                <w:numId w:val="27"/>
              </w:numPr>
            </w:pPr>
            <w:r>
              <w:t xml:space="preserve">Continue observations at least every </w:t>
            </w:r>
            <w:r w:rsidR="00BB219F">
              <w:t>4</w:t>
            </w:r>
            <w:r>
              <w:t xml:space="preserve"> hours for 24 hours, then as required. </w:t>
            </w:r>
          </w:p>
          <w:p w:rsidR="00142607" w:rsidRDefault="00142607" w:rsidP="00586872">
            <w:pPr>
              <w:pStyle w:val="ListParagraph"/>
              <w:numPr>
                <w:ilvl w:val="0"/>
                <w:numId w:val="27"/>
              </w:numPr>
              <w:spacing w:after="0"/>
            </w:pPr>
            <w:r>
              <w:t>Notify treating medical provider immediately if any change in observations.</w:t>
            </w:r>
          </w:p>
        </w:tc>
      </w:tr>
    </w:tbl>
    <w:p w:rsidR="00142607" w:rsidRPr="009C28D4" w:rsidRDefault="00142607" w:rsidP="00F504E9">
      <w:pPr>
        <w:pStyle w:val="Heading5"/>
        <w:jc w:val="center"/>
      </w:pPr>
      <w:r w:rsidRPr="009C28D4">
        <w:lastRenderedPageBreak/>
        <w:t>Important Communications</w:t>
      </w:r>
    </w:p>
    <w:p w:rsidR="00142607" w:rsidRPr="009C28D4" w:rsidRDefault="00142607" w:rsidP="00FC230D">
      <w:pPr>
        <w:pStyle w:val="ListBullet"/>
      </w:pPr>
      <w:r w:rsidRPr="009C28D4">
        <w:t xml:space="preserve">In the medical record, document the incident, outcome, </w:t>
      </w:r>
      <w:r w:rsidR="00BB219F">
        <w:t xml:space="preserve">and </w:t>
      </w:r>
      <w:r w:rsidRPr="009C28D4">
        <w:t>initial and ongoing observations, and update fall risk assessment and care plan.</w:t>
      </w:r>
    </w:p>
    <w:p w:rsidR="00142607" w:rsidRPr="009C28D4" w:rsidRDefault="00142607" w:rsidP="00FC230D">
      <w:pPr>
        <w:pStyle w:val="ListBullet"/>
      </w:pPr>
      <w:r w:rsidRPr="009C28D4">
        <w:t>Notify the treating medical provider at the time of the incident, and schedule an interdisciplinary review of the patient’s care.</w:t>
      </w:r>
      <w:r w:rsidR="00056473" w:rsidRPr="009C28D4">
        <w:t xml:space="preserve"> </w:t>
      </w:r>
    </w:p>
    <w:p w:rsidR="00142607" w:rsidRPr="009C28D4" w:rsidRDefault="00142607" w:rsidP="00FC230D">
      <w:pPr>
        <w:pStyle w:val="ListBullet"/>
      </w:pPr>
      <w:r w:rsidRPr="009C28D4">
        <w:t xml:space="preserve">At handover, inform all clinical team </w:t>
      </w:r>
      <w:r w:rsidR="00BB219F">
        <w:t xml:space="preserve">members </w:t>
      </w:r>
      <w:r w:rsidRPr="009C28D4">
        <w:t xml:space="preserve">about the incident, any changes to the care plan, and possible investigation process. </w:t>
      </w:r>
    </w:p>
    <w:p w:rsidR="00142607" w:rsidRPr="009C28D4" w:rsidRDefault="00142607" w:rsidP="00FC230D">
      <w:pPr>
        <w:pStyle w:val="ListBullet"/>
      </w:pPr>
      <w:r w:rsidRPr="009C28D4">
        <w:t>Notify family in accordance with your hospital’s policy.</w:t>
      </w:r>
    </w:p>
    <w:p w:rsidR="00142607" w:rsidRPr="009C28D4" w:rsidRDefault="00142607" w:rsidP="00F504E9">
      <w:pPr>
        <w:pStyle w:val="Heading5"/>
        <w:jc w:val="center"/>
      </w:pPr>
      <w:r w:rsidRPr="009C28D4">
        <w:t>Glasgow Coma Scale</w:t>
      </w:r>
    </w:p>
    <w:p w:rsidR="00142607" w:rsidRPr="009C28D4" w:rsidRDefault="00142607" w:rsidP="00FC230D">
      <w:r w:rsidRPr="009C28D4">
        <w:t>The Glasgow Coma Scale provides a score in the range 3-15; patients with scores of 3-8 are usually said to be in a coma. The total score is the sum of the scores in three categories. For adults</w:t>
      </w:r>
      <w:r w:rsidR="00BB219F">
        <w:t>,</w:t>
      </w:r>
      <w:r w:rsidRPr="009C28D4">
        <w:t xml:space="preserve"> the scores follow: </w:t>
      </w:r>
    </w:p>
    <w:p w:rsidR="00142607" w:rsidRPr="00F504E9" w:rsidRDefault="00142607" w:rsidP="00FC230D">
      <w:pPr>
        <w:rPr>
          <w:b/>
        </w:rPr>
      </w:pPr>
      <w:r w:rsidRPr="00F504E9">
        <w:rPr>
          <w:b/>
        </w:rPr>
        <w:t xml:space="preserve">Activity Score 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3150"/>
        <w:gridCol w:w="6930"/>
      </w:tblGrid>
      <w:tr w:rsidR="009C28D4" w:rsidRPr="009C28D4" w:rsidTr="0040436B">
        <w:trPr>
          <w:trHeight w:val="20"/>
        </w:trPr>
        <w:tc>
          <w:tcPr>
            <w:tcW w:w="10080" w:type="dxa"/>
            <w:gridSpan w:val="2"/>
          </w:tcPr>
          <w:p w:rsidR="009C28D4" w:rsidRPr="00F504E9" w:rsidRDefault="009C28D4" w:rsidP="00F504E9">
            <w:pPr>
              <w:spacing w:after="0"/>
              <w:rPr>
                <w:b/>
              </w:rPr>
            </w:pPr>
            <w:r w:rsidRPr="00F504E9">
              <w:rPr>
                <w:b/>
              </w:rPr>
              <w:t>Eye opening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None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1 = Even to </w:t>
            </w:r>
            <w:proofErr w:type="spellStart"/>
            <w:r w:rsidRPr="009C28D4">
              <w:t>supraorbital</w:t>
            </w:r>
            <w:proofErr w:type="spellEnd"/>
            <w:r w:rsidRPr="009C28D4">
              <w:t xml:space="preserve"> pressure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To pain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>2 = Pain from sternum/limb/</w:t>
            </w:r>
            <w:proofErr w:type="spellStart"/>
            <w:r w:rsidRPr="009C28D4">
              <w:t>supraorbital</w:t>
            </w:r>
            <w:proofErr w:type="spellEnd"/>
            <w:r w:rsidRPr="009C28D4">
              <w:t xml:space="preserve"> pressure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To speech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3 = Nonspecific response, not necessarily to command </w:t>
            </w:r>
          </w:p>
        </w:tc>
      </w:tr>
      <w:tr w:rsidR="009C28D4" w:rsidRPr="009C28D4" w:rsidTr="009C28D4">
        <w:trPr>
          <w:trHeight w:val="432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Spontaneous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4 = Eyes open, not necessarily aware </w:t>
            </w:r>
          </w:p>
        </w:tc>
      </w:tr>
      <w:tr w:rsidR="009C28D4" w:rsidRPr="009C28D4" w:rsidTr="0040436B">
        <w:trPr>
          <w:trHeight w:val="20"/>
        </w:trPr>
        <w:tc>
          <w:tcPr>
            <w:tcW w:w="10080" w:type="dxa"/>
            <w:gridSpan w:val="2"/>
          </w:tcPr>
          <w:p w:rsidR="009C28D4" w:rsidRPr="00F504E9" w:rsidRDefault="009C28D4" w:rsidP="00F504E9">
            <w:pPr>
              <w:spacing w:after="0"/>
              <w:rPr>
                <w:b/>
              </w:rPr>
            </w:pPr>
            <w:r w:rsidRPr="00F504E9">
              <w:rPr>
                <w:b/>
              </w:rPr>
              <w:t>Motor response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None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1 = To any pain; limbs remain flaccid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Extension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2 = Shoulder adducted and shoulder and forearm rotated internally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Flexor response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>3 = Withdrawal response or assumption of hemiplegic posture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Withdrawal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4 = Arm withdraws to pain, shoulder abducts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Localizes pain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5 = Arm attempts to remove </w:t>
            </w:r>
            <w:proofErr w:type="spellStart"/>
            <w:r w:rsidRPr="009C28D4">
              <w:t>supraorbital</w:t>
            </w:r>
            <w:proofErr w:type="spellEnd"/>
            <w:r w:rsidRPr="009C28D4">
              <w:t xml:space="preserve">/chest pressure </w:t>
            </w:r>
          </w:p>
        </w:tc>
      </w:tr>
      <w:tr w:rsidR="009C28D4" w:rsidRPr="009C28D4" w:rsidTr="009C28D4">
        <w:trPr>
          <w:trHeight w:val="432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Obeys commands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6 = Follows simple commands </w:t>
            </w:r>
          </w:p>
        </w:tc>
      </w:tr>
      <w:tr w:rsidR="009C28D4" w:rsidRPr="009C28D4" w:rsidTr="0040436B">
        <w:trPr>
          <w:trHeight w:val="20"/>
        </w:trPr>
        <w:tc>
          <w:tcPr>
            <w:tcW w:w="10080" w:type="dxa"/>
            <w:gridSpan w:val="2"/>
          </w:tcPr>
          <w:p w:rsidR="009C28D4" w:rsidRPr="00F504E9" w:rsidRDefault="009C28D4" w:rsidP="00F504E9">
            <w:pPr>
              <w:spacing w:after="0"/>
              <w:rPr>
                <w:b/>
              </w:rPr>
            </w:pPr>
            <w:r w:rsidRPr="00F504E9">
              <w:rPr>
                <w:b/>
              </w:rPr>
              <w:t xml:space="preserve">Verbal response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None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1 = No verbalization of any type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Incomprehensible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2 = Moans/groans, no speech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Inappropriate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3 = Intelligible, no sustained sentences </w:t>
            </w:r>
          </w:p>
        </w:tc>
      </w:tr>
      <w:tr w:rsidR="009C28D4" w:rsidRPr="009C28D4" w:rsidTr="009C28D4">
        <w:trPr>
          <w:trHeight w:val="20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Confused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4 = Converses but confused, disoriented </w:t>
            </w:r>
          </w:p>
        </w:tc>
      </w:tr>
      <w:tr w:rsidR="009C28D4" w:rsidRPr="009C28D4" w:rsidTr="009C28D4">
        <w:trPr>
          <w:trHeight w:val="432"/>
        </w:trPr>
        <w:tc>
          <w:tcPr>
            <w:tcW w:w="3150" w:type="dxa"/>
          </w:tcPr>
          <w:p w:rsidR="009C28D4" w:rsidRPr="009C28D4" w:rsidRDefault="009C28D4" w:rsidP="00F504E9">
            <w:pPr>
              <w:spacing w:after="0"/>
            </w:pPr>
            <w:r w:rsidRPr="009C28D4">
              <w:t>Oriented</w:t>
            </w:r>
          </w:p>
        </w:tc>
        <w:tc>
          <w:tcPr>
            <w:tcW w:w="6930" w:type="dxa"/>
          </w:tcPr>
          <w:p w:rsidR="009C28D4" w:rsidRPr="009C28D4" w:rsidRDefault="009C28D4" w:rsidP="00F504E9">
            <w:pPr>
              <w:spacing w:after="0"/>
            </w:pPr>
            <w:r w:rsidRPr="009C28D4">
              <w:t xml:space="preserve">5 = Converses and oriented </w:t>
            </w:r>
          </w:p>
        </w:tc>
      </w:tr>
    </w:tbl>
    <w:p w:rsidR="00142607" w:rsidRPr="00F504E9" w:rsidRDefault="00142607" w:rsidP="00FC230D">
      <w:pPr>
        <w:rPr>
          <w:b/>
        </w:rPr>
      </w:pPr>
      <w:r w:rsidRPr="00F504E9">
        <w:rPr>
          <w:b/>
        </w:rPr>
        <w:t>TOTAL (3–15): _______</w:t>
      </w:r>
    </w:p>
    <w:p w:rsidR="00142607" w:rsidRPr="00F504E9" w:rsidRDefault="00142607" w:rsidP="00F504E9">
      <w:pPr>
        <w:spacing w:after="0"/>
        <w:rPr>
          <w:b/>
        </w:rPr>
      </w:pPr>
      <w:r w:rsidRPr="00F504E9">
        <w:rPr>
          <w:b/>
        </w:rPr>
        <w:t>Reference</w:t>
      </w:r>
    </w:p>
    <w:p w:rsidR="00142607" w:rsidRDefault="00142607" w:rsidP="00FC230D">
      <w:pPr>
        <w:pStyle w:val="FootnoteText"/>
      </w:pPr>
      <w:proofErr w:type="gramStart"/>
      <w:r>
        <w:t xml:space="preserve">Teasdale G, </w:t>
      </w:r>
      <w:proofErr w:type="spellStart"/>
      <w:r>
        <w:t>Jennett</w:t>
      </w:r>
      <w:proofErr w:type="spellEnd"/>
      <w:r>
        <w:t xml:space="preserve"> B</w:t>
      </w:r>
      <w:r w:rsidR="0059261E">
        <w:t xml:space="preserve">. </w:t>
      </w:r>
      <w:r>
        <w:t>Assessment of coma and impaired co</w:t>
      </w:r>
      <w:r w:rsidR="0059261E">
        <w:t>nsciousness.</w:t>
      </w:r>
      <w:proofErr w:type="gramEnd"/>
      <w:r w:rsidR="0059261E">
        <w:t xml:space="preserve"> </w:t>
      </w:r>
      <w:proofErr w:type="gramStart"/>
      <w:r w:rsidR="0059261E">
        <w:t>A practical scale.</w:t>
      </w:r>
      <w:proofErr w:type="gramEnd"/>
      <w:r>
        <w:t xml:space="preserve"> </w:t>
      </w:r>
      <w:r w:rsidRPr="009C28D4">
        <w:t>Lancet</w:t>
      </w:r>
      <w:r>
        <w:t xml:space="preserve"> </w:t>
      </w:r>
      <w:r w:rsidR="00843BD2">
        <w:t>1974</w:t>
      </w:r>
      <w:proofErr w:type="gramStart"/>
      <w:r w:rsidR="00843BD2">
        <w:t>;2</w:t>
      </w:r>
      <w:proofErr w:type="gramEnd"/>
      <w:r w:rsidR="00843BD2">
        <w:t>(7872):81-4.</w:t>
      </w:r>
    </w:p>
    <w:sectPr w:rsidR="00142607" w:rsidSect="00C16F48">
      <w:footerReference w:type="default" r:id="rId9"/>
      <w:footnotePr>
        <w:numFmt w:val="chicago"/>
      </w:footnotePr>
      <w:pgSz w:w="12240" w:h="15840"/>
      <w:pgMar w:top="144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C16F48" w:rsidRDefault="003128F0" w:rsidP="00C16F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56D9F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191B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3596E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2E43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26389"/>
    <w:rsid w:val="0053009A"/>
    <w:rsid w:val="00530F66"/>
    <w:rsid w:val="005317CF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000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17BC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0FFB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06E0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13691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16F48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57A3"/>
    <w:rsid w:val="00C4655D"/>
    <w:rsid w:val="00C50EA9"/>
    <w:rsid w:val="00C5161A"/>
    <w:rsid w:val="00C51801"/>
    <w:rsid w:val="00C519E8"/>
    <w:rsid w:val="00C532E6"/>
    <w:rsid w:val="00C538CA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BF3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5B0B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B7FDA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EF7EC3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47D83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26E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singtimes.net/Binaries/0-4-1/4-173537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health.sa.gov.au/wps/wcm/connect/5a7adb80464f6640a604fe2e504170d4/Post+fall+management+protocol-SaQ-20110330.pdf?MOD=AJPERES&amp;CACHEID=5a7adb80464f6640a604fe2e504170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2013-01-29T14:45:00Z</dcterms:created>
  <dcterms:modified xsi:type="dcterms:W3CDTF">2013-01-29T14:50:00Z</dcterms:modified>
</cp:coreProperties>
</file>