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88" w:rsidRPr="00967F2C" w:rsidRDefault="00334094" w:rsidP="00967F2C">
      <w:pPr>
        <w:pStyle w:val="Heading1"/>
      </w:pPr>
      <w:r>
        <w:rPr>
          <w:noProof/>
          <w:color w:val="auto"/>
        </w:rPr>
        <w:drawing>
          <wp:inline distT="0" distB="0" distL="0" distR="0" wp14:anchorId="6703C14F" wp14:editId="161BE093">
            <wp:extent cx="733425" cy="733425"/>
            <wp:effectExtent l="0" t="0" r="9525" b="9525"/>
            <wp:docPr id="1" name="Picture 4" descr="Hammer and wrench tool logo" titl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CC3093" w:rsidRPr="00CC3093">
        <w:t xml:space="preserve"> </w:t>
      </w:r>
      <w:r w:rsidR="00967F2C">
        <w:t>Tool 10</w:t>
      </w:r>
      <w:r w:rsidR="000E5D6D" w:rsidRPr="00655D0C">
        <w:t xml:space="preserve">: </w:t>
      </w:r>
      <w:r w:rsidR="00967F2C">
        <w:t xml:space="preserve">Discharge </w:t>
      </w:r>
      <w:r w:rsidR="00C370C4">
        <w:t xml:space="preserve">PROCESS </w:t>
      </w:r>
      <w:r w:rsidR="00967F2C">
        <w:t>Checklist</w:t>
      </w:r>
    </w:p>
    <w:p w:rsidR="00967F2C" w:rsidRPr="00967F2C" w:rsidRDefault="00967F2C" w:rsidP="00967F2C"/>
    <w:p w:rsidR="007A2AFA" w:rsidRDefault="007A2AFA" w:rsidP="00FC45E5">
      <w:pPr>
        <w:pStyle w:val="Heading3"/>
        <w:ind w:left="180"/>
      </w:pPr>
    </w:p>
    <w:p w:rsidR="00FC45E5" w:rsidRDefault="00FC45E5" w:rsidP="00FC45E5">
      <w:pPr>
        <w:pStyle w:val="Heading3"/>
        <w:ind w:left="180"/>
      </w:pPr>
      <w:r>
        <w:t>Purpose</w:t>
      </w:r>
    </w:p>
    <w:p w:rsidR="00FC45E5" w:rsidRDefault="00FC45E5" w:rsidP="00FC45E5">
      <w:pPr>
        <w:pStyle w:val="Summarytext"/>
        <w:ind w:left="180"/>
        <w:rPr>
          <w:rFonts w:asciiTheme="minorHAnsi" w:hAnsiTheme="minorHAnsi"/>
        </w:rPr>
      </w:pPr>
      <w:r w:rsidRPr="00C36B77">
        <w:rPr>
          <w:rFonts w:asciiTheme="minorHAnsi" w:hAnsiTheme="minorHAnsi"/>
        </w:rPr>
        <w:t>Provide updated guidance to readmission reduction teams for updating discharge processes, based on Centers for Medicare &amp; Medicaid Services (CMS) documents.</w:t>
      </w:r>
    </w:p>
    <w:p w:rsidR="007A2AFA" w:rsidRPr="00C36B77" w:rsidRDefault="007A2AFA" w:rsidP="00FC45E5">
      <w:pPr>
        <w:pStyle w:val="Summarytext"/>
        <w:ind w:left="180"/>
        <w:rPr>
          <w:rFonts w:asciiTheme="minorHAnsi" w:eastAsia="Century Gothic" w:hAnsiTheme="minorHAnsi" w:cs="Century Gothic"/>
          <w:color w:val="683C9A"/>
          <w:spacing w:val="-1"/>
        </w:rPr>
      </w:pPr>
    </w:p>
    <w:p w:rsidR="00FC45E5" w:rsidRDefault="00FC45E5" w:rsidP="00FC45E5">
      <w:pPr>
        <w:pStyle w:val="Heading3"/>
        <w:ind w:left="180"/>
      </w:pPr>
      <w:r>
        <w:t>Description</w:t>
      </w:r>
    </w:p>
    <w:p w:rsidR="00FC45E5" w:rsidRDefault="00FC45E5" w:rsidP="00FC45E5">
      <w:pPr>
        <w:pStyle w:val="Summarytext"/>
        <w:ind w:left="180"/>
        <w:rPr>
          <w:rFonts w:asciiTheme="minorHAnsi" w:hAnsiTheme="minorHAnsi"/>
        </w:rPr>
      </w:pPr>
      <w:r w:rsidRPr="00C36B77">
        <w:rPr>
          <w:rFonts w:asciiTheme="minorHAnsi" w:hAnsiTheme="minorHAnsi"/>
        </w:rPr>
        <w:t xml:space="preserve">This tool, adapted from the CMS Conditions of Participation (COPs), provides a checklist of discharge elements that CMS states should be provided to all Medicare and Medicaid patients. This tool can be used to update existing processes and identify whether new processes and practices need to be implemented. </w:t>
      </w:r>
    </w:p>
    <w:p w:rsidR="007A2AFA" w:rsidRPr="00C36B77" w:rsidRDefault="007A2AFA" w:rsidP="00FC45E5">
      <w:pPr>
        <w:pStyle w:val="Summarytext"/>
        <w:ind w:left="180"/>
        <w:rPr>
          <w:rFonts w:asciiTheme="minorHAnsi" w:hAnsiTheme="minorHAnsi"/>
        </w:rPr>
      </w:pPr>
    </w:p>
    <w:p w:rsidR="00FC45E5" w:rsidRDefault="00FC45E5" w:rsidP="00FC45E5">
      <w:pPr>
        <w:pStyle w:val="Heading3"/>
        <w:ind w:left="180"/>
      </w:pPr>
      <w:r w:rsidRPr="00D723BF">
        <w:t>Staff</w:t>
      </w:r>
    </w:p>
    <w:p w:rsidR="00FC45E5" w:rsidRDefault="00FC45E5" w:rsidP="00FC45E5">
      <w:pPr>
        <w:pStyle w:val="Summarytext"/>
        <w:ind w:left="180"/>
        <w:rPr>
          <w:rFonts w:asciiTheme="minorHAnsi" w:hAnsiTheme="minorHAnsi"/>
        </w:rPr>
      </w:pPr>
      <w:proofErr w:type="gramStart"/>
      <w:r w:rsidRPr="00C36B77">
        <w:rPr>
          <w:rFonts w:asciiTheme="minorHAnsi" w:hAnsiTheme="minorHAnsi"/>
        </w:rPr>
        <w:t>Readmission champion and day-to-day leader.</w:t>
      </w:r>
      <w:proofErr w:type="gramEnd"/>
    </w:p>
    <w:p w:rsidR="007A2AFA" w:rsidRPr="00C36B77" w:rsidRDefault="007A2AFA" w:rsidP="00FC45E5">
      <w:pPr>
        <w:pStyle w:val="Summarytext"/>
        <w:ind w:left="180"/>
        <w:rPr>
          <w:rFonts w:asciiTheme="minorHAnsi" w:hAnsiTheme="minorHAnsi"/>
          <w:i/>
        </w:rPr>
      </w:pPr>
    </w:p>
    <w:p w:rsidR="00FC45E5" w:rsidRDefault="00FC45E5" w:rsidP="00FC45E5">
      <w:pPr>
        <w:pStyle w:val="Heading3"/>
        <w:ind w:left="180"/>
      </w:pPr>
      <w:r>
        <w:t>Time Required</w:t>
      </w:r>
    </w:p>
    <w:p w:rsidR="00FC45E5" w:rsidRDefault="00FC45E5" w:rsidP="00FC45E5">
      <w:pPr>
        <w:pStyle w:val="Summarytext"/>
        <w:ind w:left="180"/>
        <w:rPr>
          <w:rFonts w:asciiTheme="minorHAnsi" w:hAnsiTheme="minorHAnsi"/>
        </w:rPr>
      </w:pPr>
      <w:r w:rsidRPr="00C36B77">
        <w:rPr>
          <w:rFonts w:asciiTheme="minorHAnsi" w:hAnsiTheme="minorHAnsi"/>
        </w:rPr>
        <w:t xml:space="preserve">1 hour to review and 1-3 hours to discuss with hospital colleagues the extent to which various elements are reliably delivered. </w:t>
      </w:r>
    </w:p>
    <w:p w:rsidR="007A2AFA" w:rsidRPr="00C36B77" w:rsidRDefault="007A2AFA" w:rsidP="00FC45E5">
      <w:pPr>
        <w:pStyle w:val="Summarytext"/>
        <w:ind w:left="180"/>
        <w:rPr>
          <w:rFonts w:asciiTheme="minorHAnsi" w:hAnsiTheme="minorHAnsi"/>
        </w:rPr>
      </w:pPr>
    </w:p>
    <w:p w:rsidR="00FC45E5" w:rsidRDefault="00FC45E5" w:rsidP="00FC45E5">
      <w:pPr>
        <w:pStyle w:val="Heading3"/>
        <w:ind w:left="180"/>
      </w:pPr>
      <w:r>
        <w:t>Additional Resources</w:t>
      </w:r>
    </w:p>
    <w:p w:rsidR="00FC45E5" w:rsidRPr="00C36B77" w:rsidRDefault="00FC45E5" w:rsidP="00FC45E5">
      <w:pPr>
        <w:pStyle w:val="Summarytext"/>
        <w:ind w:left="180"/>
        <w:rPr>
          <w:rFonts w:asciiTheme="minorHAnsi" w:hAnsiTheme="minorHAnsi"/>
        </w:rPr>
      </w:pPr>
      <w:r w:rsidRPr="00C36B77">
        <w:rPr>
          <w:rFonts w:asciiTheme="minorHAnsi" w:hAnsiTheme="minorHAnsi"/>
        </w:rPr>
        <w:t xml:space="preserve">See </w:t>
      </w:r>
      <w:r w:rsidRPr="00C36B77">
        <w:rPr>
          <w:rFonts w:asciiTheme="minorHAnsi" w:hAnsiTheme="minorHAnsi"/>
          <w:b/>
        </w:rPr>
        <w:t xml:space="preserve">Tool 8: Conditions of Participation Handout </w:t>
      </w:r>
      <w:r w:rsidRPr="00C36B77">
        <w:rPr>
          <w:rFonts w:asciiTheme="minorHAnsi" w:hAnsiTheme="minorHAnsi"/>
        </w:rPr>
        <w:t xml:space="preserve">for an overview of CMS COP content and Section 4 of the </w:t>
      </w:r>
      <w:r w:rsidRPr="00C36B77">
        <w:rPr>
          <w:rFonts w:asciiTheme="minorHAnsi" w:hAnsiTheme="minorHAnsi"/>
          <w:i/>
        </w:rPr>
        <w:t>Hospital Guide to Reducing Medicaid Readmissions</w:t>
      </w:r>
      <w:r w:rsidRPr="00C36B77">
        <w:rPr>
          <w:rFonts w:asciiTheme="minorHAnsi" w:hAnsiTheme="minorHAnsi"/>
        </w:rPr>
        <w:t xml:space="preserve"> for additional information.</w:t>
      </w:r>
    </w:p>
    <w:p w:rsidR="00967F2C" w:rsidRDefault="00967F2C" w:rsidP="00C64E10">
      <w:pPr>
        <w:pStyle w:val="Heading1"/>
      </w:pPr>
      <w:r>
        <w:br w:type="page"/>
      </w:r>
      <w:r>
        <w:lastRenderedPageBreak/>
        <w:t xml:space="preserve">Tool 10: </w:t>
      </w:r>
      <w:r w:rsidRPr="00F620B5">
        <w:t>Discharge</w:t>
      </w:r>
      <w:r>
        <w:t xml:space="preserve"> </w:t>
      </w:r>
      <w:r w:rsidR="00C370C4">
        <w:t xml:space="preserve">PROCESS </w:t>
      </w:r>
      <w:r>
        <w:t>Checklist</w:t>
      </w:r>
    </w:p>
    <w:p w:rsidR="00967F2C" w:rsidRPr="00C36B77" w:rsidRDefault="00967F2C" w:rsidP="00C64E10">
      <w:pPr>
        <w:rPr>
          <w:rFonts w:asciiTheme="minorHAnsi" w:hAnsiTheme="minorHAnsi"/>
        </w:rPr>
      </w:pPr>
      <w:r w:rsidRPr="00C36B77">
        <w:rPr>
          <w:rFonts w:asciiTheme="minorHAnsi" w:hAnsiTheme="minorHAnsi"/>
        </w:rPr>
        <w:t>This checklist is a tool to promote optimal adherence to the processes and practices outlined as guidance and proposed updates to the CMS Discharge Planning Conditions of Participation.</w:t>
      </w:r>
      <w:r w:rsidRPr="00C36B77">
        <w:rPr>
          <w:rStyle w:val="FootnoteReference"/>
          <w:rFonts w:asciiTheme="minorHAnsi" w:hAnsiTheme="minorHAnsi"/>
        </w:rPr>
        <w:footnoteReference w:id="1"/>
      </w:r>
      <w:r w:rsidRPr="00C36B77">
        <w:rPr>
          <w:rFonts w:asciiTheme="minorHAnsi" w:hAnsiTheme="minorHAnsi"/>
        </w:rPr>
        <w:t xml:space="preserve"> Review your current processes</w:t>
      </w:r>
      <w:r w:rsidR="009E2D5E" w:rsidRPr="00C36B77">
        <w:rPr>
          <w:rFonts w:asciiTheme="minorHAnsi" w:hAnsiTheme="minorHAnsi"/>
        </w:rPr>
        <w:t>,</w:t>
      </w:r>
      <w:r w:rsidRPr="00C36B77">
        <w:rPr>
          <w:rFonts w:asciiTheme="minorHAnsi" w:hAnsiTheme="minorHAnsi"/>
        </w:rPr>
        <w:t xml:space="preserve"> </w:t>
      </w:r>
      <w:r w:rsidR="009E2D5E" w:rsidRPr="00C36B77">
        <w:rPr>
          <w:rFonts w:asciiTheme="minorHAnsi" w:hAnsiTheme="minorHAnsi"/>
        </w:rPr>
        <w:t xml:space="preserve">including written discharge information and documentation, </w:t>
      </w:r>
      <w:r w:rsidRPr="00C36B77">
        <w:rPr>
          <w:rFonts w:asciiTheme="minorHAnsi" w:hAnsiTheme="minorHAnsi"/>
        </w:rPr>
        <w:t xml:space="preserve">to identify the extent to which </w:t>
      </w:r>
      <w:r w:rsidR="009E2D5E" w:rsidRPr="00C36B77">
        <w:rPr>
          <w:rFonts w:asciiTheme="minorHAnsi" w:hAnsiTheme="minorHAnsi"/>
        </w:rPr>
        <w:t>they</w:t>
      </w:r>
      <w:r w:rsidRPr="00C36B77">
        <w:rPr>
          <w:rFonts w:asciiTheme="minorHAnsi" w:hAnsiTheme="minorHAnsi"/>
        </w:rPr>
        <w:t xml:space="preserve"> adhere to the intent of these discharge process elements. In addition, hospitals should have a written discharge process</w:t>
      </w:r>
      <w:r w:rsidR="009E2D5E" w:rsidRPr="00C36B77">
        <w:rPr>
          <w:rFonts w:asciiTheme="minorHAnsi" w:hAnsiTheme="minorHAnsi"/>
        </w:rPr>
        <w:t>.</w:t>
      </w:r>
      <w:r w:rsidRPr="00C36B77">
        <w:rPr>
          <w:rFonts w:asciiTheme="minorHAnsi" w:hAnsiTheme="minorHAnsi"/>
        </w:rPr>
        <w:t xml:space="preserve"> </w:t>
      </w:r>
      <w:r w:rsidR="009E2D5E" w:rsidRPr="00C36B77">
        <w:rPr>
          <w:rFonts w:asciiTheme="minorHAnsi" w:hAnsiTheme="minorHAnsi"/>
        </w:rPr>
        <w:t>R</w:t>
      </w:r>
      <w:r w:rsidRPr="00C36B77">
        <w:rPr>
          <w:rFonts w:asciiTheme="minorHAnsi" w:hAnsiTheme="minorHAnsi"/>
        </w:rPr>
        <w:t>egularly review readmissions to identify root causes of readmissions</w:t>
      </w:r>
      <w:r w:rsidR="009E2D5E" w:rsidRPr="00C36B77">
        <w:rPr>
          <w:rFonts w:asciiTheme="minorHAnsi" w:hAnsiTheme="minorHAnsi"/>
        </w:rPr>
        <w:t>,</w:t>
      </w:r>
      <w:r w:rsidRPr="00C36B77">
        <w:rPr>
          <w:rFonts w:asciiTheme="minorHAnsi" w:hAnsiTheme="minorHAnsi"/>
        </w:rPr>
        <w:t xml:space="preserve"> </w:t>
      </w:r>
      <w:r w:rsidR="009E2D5E" w:rsidRPr="00C36B77">
        <w:rPr>
          <w:rFonts w:asciiTheme="minorHAnsi" w:hAnsiTheme="minorHAnsi"/>
        </w:rPr>
        <w:t xml:space="preserve">and </w:t>
      </w:r>
      <w:r w:rsidRPr="00C36B77">
        <w:rPr>
          <w:rFonts w:asciiTheme="minorHAnsi" w:hAnsiTheme="minorHAnsi"/>
        </w:rPr>
        <w:t xml:space="preserve">use those insights to continually improve the discharge process.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3497"/>
        <w:gridCol w:w="5064"/>
        <w:gridCol w:w="811"/>
      </w:tblGrid>
      <w:tr w:rsidR="00F620B5" w:rsidRPr="008C77E6" w:rsidTr="007A2AFA">
        <w:trPr>
          <w:cantSplit/>
          <w:tblHeader/>
          <w:jc w:val="center"/>
        </w:trPr>
        <w:tc>
          <w:tcPr>
            <w:tcW w:w="3497" w:type="dxa"/>
            <w:shd w:val="clear" w:color="auto" w:fill="6B1D74"/>
            <w:vAlign w:val="bottom"/>
          </w:tcPr>
          <w:p w:rsidR="00F620B5" w:rsidRPr="007A2AFA" w:rsidRDefault="009E2D5E" w:rsidP="009E2D5E">
            <w:pPr>
              <w:pStyle w:val="Table-header"/>
              <w:rPr>
                <w:sz w:val="19"/>
                <w:szCs w:val="19"/>
              </w:rPr>
            </w:pPr>
            <w:r w:rsidRPr="007A2AFA">
              <w:rPr>
                <w:caps w:val="0"/>
                <w:sz w:val="19"/>
                <w:szCs w:val="19"/>
              </w:rPr>
              <w:t>Hospitals Must Provide the Following…</w:t>
            </w:r>
          </w:p>
        </w:tc>
        <w:tc>
          <w:tcPr>
            <w:tcW w:w="5064" w:type="dxa"/>
            <w:shd w:val="clear" w:color="auto" w:fill="6B1D74"/>
            <w:vAlign w:val="bottom"/>
          </w:tcPr>
          <w:p w:rsidR="00F620B5" w:rsidRPr="007A2AFA" w:rsidRDefault="009E2D5E" w:rsidP="004E08AC">
            <w:pPr>
              <w:pStyle w:val="Table-header"/>
              <w:rPr>
                <w:sz w:val="19"/>
                <w:szCs w:val="19"/>
              </w:rPr>
            </w:pPr>
            <w:r w:rsidRPr="007A2AFA">
              <w:rPr>
                <w:caps w:val="0"/>
                <w:sz w:val="19"/>
                <w:szCs w:val="19"/>
              </w:rPr>
              <w:t xml:space="preserve">Details </w:t>
            </w:r>
            <w:r w:rsidR="004E08AC" w:rsidRPr="007A2AFA">
              <w:rPr>
                <w:caps w:val="0"/>
                <w:sz w:val="19"/>
                <w:szCs w:val="19"/>
              </w:rPr>
              <w:t>p</w:t>
            </w:r>
            <w:r w:rsidRPr="007A2AFA">
              <w:rPr>
                <w:caps w:val="0"/>
                <w:sz w:val="19"/>
                <w:szCs w:val="19"/>
              </w:rPr>
              <w:t>er CMS 2013 Surveyor Guidance</w:t>
            </w:r>
            <w:r w:rsidR="007A2AFA" w:rsidRPr="007A2AFA">
              <w:rPr>
                <w:w w:val="99"/>
                <w:sz w:val="19"/>
                <w:szCs w:val="19"/>
              </w:rPr>
              <w:t>*</w:t>
            </w:r>
            <w:r w:rsidRPr="007A2AFA">
              <w:rPr>
                <w:caps w:val="0"/>
                <w:sz w:val="19"/>
                <w:szCs w:val="19"/>
              </w:rPr>
              <w:t xml:space="preserve"> </w:t>
            </w:r>
            <w:r w:rsidR="004E08AC" w:rsidRPr="007A2AFA">
              <w:rPr>
                <w:caps w:val="0"/>
                <w:sz w:val="19"/>
                <w:szCs w:val="19"/>
              </w:rPr>
              <w:t>a</w:t>
            </w:r>
            <w:r w:rsidRPr="007A2AFA">
              <w:rPr>
                <w:caps w:val="0"/>
                <w:sz w:val="19"/>
                <w:szCs w:val="19"/>
              </w:rPr>
              <w:t xml:space="preserve">nd </w:t>
            </w:r>
            <w:r w:rsidR="004E08AC" w:rsidRPr="007A2AFA">
              <w:rPr>
                <w:caps w:val="0"/>
                <w:sz w:val="19"/>
                <w:szCs w:val="19"/>
              </w:rPr>
              <w:t>2</w:t>
            </w:r>
            <w:r w:rsidRPr="007A2AFA">
              <w:rPr>
                <w:caps w:val="0"/>
                <w:sz w:val="19"/>
                <w:szCs w:val="19"/>
              </w:rPr>
              <w:t>015 Proposed Rule Documents</w:t>
            </w:r>
            <w:r w:rsidR="007A2AFA" w:rsidRPr="007A2AFA">
              <w:rPr>
                <w:sz w:val="19"/>
                <w:szCs w:val="19"/>
                <w:vertAlign w:val="superscript"/>
              </w:rPr>
              <w:t>†</w:t>
            </w:r>
          </w:p>
        </w:tc>
        <w:tc>
          <w:tcPr>
            <w:tcW w:w="811" w:type="dxa"/>
            <w:shd w:val="clear" w:color="auto" w:fill="6B1D74"/>
            <w:vAlign w:val="bottom"/>
          </w:tcPr>
          <w:p w:rsidR="00F620B5" w:rsidRPr="007A2AFA" w:rsidRDefault="009E2D5E" w:rsidP="00973B56">
            <w:pPr>
              <w:pStyle w:val="Table-header"/>
              <w:rPr>
                <w:sz w:val="19"/>
                <w:szCs w:val="19"/>
              </w:rPr>
            </w:pPr>
            <w:r w:rsidRPr="007A2AFA">
              <w:rPr>
                <w:caps w:val="0"/>
                <w:sz w:val="19"/>
                <w:szCs w:val="19"/>
              </w:rPr>
              <w:t>Status</w:t>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 xml:space="preserve">A discharge plan for all inpatients and observation patients </w:t>
            </w:r>
          </w:p>
        </w:tc>
        <w:tc>
          <w:tcPr>
            <w:tcW w:w="5064" w:type="dxa"/>
            <w:shd w:val="clear" w:color="auto" w:fill="auto"/>
          </w:tcPr>
          <w:p w:rsidR="00F620B5" w:rsidRPr="007A2AFA" w:rsidRDefault="00F620B5" w:rsidP="00D20347">
            <w:pPr>
              <w:pStyle w:val="Table-main"/>
              <w:rPr>
                <w:sz w:val="19"/>
                <w:szCs w:val="19"/>
              </w:rPr>
            </w:pPr>
            <w:r w:rsidRPr="007A2AFA">
              <w:rPr>
                <w:sz w:val="19"/>
                <w:szCs w:val="19"/>
              </w:rPr>
              <w:t>As specified in the November 2015 proposed Discharge Planning COPs</w:t>
            </w:r>
            <w:proofErr w:type="gramStart"/>
            <w:r w:rsidR="00D20347" w:rsidRPr="007A2AFA">
              <w:rPr>
                <w:sz w:val="19"/>
                <w:szCs w:val="19"/>
              </w:rPr>
              <w:t>.</w:t>
            </w:r>
            <w:r w:rsidR="007A2AFA" w:rsidRPr="007A2AFA">
              <w:rPr>
                <w:sz w:val="19"/>
                <w:szCs w:val="19"/>
                <w:vertAlign w:val="superscript"/>
              </w:rPr>
              <w:t>†</w:t>
            </w:r>
            <w:proofErr w:type="gramEnd"/>
            <w:r w:rsidRPr="007A2AFA">
              <w:rPr>
                <w:sz w:val="19"/>
                <w:szCs w:val="19"/>
              </w:rPr>
              <w:t xml:space="preserve"> </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 xml:space="preserve">A </w:t>
            </w:r>
            <w:r w:rsidRPr="007A2AFA">
              <w:rPr>
                <w:spacing w:val="-1"/>
                <w:sz w:val="19"/>
                <w:szCs w:val="19"/>
              </w:rPr>
              <w:t>bri</w:t>
            </w:r>
            <w:r w:rsidRPr="007A2AFA">
              <w:rPr>
                <w:spacing w:val="1"/>
                <w:sz w:val="19"/>
                <w:szCs w:val="19"/>
              </w:rPr>
              <w:t>e</w:t>
            </w:r>
            <w:r w:rsidRPr="007A2AFA">
              <w:rPr>
                <w:sz w:val="19"/>
                <w:szCs w:val="19"/>
              </w:rPr>
              <w:t>f</w:t>
            </w:r>
            <w:r w:rsidRPr="007A2AFA">
              <w:rPr>
                <w:spacing w:val="-4"/>
                <w:sz w:val="19"/>
                <w:szCs w:val="19"/>
              </w:rPr>
              <w:t xml:space="preserve"> </w:t>
            </w:r>
            <w:r w:rsidRPr="007A2AFA">
              <w:rPr>
                <w:sz w:val="19"/>
                <w:szCs w:val="19"/>
              </w:rPr>
              <w:t>reason</w:t>
            </w:r>
            <w:r w:rsidRPr="007A2AFA">
              <w:rPr>
                <w:spacing w:val="-4"/>
                <w:sz w:val="19"/>
                <w:szCs w:val="19"/>
              </w:rPr>
              <w:t xml:space="preserve"> </w:t>
            </w:r>
            <w:r w:rsidRPr="007A2AFA">
              <w:rPr>
                <w:sz w:val="19"/>
                <w:szCs w:val="19"/>
              </w:rPr>
              <w:t>for hospita</w:t>
            </w:r>
            <w:r w:rsidRPr="007A2AFA">
              <w:rPr>
                <w:spacing w:val="1"/>
                <w:sz w:val="19"/>
                <w:szCs w:val="19"/>
              </w:rPr>
              <w:t>l</w:t>
            </w:r>
            <w:r w:rsidRPr="007A2AFA">
              <w:rPr>
                <w:sz w:val="19"/>
                <w:szCs w:val="19"/>
              </w:rPr>
              <w:t>ization</w:t>
            </w:r>
            <w:r w:rsidRPr="007A2AFA">
              <w:rPr>
                <w:spacing w:val="1"/>
                <w:sz w:val="19"/>
                <w:szCs w:val="19"/>
              </w:rPr>
              <w:t xml:space="preserve"> and </w:t>
            </w:r>
            <w:r w:rsidRPr="007A2AFA">
              <w:rPr>
                <w:sz w:val="19"/>
                <w:szCs w:val="19"/>
              </w:rPr>
              <w:t>principal diagnosis</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Many</w:t>
            </w:r>
            <w:r w:rsidRPr="007A2AFA">
              <w:rPr>
                <w:spacing w:val="-5"/>
                <w:sz w:val="19"/>
                <w:szCs w:val="19"/>
              </w:rPr>
              <w:t xml:space="preserve"> </w:t>
            </w:r>
            <w:r w:rsidRPr="007A2AFA">
              <w:rPr>
                <w:sz w:val="19"/>
                <w:szCs w:val="19"/>
              </w:rPr>
              <w:t>patie</w:t>
            </w:r>
            <w:r w:rsidRPr="007A2AFA">
              <w:rPr>
                <w:spacing w:val="1"/>
                <w:sz w:val="19"/>
                <w:szCs w:val="19"/>
              </w:rPr>
              <w:t>n</w:t>
            </w:r>
            <w:r w:rsidRPr="007A2AFA">
              <w:rPr>
                <w:sz w:val="19"/>
                <w:szCs w:val="19"/>
              </w:rPr>
              <w:t>ts</w:t>
            </w:r>
            <w:r w:rsidRPr="007A2AFA">
              <w:rPr>
                <w:spacing w:val="1"/>
                <w:sz w:val="19"/>
                <w:szCs w:val="19"/>
              </w:rPr>
              <w:t xml:space="preserve"> </w:t>
            </w:r>
            <w:r w:rsidRPr="007A2AFA">
              <w:rPr>
                <w:sz w:val="19"/>
                <w:szCs w:val="19"/>
              </w:rPr>
              <w:t>do</w:t>
            </w:r>
            <w:r w:rsidRPr="007A2AFA">
              <w:rPr>
                <w:spacing w:val="-2"/>
                <w:sz w:val="19"/>
                <w:szCs w:val="19"/>
              </w:rPr>
              <w:t xml:space="preserve"> </w:t>
            </w:r>
            <w:r w:rsidRPr="007A2AFA">
              <w:rPr>
                <w:sz w:val="19"/>
                <w:szCs w:val="19"/>
              </w:rPr>
              <w:t>not know</w:t>
            </w:r>
            <w:r w:rsidRPr="007A2AFA">
              <w:rPr>
                <w:spacing w:val="-5"/>
                <w:sz w:val="19"/>
                <w:szCs w:val="19"/>
              </w:rPr>
              <w:t xml:space="preserve"> </w:t>
            </w:r>
            <w:r w:rsidRPr="007A2AFA">
              <w:rPr>
                <w:sz w:val="19"/>
                <w:szCs w:val="19"/>
              </w:rPr>
              <w:t>why they</w:t>
            </w:r>
            <w:r w:rsidRPr="007A2AFA">
              <w:rPr>
                <w:spacing w:val="1"/>
                <w:sz w:val="19"/>
                <w:szCs w:val="19"/>
              </w:rPr>
              <w:t xml:space="preserve"> w</w:t>
            </w:r>
            <w:r w:rsidRPr="007A2AFA">
              <w:rPr>
                <w:spacing w:val="-1"/>
                <w:sz w:val="19"/>
                <w:szCs w:val="19"/>
              </w:rPr>
              <w:t>e</w:t>
            </w:r>
            <w:r w:rsidRPr="007A2AFA">
              <w:rPr>
                <w:spacing w:val="1"/>
                <w:sz w:val="19"/>
                <w:szCs w:val="19"/>
              </w:rPr>
              <w:t>r</w:t>
            </w:r>
            <w:r w:rsidRPr="007A2AFA">
              <w:rPr>
                <w:sz w:val="19"/>
                <w:szCs w:val="19"/>
              </w:rPr>
              <w:t>e</w:t>
            </w:r>
            <w:r w:rsidRPr="007A2AFA">
              <w:rPr>
                <w:spacing w:val="-2"/>
                <w:sz w:val="19"/>
                <w:szCs w:val="19"/>
              </w:rPr>
              <w:t xml:space="preserve"> </w:t>
            </w:r>
            <w:r w:rsidRPr="007A2AFA">
              <w:rPr>
                <w:sz w:val="19"/>
                <w:szCs w:val="19"/>
              </w:rPr>
              <w:t>in</w:t>
            </w:r>
            <w:r w:rsidRPr="007A2AFA">
              <w:rPr>
                <w:spacing w:val="-1"/>
                <w:sz w:val="19"/>
                <w:szCs w:val="19"/>
              </w:rPr>
              <w:t xml:space="preserve"> </w:t>
            </w:r>
            <w:r w:rsidRPr="007A2AFA">
              <w:rPr>
                <w:sz w:val="19"/>
                <w:szCs w:val="19"/>
              </w:rPr>
              <w:t>the hosp</w:t>
            </w:r>
            <w:r w:rsidRPr="007A2AFA">
              <w:rPr>
                <w:spacing w:val="1"/>
                <w:sz w:val="19"/>
                <w:szCs w:val="19"/>
              </w:rPr>
              <w:t>i</w:t>
            </w:r>
            <w:r w:rsidRPr="007A2AFA">
              <w:rPr>
                <w:sz w:val="19"/>
                <w:szCs w:val="19"/>
              </w:rPr>
              <w:t>tal.</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 xml:space="preserve">A </w:t>
            </w:r>
            <w:r w:rsidRPr="007A2AFA">
              <w:rPr>
                <w:spacing w:val="-1"/>
                <w:sz w:val="19"/>
                <w:szCs w:val="19"/>
              </w:rPr>
              <w:t>bri</w:t>
            </w:r>
            <w:r w:rsidRPr="007A2AFA">
              <w:rPr>
                <w:spacing w:val="1"/>
                <w:sz w:val="19"/>
                <w:szCs w:val="19"/>
              </w:rPr>
              <w:t>e</w:t>
            </w:r>
            <w:r w:rsidRPr="007A2AFA">
              <w:rPr>
                <w:sz w:val="19"/>
                <w:szCs w:val="19"/>
              </w:rPr>
              <w:t>f</w:t>
            </w:r>
            <w:r w:rsidRPr="007A2AFA">
              <w:rPr>
                <w:spacing w:val="-4"/>
                <w:sz w:val="19"/>
                <w:szCs w:val="19"/>
              </w:rPr>
              <w:t xml:space="preserve"> </w:t>
            </w:r>
            <w:r w:rsidRPr="007A2AFA">
              <w:rPr>
                <w:sz w:val="19"/>
                <w:szCs w:val="19"/>
              </w:rPr>
              <w:t>description</w:t>
            </w:r>
            <w:r w:rsidRPr="007A2AFA">
              <w:rPr>
                <w:spacing w:val="1"/>
                <w:sz w:val="19"/>
                <w:szCs w:val="19"/>
              </w:rPr>
              <w:t xml:space="preserve"> </w:t>
            </w:r>
            <w:r w:rsidRPr="007A2AFA">
              <w:rPr>
                <w:sz w:val="19"/>
                <w:szCs w:val="19"/>
              </w:rPr>
              <w:t>of hospital</w:t>
            </w:r>
            <w:r w:rsidRPr="007A2AFA">
              <w:rPr>
                <w:spacing w:val="-2"/>
                <w:sz w:val="19"/>
                <w:szCs w:val="19"/>
              </w:rPr>
              <w:t xml:space="preserve"> </w:t>
            </w:r>
            <w:r w:rsidRPr="007A2AFA">
              <w:rPr>
                <w:sz w:val="19"/>
                <w:szCs w:val="19"/>
              </w:rPr>
              <w:t>course of</w:t>
            </w:r>
            <w:r w:rsidRPr="007A2AFA">
              <w:rPr>
                <w:position w:val="-1"/>
                <w:sz w:val="19"/>
                <w:szCs w:val="19"/>
              </w:rPr>
              <w:t xml:space="preserve"> treatment</w:t>
            </w:r>
          </w:p>
        </w:tc>
        <w:tc>
          <w:tcPr>
            <w:tcW w:w="5064" w:type="dxa"/>
            <w:shd w:val="clear" w:color="auto" w:fill="auto"/>
          </w:tcPr>
          <w:p w:rsidR="00F620B5" w:rsidRPr="007A2AFA" w:rsidRDefault="00F620B5" w:rsidP="008C77E6">
            <w:pPr>
              <w:pStyle w:val="Table-main"/>
              <w:rPr>
                <w:rFonts w:ascii="Symbol" w:eastAsia="Symbol" w:hAnsi="Symbol" w:cs="Symbol"/>
                <w:sz w:val="19"/>
                <w:szCs w:val="19"/>
              </w:rPr>
            </w:pPr>
            <w:r w:rsidRPr="007A2AFA">
              <w:rPr>
                <w:sz w:val="19"/>
                <w:szCs w:val="19"/>
              </w:rPr>
              <w:t>Many</w:t>
            </w:r>
            <w:r w:rsidRPr="007A2AFA">
              <w:rPr>
                <w:spacing w:val="-5"/>
                <w:sz w:val="19"/>
                <w:szCs w:val="19"/>
              </w:rPr>
              <w:t xml:space="preserve"> </w:t>
            </w:r>
            <w:r w:rsidRPr="007A2AFA">
              <w:rPr>
                <w:sz w:val="19"/>
                <w:szCs w:val="19"/>
              </w:rPr>
              <w:t>patie</w:t>
            </w:r>
            <w:r w:rsidRPr="007A2AFA">
              <w:rPr>
                <w:spacing w:val="1"/>
                <w:sz w:val="19"/>
                <w:szCs w:val="19"/>
              </w:rPr>
              <w:t>n</w:t>
            </w:r>
            <w:r w:rsidRPr="007A2AFA">
              <w:rPr>
                <w:sz w:val="19"/>
                <w:szCs w:val="19"/>
              </w:rPr>
              <w:t>ts</w:t>
            </w:r>
            <w:r w:rsidRPr="007A2AFA">
              <w:rPr>
                <w:spacing w:val="1"/>
                <w:sz w:val="19"/>
                <w:szCs w:val="19"/>
              </w:rPr>
              <w:t xml:space="preserve"> </w:t>
            </w:r>
            <w:r w:rsidRPr="007A2AFA">
              <w:rPr>
                <w:sz w:val="19"/>
                <w:szCs w:val="19"/>
              </w:rPr>
              <w:t>do</w:t>
            </w:r>
            <w:r w:rsidRPr="007A2AFA">
              <w:rPr>
                <w:spacing w:val="-2"/>
                <w:sz w:val="19"/>
                <w:szCs w:val="19"/>
              </w:rPr>
              <w:t xml:space="preserve"> </w:t>
            </w:r>
            <w:r w:rsidRPr="007A2AFA">
              <w:rPr>
                <w:sz w:val="19"/>
                <w:szCs w:val="19"/>
              </w:rPr>
              <w:t>not know</w:t>
            </w:r>
            <w:r w:rsidRPr="007A2AFA">
              <w:rPr>
                <w:spacing w:val="-5"/>
                <w:sz w:val="19"/>
                <w:szCs w:val="19"/>
              </w:rPr>
              <w:t xml:space="preserve"> </w:t>
            </w:r>
            <w:r w:rsidRPr="007A2AFA">
              <w:rPr>
                <w:sz w:val="19"/>
                <w:szCs w:val="19"/>
              </w:rPr>
              <w:t>what</w:t>
            </w:r>
            <w:r w:rsidRPr="007A2AFA">
              <w:rPr>
                <w:spacing w:val="-1"/>
                <w:sz w:val="19"/>
                <w:szCs w:val="19"/>
              </w:rPr>
              <w:t xml:space="preserve"> </w:t>
            </w:r>
            <w:r w:rsidRPr="007A2AFA">
              <w:rPr>
                <w:sz w:val="19"/>
                <w:szCs w:val="19"/>
              </w:rPr>
              <w:t>was done</w:t>
            </w:r>
            <w:r w:rsidRPr="007A2AFA">
              <w:rPr>
                <w:spacing w:val="-4"/>
                <w:sz w:val="19"/>
                <w:szCs w:val="19"/>
              </w:rPr>
              <w:t xml:space="preserve"> </w:t>
            </w:r>
            <w:r w:rsidRPr="007A2AFA">
              <w:rPr>
                <w:sz w:val="19"/>
                <w:szCs w:val="19"/>
              </w:rPr>
              <w:t>for them in the hospital.</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The patient’s condition at discharge</w:t>
            </w:r>
          </w:p>
        </w:tc>
        <w:tc>
          <w:tcPr>
            <w:tcW w:w="5064" w:type="dxa"/>
            <w:shd w:val="clear" w:color="auto" w:fill="auto"/>
          </w:tcPr>
          <w:p w:rsidR="00F620B5" w:rsidRPr="007A2AFA" w:rsidRDefault="00F620B5" w:rsidP="008C77E6">
            <w:pPr>
              <w:pStyle w:val="Table-main"/>
              <w:rPr>
                <w:w w:val="99"/>
                <w:sz w:val="19"/>
                <w:szCs w:val="19"/>
              </w:rPr>
            </w:pPr>
            <w:r w:rsidRPr="007A2AFA">
              <w:rPr>
                <w:sz w:val="19"/>
                <w:szCs w:val="19"/>
              </w:rPr>
              <w:t>Include</w:t>
            </w:r>
            <w:r w:rsidRPr="007A2AFA">
              <w:rPr>
                <w:spacing w:val="-6"/>
                <w:sz w:val="19"/>
                <w:szCs w:val="19"/>
              </w:rPr>
              <w:t xml:space="preserve"> </w:t>
            </w:r>
            <w:r w:rsidRPr="007A2AFA">
              <w:rPr>
                <w:sz w:val="19"/>
                <w:szCs w:val="19"/>
              </w:rPr>
              <w:t>cognitive func</w:t>
            </w:r>
            <w:r w:rsidRPr="007A2AFA">
              <w:rPr>
                <w:spacing w:val="-1"/>
                <w:sz w:val="19"/>
                <w:szCs w:val="19"/>
              </w:rPr>
              <w:t>t</w:t>
            </w:r>
            <w:r w:rsidRPr="007A2AFA">
              <w:rPr>
                <w:sz w:val="19"/>
                <w:szCs w:val="19"/>
              </w:rPr>
              <w:t>i</w:t>
            </w:r>
            <w:r w:rsidRPr="007A2AFA">
              <w:rPr>
                <w:w w:val="99"/>
                <w:sz w:val="19"/>
                <w:szCs w:val="19"/>
              </w:rPr>
              <w:t>on</w:t>
            </w:r>
            <w:r w:rsidR="004E08AC" w:rsidRPr="007A2AFA">
              <w:rPr>
                <w:w w:val="99"/>
                <w:sz w:val="19"/>
                <w:szCs w:val="19"/>
              </w:rPr>
              <w:t>.</w:t>
            </w:r>
            <w:r w:rsidRPr="007A2AFA">
              <w:rPr>
                <w:w w:val="99"/>
                <w:sz w:val="19"/>
                <w:szCs w:val="19"/>
              </w:rPr>
              <w:t>*</w:t>
            </w:r>
          </w:p>
          <w:p w:rsidR="00F620B5" w:rsidRPr="007A2AFA" w:rsidRDefault="00F620B5" w:rsidP="008C77E6">
            <w:pPr>
              <w:pStyle w:val="Table-main"/>
              <w:rPr>
                <w:sz w:val="19"/>
                <w:szCs w:val="19"/>
              </w:rPr>
            </w:pPr>
            <w:r w:rsidRPr="007A2AFA">
              <w:rPr>
                <w:sz w:val="19"/>
                <w:szCs w:val="19"/>
              </w:rPr>
              <w:t>Include</w:t>
            </w:r>
            <w:r w:rsidRPr="007A2AFA">
              <w:rPr>
                <w:spacing w:val="-6"/>
                <w:sz w:val="19"/>
                <w:szCs w:val="19"/>
              </w:rPr>
              <w:t xml:space="preserve"> </w:t>
            </w:r>
            <w:r w:rsidRPr="007A2AFA">
              <w:rPr>
                <w:sz w:val="19"/>
                <w:szCs w:val="19"/>
              </w:rPr>
              <w:t>functional status</w:t>
            </w:r>
            <w:r w:rsidR="004E08AC" w:rsidRPr="007A2AFA">
              <w:rPr>
                <w:sz w:val="19"/>
                <w:szCs w:val="19"/>
              </w:rPr>
              <w:t>.</w:t>
            </w:r>
            <w:r w:rsidRPr="007A2AFA">
              <w:rPr>
                <w:w w:val="99"/>
                <w:sz w:val="19"/>
                <w:szCs w:val="19"/>
              </w:rPr>
              <w:t>*</w:t>
            </w:r>
          </w:p>
          <w:p w:rsidR="00F620B5" w:rsidRPr="007A2AFA" w:rsidRDefault="00F620B5" w:rsidP="008C77E6">
            <w:pPr>
              <w:pStyle w:val="Table-main"/>
              <w:rPr>
                <w:rFonts w:ascii="Symbol" w:eastAsia="Symbol" w:hAnsi="Symbol" w:cs="Symbol"/>
                <w:sz w:val="19"/>
                <w:szCs w:val="19"/>
              </w:rPr>
            </w:pPr>
            <w:r w:rsidRPr="007A2AFA">
              <w:rPr>
                <w:sz w:val="19"/>
                <w:szCs w:val="19"/>
              </w:rPr>
              <w:t>Include</w:t>
            </w:r>
            <w:r w:rsidRPr="007A2AFA">
              <w:rPr>
                <w:spacing w:val="-6"/>
                <w:sz w:val="19"/>
                <w:szCs w:val="19"/>
              </w:rPr>
              <w:t xml:space="preserve"> </w:t>
            </w:r>
            <w:r w:rsidRPr="007A2AFA">
              <w:rPr>
                <w:sz w:val="19"/>
                <w:szCs w:val="19"/>
              </w:rPr>
              <w:t xml:space="preserve">social support </w:t>
            </w:r>
            <w:r w:rsidRPr="007A2AFA">
              <w:rPr>
                <w:spacing w:val="1"/>
                <w:sz w:val="19"/>
                <w:szCs w:val="19"/>
              </w:rPr>
              <w:t>s</w:t>
            </w:r>
            <w:r w:rsidRPr="007A2AFA">
              <w:rPr>
                <w:spacing w:val="-1"/>
                <w:sz w:val="19"/>
                <w:szCs w:val="19"/>
              </w:rPr>
              <w:t>t</w:t>
            </w:r>
            <w:r w:rsidRPr="007A2AFA">
              <w:rPr>
                <w:sz w:val="19"/>
                <w:szCs w:val="19"/>
              </w:rPr>
              <w:t>ru</w:t>
            </w:r>
            <w:r w:rsidRPr="007A2AFA">
              <w:rPr>
                <w:spacing w:val="1"/>
                <w:sz w:val="19"/>
                <w:szCs w:val="19"/>
              </w:rPr>
              <w:t>ct</w:t>
            </w:r>
            <w:r w:rsidRPr="007A2AFA">
              <w:rPr>
                <w:sz w:val="19"/>
                <w:szCs w:val="19"/>
              </w:rPr>
              <w:t>ure</w:t>
            </w:r>
            <w:r w:rsidR="004E08AC" w:rsidRPr="007A2AFA">
              <w:rPr>
                <w:sz w:val="19"/>
                <w:szCs w:val="19"/>
              </w:rPr>
              <w:t>.</w:t>
            </w:r>
            <w:r w:rsidRPr="007A2AFA">
              <w:rPr>
                <w:w w:val="99"/>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Specifically address comorbid behavioral health conditions</w:t>
            </w:r>
          </w:p>
        </w:tc>
        <w:tc>
          <w:tcPr>
            <w:tcW w:w="5064" w:type="dxa"/>
            <w:shd w:val="clear" w:color="auto" w:fill="auto"/>
          </w:tcPr>
          <w:p w:rsidR="00F620B5" w:rsidRPr="007A2AFA" w:rsidRDefault="00F620B5" w:rsidP="004E08AC">
            <w:pPr>
              <w:pStyle w:val="Table-main"/>
              <w:rPr>
                <w:sz w:val="19"/>
                <w:szCs w:val="19"/>
              </w:rPr>
            </w:pPr>
            <w:r w:rsidRPr="007A2AFA">
              <w:rPr>
                <w:sz w:val="19"/>
                <w:szCs w:val="19"/>
              </w:rPr>
              <w:t xml:space="preserve">Include plan for </w:t>
            </w:r>
            <w:proofErr w:type="spellStart"/>
            <w:r w:rsidRPr="007A2AFA">
              <w:rPr>
                <w:sz w:val="19"/>
                <w:szCs w:val="19"/>
              </w:rPr>
              <w:t>followup</w:t>
            </w:r>
            <w:proofErr w:type="spellEnd"/>
            <w:r w:rsidRPr="007A2AFA">
              <w:rPr>
                <w:sz w:val="19"/>
                <w:szCs w:val="19"/>
              </w:rPr>
              <w:t xml:space="preserve"> care for behavioral health conditions</w:t>
            </w:r>
            <w:proofErr w:type="gramStart"/>
            <w:r w:rsidR="004E08AC" w:rsidRPr="007A2AFA">
              <w:rPr>
                <w:sz w:val="19"/>
                <w:szCs w:val="19"/>
              </w:rPr>
              <w:t>.</w:t>
            </w:r>
            <w:r w:rsidR="007A2AFA" w:rsidRPr="007A2AFA">
              <w:rPr>
                <w:sz w:val="19"/>
                <w:szCs w:val="19"/>
                <w:vertAlign w:val="superscript"/>
              </w:rPr>
              <w:t>†</w:t>
            </w:r>
            <w:proofErr w:type="gramEnd"/>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D20347">
            <w:pPr>
              <w:pStyle w:val="Table-main"/>
              <w:numPr>
                <w:ilvl w:val="0"/>
                <w:numId w:val="5"/>
              </w:numPr>
              <w:ind w:left="360"/>
              <w:rPr>
                <w:sz w:val="19"/>
                <w:szCs w:val="19"/>
              </w:rPr>
            </w:pPr>
            <w:r w:rsidRPr="007A2AFA">
              <w:rPr>
                <w:sz w:val="19"/>
                <w:szCs w:val="19"/>
              </w:rPr>
              <w:t>A medication list</w:t>
            </w:r>
            <w:r w:rsidR="004E08AC" w:rsidRPr="007A2AFA">
              <w:rPr>
                <w:sz w:val="19"/>
                <w:szCs w:val="19"/>
              </w:rPr>
              <w:t>—</w:t>
            </w:r>
            <w:r w:rsidRPr="007A2AFA">
              <w:rPr>
                <w:sz w:val="19"/>
                <w:szCs w:val="19"/>
              </w:rPr>
              <w:t xml:space="preserve">an actual list of medications, </w:t>
            </w:r>
            <w:r w:rsidRPr="007A2AFA">
              <w:rPr>
                <w:i/>
                <w:sz w:val="19"/>
                <w:szCs w:val="19"/>
              </w:rPr>
              <w:t>not</w:t>
            </w:r>
            <w:r w:rsidRPr="007A2AFA">
              <w:rPr>
                <w:sz w:val="19"/>
                <w:szCs w:val="19"/>
              </w:rPr>
              <w:t xml:space="preserve"> a referral to the list in the medical record*</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Identify</w:t>
            </w:r>
            <w:r w:rsidRPr="007A2AFA">
              <w:rPr>
                <w:spacing w:val="-7"/>
                <w:sz w:val="19"/>
                <w:szCs w:val="19"/>
              </w:rPr>
              <w:t xml:space="preserve"> </w:t>
            </w:r>
            <w:r w:rsidRPr="007A2AFA">
              <w:rPr>
                <w:sz w:val="19"/>
                <w:szCs w:val="19"/>
              </w:rPr>
              <w:t>changes ma</w:t>
            </w:r>
            <w:r w:rsidRPr="007A2AFA">
              <w:rPr>
                <w:spacing w:val="1"/>
                <w:sz w:val="19"/>
                <w:szCs w:val="19"/>
              </w:rPr>
              <w:t>d</w:t>
            </w:r>
            <w:r w:rsidRPr="007A2AFA">
              <w:rPr>
                <w:sz w:val="19"/>
                <w:szCs w:val="19"/>
              </w:rPr>
              <w:t>e during</w:t>
            </w:r>
            <w:r w:rsidRPr="007A2AFA">
              <w:rPr>
                <w:spacing w:val="-6"/>
                <w:sz w:val="19"/>
                <w:szCs w:val="19"/>
              </w:rPr>
              <w:t xml:space="preserve"> </w:t>
            </w:r>
            <w:r w:rsidRPr="007A2AFA">
              <w:rPr>
                <w:sz w:val="19"/>
                <w:szCs w:val="19"/>
              </w:rPr>
              <w:t xml:space="preserve">the </w:t>
            </w:r>
            <w:r w:rsidRPr="007A2AFA">
              <w:rPr>
                <w:spacing w:val="-1"/>
                <w:sz w:val="19"/>
                <w:szCs w:val="19"/>
              </w:rPr>
              <w:t>p</w:t>
            </w:r>
            <w:r w:rsidRPr="007A2AFA">
              <w:rPr>
                <w:spacing w:val="1"/>
                <w:sz w:val="19"/>
                <w:szCs w:val="19"/>
              </w:rPr>
              <w:t>a</w:t>
            </w:r>
            <w:r w:rsidRPr="007A2AFA">
              <w:rPr>
                <w:spacing w:val="-1"/>
                <w:sz w:val="19"/>
                <w:szCs w:val="19"/>
              </w:rPr>
              <w:t>tie</w:t>
            </w:r>
            <w:r w:rsidRPr="007A2AFA">
              <w:rPr>
                <w:spacing w:val="1"/>
                <w:sz w:val="19"/>
                <w:szCs w:val="19"/>
              </w:rPr>
              <w:t>n</w:t>
            </w:r>
            <w:r w:rsidRPr="007A2AFA">
              <w:rPr>
                <w:spacing w:val="-1"/>
                <w:sz w:val="19"/>
                <w:szCs w:val="19"/>
              </w:rPr>
              <w:t>t’</w:t>
            </w:r>
            <w:r w:rsidRPr="007A2AFA">
              <w:rPr>
                <w:sz w:val="19"/>
                <w:szCs w:val="19"/>
              </w:rPr>
              <w:t>s</w:t>
            </w:r>
            <w:r w:rsidRPr="007A2AFA">
              <w:rPr>
                <w:spacing w:val="-1"/>
                <w:sz w:val="19"/>
                <w:szCs w:val="19"/>
              </w:rPr>
              <w:t xml:space="preserve"> </w:t>
            </w:r>
            <w:r w:rsidRPr="007A2AFA">
              <w:rPr>
                <w:sz w:val="19"/>
                <w:szCs w:val="19"/>
              </w:rPr>
              <w:t>hosp</w:t>
            </w:r>
            <w:r w:rsidRPr="007A2AFA">
              <w:rPr>
                <w:spacing w:val="1"/>
                <w:sz w:val="19"/>
                <w:szCs w:val="19"/>
              </w:rPr>
              <w:t>i</w:t>
            </w:r>
            <w:r w:rsidRPr="007A2AFA">
              <w:rPr>
                <w:spacing w:val="-1"/>
                <w:sz w:val="19"/>
                <w:szCs w:val="19"/>
              </w:rPr>
              <w:t>t</w:t>
            </w:r>
            <w:r w:rsidRPr="007A2AFA">
              <w:rPr>
                <w:sz w:val="19"/>
                <w:szCs w:val="19"/>
              </w:rPr>
              <w:t>aliz</w:t>
            </w:r>
            <w:r w:rsidRPr="007A2AFA">
              <w:rPr>
                <w:spacing w:val="1"/>
                <w:sz w:val="19"/>
                <w:szCs w:val="19"/>
              </w:rPr>
              <w:t>a</w:t>
            </w:r>
            <w:r w:rsidRPr="007A2AFA">
              <w:rPr>
                <w:spacing w:val="-1"/>
                <w:sz w:val="19"/>
                <w:szCs w:val="19"/>
              </w:rPr>
              <w:t>t</w:t>
            </w:r>
            <w:r w:rsidRPr="007A2AFA">
              <w:rPr>
                <w:sz w:val="19"/>
                <w:szCs w:val="19"/>
              </w:rPr>
              <w:t>ion</w:t>
            </w:r>
            <w:r w:rsidR="00D20347" w:rsidRPr="007A2AFA">
              <w:rPr>
                <w:sz w:val="19"/>
                <w:szCs w:val="19"/>
              </w:rPr>
              <w:t>.</w:t>
            </w:r>
            <w:r w:rsidRPr="007A2AFA">
              <w:rPr>
                <w:w w:val="99"/>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A list of allergies</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Food allergies</w:t>
            </w:r>
            <w:r w:rsidR="00D20347" w:rsidRPr="007A2AFA">
              <w:rPr>
                <w:sz w:val="19"/>
                <w:szCs w:val="19"/>
              </w:rPr>
              <w:t>.</w:t>
            </w:r>
            <w:r w:rsidRPr="007A2AFA">
              <w:rPr>
                <w:spacing w:val="-1"/>
                <w:sz w:val="19"/>
                <w:szCs w:val="19"/>
              </w:rPr>
              <w:t>*</w:t>
            </w:r>
          </w:p>
          <w:p w:rsidR="00F620B5" w:rsidRPr="007A2AFA" w:rsidRDefault="00F620B5" w:rsidP="008C77E6">
            <w:pPr>
              <w:pStyle w:val="Table-main"/>
              <w:rPr>
                <w:sz w:val="19"/>
                <w:szCs w:val="19"/>
              </w:rPr>
            </w:pPr>
            <w:r w:rsidRPr="007A2AFA">
              <w:rPr>
                <w:sz w:val="19"/>
                <w:szCs w:val="19"/>
              </w:rPr>
              <w:t>Drug allergies and drug i</w:t>
            </w:r>
            <w:r w:rsidRPr="007A2AFA">
              <w:rPr>
                <w:spacing w:val="1"/>
                <w:sz w:val="19"/>
                <w:szCs w:val="19"/>
              </w:rPr>
              <w:t>n</w:t>
            </w:r>
            <w:r w:rsidRPr="007A2AFA">
              <w:rPr>
                <w:sz w:val="19"/>
                <w:szCs w:val="19"/>
              </w:rPr>
              <w:t>toler</w:t>
            </w:r>
            <w:r w:rsidRPr="007A2AFA">
              <w:rPr>
                <w:spacing w:val="1"/>
                <w:sz w:val="19"/>
                <w:szCs w:val="19"/>
              </w:rPr>
              <w:t>a</w:t>
            </w:r>
            <w:r w:rsidRPr="007A2AFA">
              <w:rPr>
                <w:sz w:val="19"/>
                <w:szCs w:val="19"/>
              </w:rPr>
              <w:t>nces</w:t>
            </w:r>
            <w:r w:rsidR="00D20347" w:rsidRPr="007A2AFA">
              <w:rPr>
                <w:sz w:val="19"/>
                <w:szCs w:val="19"/>
              </w:rPr>
              <w:t>.</w:t>
            </w:r>
            <w:r w:rsidRPr="007A2AFA">
              <w:rPr>
                <w:spacing w:val="-1"/>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Pending test results</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When</w:t>
            </w:r>
            <w:r w:rsidRPr="007A2AFA">
              <w:rPr>
                <w:spacing w:val="1"/>
                <w:sz w:val="19"/>
                <w:szCs w:val="19"/>
              </w:rPr>
              <w:t xml:space="preserve"> </w:t>
            </w:r>
            <w:r w:rsidRPr="007A2AFA">
              <w:rPr>
                <w:sz w:val="19"/>
                <w:szCs w:val="19"/>
              </w:rPr>
              <w:t xml:space="preserve">the </w:t>
            </w:r>
            <w:r w:rsidRPr="007A2AFA">
              <w:rPr>
                <w:spacing w:val="1"/>
                <w:sz w:val="19"/>
                <w:szCs w:val="19"/>
              </w:rPr>
              <w:t>r</w:t>
            </w:r>
            <w:r w:rsidRPr="007A2AFA">
              <w:rPr>
                <w:spacing w:val="-1"/>
                <w:sz w:val="19"/>
                <w:szCs w:val="19"/>
              </w:rPr>
              <w:t>e</w:t>
            </w:r>
            <w:r w:rsidRPr="007A2AFA">
              <w:rPr>
                <w:spacing w:val="1"/>
                <w:sz w:val="19"/>
                <w:szCs w:val="19"/>
              </w:rPr>
              <w:t>s</w:t>
            </w:r>
            <w:r w:rsidRPr="007A2AFA">
              <w:rPr>
                <w:sz w:val="19"/>
                <w:szCs w:val="19"/>
              </w:rPr>
              <w:t>u</w:t>
            </w:r>
            <w:r w:rsidRPr="007A2AFA">
              <w:rPr>
                <w:spacing w:val="1"/>
                <w:sz w:val="19"/>
                <w:szCs w:val="19"/>
              </w:rPr>
              <w:t>l</w:t>
            </w:r>
            <w:r w:rsidRPr="007A2AFA">
              <w:rPr>
                <w:spacing w:val="-1"/>
                <w:sz w:val="19"/>
                <w:szCs w:val="19"/>
              </w:rPr>
              <w:t>t</w:t>
            </w:r>
            <w:r w:rsidRPr="007A2AFA">
              <w:rPr>
                <w:sz w:val="19"/>
                <w:szCs w:val="19"/>
              </w:rPr>
              <w:t>s</w:t>
            </w:r>
            <w:r w:rsidRPr="007A2AFA">
              <w:rPr>
                <w:spacing w:val="-2"/>
                <w:sz w:val="19"/>
                <w:szCs w:val="19"/>
              </w:rPr>
              <w:t xml:space="preserve"> </w:t>
            </w:r>
            <w:r w:rsidRPr="007A2AFA">
              <w:rPr>
                <w:sz w:val="19"/>
                <w:szCs w:val="19"/>
              </w:rPr>
              <w:t>are</w:t>
            </w:r>
            <w:r w:rsidRPr="007A2AFA">
              <w:rPr>
                <w:spacing w:val="1"/>
                <w:sz w:val="19"/>
                <w:szCs w:val="19"/>
              </w:rPr>
              <w:t xml:space="preserve"> </w:t>
            </w:r>
            <w:r w:rsidRPr="007A2AFA">
              <w:rPr>
                <w:spacing w:val="-1"/>
                <w:sz w:val="19"/>
                <w:szCs w:val="19"/>
              </w:rPr>
              <w:t>e</w:t>
            </w:r>
            <w:r w:rsidRPr="007A2AFA">
              <w:rPr>
                <w:spacing w:val="1"/>
                <w:sz w:val="19"/>
                <w:szCs w:val="19"/>
              </w:rPr>
              <w:t>x</w:t>
            </w:r>
            <w:r w:rsidRPr="007A2AFA">
              <w:rPr>
                <w:spacing w:val="-1"/>
                <w:sz w:val="19"/>
                <w:szCs w:val="19"/>
              </w:rPr>
              <w:t>pe</w:t>
            </w:r>
            <w:r w:rsidRPr="007A2AFA">
              <w:rPr>
                <w:spacing w:val="1"/>
                <w:sz w:val="19"/>
                <w:szCs w:val="19"/>
              </w:rPr>
              <w:t>c</w:t>
            </w:r>
            <w:r w:rsidRPr="007A2AFA">
              <w:rPr>
                <w:spacing w:val="-1"/>
                <w:sz w:val="19"/>
                <w:szCs w:val="19"/>
              </w:rPr>
              <w:t>ted</w:t>
            </w:r>
            <w:r w:rsidR="00D20347" w:rsidRPr="007A2AFA">
              <w:rPr>
                <w:spacing w:val="-1"/>
                <w:sz w:val="19"/>
                <w:szCs w:val="19"/>
              </w:rPr>
              <w:t>.</w:t>
            </w:r>
            <w:r w:rsidRPr="007A2AFA">
              <w:rPr>
                <w:spacing w:val="-1"/>
                <w:sz w:val="19"/>
                <w:szCs w:val="19"/>
              </w:rPr>
              <w:t>*</w:t>
            </w:r>
          </w:p>
          <w:p w:rsidR="00F620B5" w:rsidRPr="007A2AFA" w:rsidRDefault="00F620B5" w:rsidP="008C77E6">
            <w:pPr>
              <w:pStyle w:val="Table-main"/>
              <w:rPr>
                <w:rFonts w:ascii="Symbol" w:eastAsia="Symbol" w:hAnsi="Symbol" w:cs="Symbol"/>
                <w:sz w:val="19"/>
                <w:szCs w:val="19"/>
              </w:rPr>
            </w:pPr>
            <w:r w:rsidRPr="007A2AFA">
              <w:rPr>
                <w:sz w:val="19"/>
                <w:szCs w:val="19"/>
              </w:rPr>
              <w:t xml:space="preserve">How </w:t>
            </w:r>
            <w:r w:rsidRPr="007A2AFA">
              <w:rPr>
                <w:spacing w:val="-1"/>
                <w:sz w:val="19"/>
                <w:szCs w:val="19"/>
              </w:rPr>
              <w:t>t</w:t>
            </w:r>
            <w:r w:rsidRPr="007A2AFA">
              <w:rPr>
                <w:sz w:val="19"/>
                <w:szCs w:val="19"/>
              </w:rPr>
              <w:t>o obta</w:t>
            </w:r>
            <w:r w:rsidRPr="007A2AFA">
              <w:rPr>
                <w:spacing w:val="1"/>
                <w:sz w:val="19"/>
                <w:szCs w:val="19"/>
              </w:rPr>
              <w:t>i</w:t>
            </w:r>
            <w:r w:rsidRPr="007A2AFA">
              <w:rPr>
                <w:sz w:val="19"/>
                <w:szCs w:val="19"/>
              </w:rPr>
              <w:t>n the test resu</w:t>
            </w:r>
            <w:r w:rsidRPr="007A2AFA">
              <w:rPr>
                <w:spacing w:val="1"/>
                <w:sz w:val="19"/>
                <w:szCs w:val="19"/>
              </w:rPr>
              <w:t>l</w:t>
            </w:r>
            <w:r w:rsidRPr="007A2AFA">
              <w:rPr>
                <w:spacing w:val="-1"/>
                <w:sz w:val="19"/>
                <w:szCs w:val="19"/>
              </w:rPr>
              <w:t>t</w:t>
            </w:r>
            <w:r w:rsidRPr="007A2AFA">
              <w:rPr>
                <w:sz w:val="19"/>
                <w:szCs w:val="19"/>
              </w:rPr>
              <w:t>s</w:t>
            </w:r>
            <w:r w:rsidR="00D20347" w:rsidRPr="007A2AFA">
              <w:rPr>
                <w:sz w:val="19"/>
                <w:szCs w:val="19"/>
              </w:rPr>
              <w:t>.</w:t>
            </w:r>
            <w:r w:rsidRPr="007A2AFA">
              <w:rPr>
                <w:spacing w:val="-1"/>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A copy of the patient’s advance directive</w:t>
            </w:r>
          </w:p>
        </w:tc>
        <w:tc>
          <w:tcPr>
            <w:tcW w:w="5064" w:type="dxa"/>
            <w:shd w:val="clear" w:color="auto" w:fill="auto"/>
          </w:tcPr>
          <w:p w:rsidR="00F620B5" w:rsidRPr="007A2AFA" w:rsidRDefault="00F620B5" w:rsidP="008C77E6">
            <w:pPr>
              <w:pStyle w:val="Table-main"/>
              <w:rPr>
                <w:rFonts w:ascii="Symbol" w:eastAsia="Symbol" w:hAnsi="Symbol" w:cs="Symbol"/>
                <w:sz w:val="19"/>
                <w:szCs w:val="19"/>
              </w:rPr>
            </w:pPr>
            <w:r w:rsidRPr="007A2AFA">
              <w:rPr>
                <w:sz w:val="19"/>
                <w:szCs w:val="19"/>
              </w:rPr>
              <w:t>Applic</w:t>
            </w:r>
            <w:r w:rsidRPr="007A2AFA">
              <w:rPr>
                <w:spacing w:val="2"/>
                <w:sz w:val="19"/>
                <w:szCs w:val="19"/>
              </w:rPr>
              <w:t>a</w:t>
            </w:r>
            <w:r w:rsidRPr="007A2AFA">
              <w:rPr>
                <w:sz w:val="19"/>
                <w:szCs w:val="19"/>
              </w:rPr>
              <w:t>ble</w:t>
            </w:r>
            <w:r w:rsidRPr="007A2AFA">
              <w:rPr>
                <w:spacing w:val="-10"/>
                <w:sz w:val="19"/>
                <w:szCs w:val="19"/>
              </w:rPr>
              <w:t xml:space="preserve"> </w:t>
            </w:r>
            <w:r w:rsidRPr="007A2AFA">
              <w:rPr>
                <w:sz w:val="19"/>
                <w:szCs w:val="19"/>
              </w:rPr>
              <w:t>wh</w:t>
            </w:r>
            <w:r w:rsidRPr="007A2AFA">
              <w:rPr>
                <w:spacing w:val="-1"/>
                <w:sz w:val="19"/>
                <w:szCs w:val="19"/>
              </w:rPr>
              <w:t>e</w:t>
            </w:r>
            <w:r w:rsidRPr="007A2AFA">
              <w:rPr>
                <w:sz w:val="19"/>
                <w:szCs w:val="19"/>
              </w:rPr>
              <w:t xml:space="preserve">n the </w:t>
            </w:r>
            <w:r w:rsidRPr="007A2AFA">
              <w:rPr>
                <w:spacing w:val="-1"/>
                <w:sz w:val="19"/>
                <w:szCs w:val="19"/>
              </w:rPr>
              <w:t>p</w:t>
            </w:r>
            <w:r w:rsidRPr="007A2AFA">
              <w:rPr>
                <w:spacing w:val="1"/>
                <w:sz w:val="19"/>
                <w:szCs w:val="19"/>
              </w:rPr>
              <w:t>a</w:t>
            </w:r>
            <w:r w:rsidRPr="007A2AFA">
              <w:rPr>
                <w:spacing w:val="-1"/>
                <w:sz w:val="19"/>
                <w:szCs w:val="19"/>
              </w:rPr>
              <w:t>ti</w:t>
            </w:r>
            <w:r w:rsidRPr="007A2AFA">
              <w:rPr>
                <w:sz w:val="19"/>
                <w:szCs w:val="19"/>
              </w:rPr>
              <w:t>ent</w:t>
            </w:r>
            <w:r w:rsidRPr="007A2AFA">
              <w:rPr>
                <w:spacing w:val="-3"/>
                <w:sz w:val="19"/>
                <w:szCs w:val="19"/>
              </w:rPr>
              <w:t xml:space="preserve"> </w:t>
            </w:r>
            <w:r w:rsidRPr="007A2AFA">
              <w:rPr>
                <w:sz w:val="19"/>
                <w:szCs w:val="19"/>
              </w:rPr>
              <w:t>is bei</w:t>
            </w:r>
            <w:r w:rsidRPr="007A2AFA">
              <w:rPr>
                <w:spacing w:val="1"/>
                <w:sz w:val="19"/>
                <w:szCs w:val="19"/>
              </w:rPr>
              <w:t>n</w:t>
            </w:r>
            <w:r w:rsidRPr="007A2AFA">
              <w:rPr>
                <w:sz w:val="19"/>
                <w:szCs w:val="19"/>
              </w:rPr>
              <w:t>g</w:t>
            </w:r>
            <w:r w:rsidRPr="007A2AFA">
              <w:rPr>
                <w:spacing w:val="-4"/>
                <w:sz w:val="19"/>
                <w:szCs w:val="19"/>
              </w:rPr>
              <w:t xml:space="preserve"> </w:t>
            </w:r>
            <w:r w:rsidRPr="007A2AFA">
              <w:rPr>
                <w:sz w:val="19"/>
                <w:szCs w:val="19"/>
              </w:rPr>
              <w:t>tr</w:t>
            </w:r>
            <w:r w:rsidRPr="007A2AFA">
              <w:rPr>
                <w:spacing w:val="1"/>
                <w:sz w:val="19"/>
                <w:szCs w:val="19"/>
              </w:rPr>
              <w:t>a</w:t>
            </w:r>
            <w:r w:rsidRPr="007A2AFA">
              <w:rPr>
                <w:sz w:val="19"/>
                <w:szCs w:val="19"/>
              </w:rPr>
              <w:t>nsferred</w:t>
            </w:r>
            <w:r w:rsidRPr="007A2AFA">
              <w:rPr>
                <w:spacing w:val="1"/>
                <w:sz w:val="19"/>
                <w:szCs w:val="19"/>
              </w:rPr>
              <w:t xml:space="preserve"> </w:t>
            </w:r>
            <w:r w:rsidRPr="007A2AFA">
              <w:rPr>
                <w:spacing w:val="-1"/>
                <w:sz w:val="19"/>
                <w:szCs w:val="19"/>
              </w:rPr>
              <w:t>t</w:t>
            </w:r>
            <w:r w:rsidRPr="007A2AFA">
              <w:rPr>
                <w:sz w:val="19"/>
                <w:szCs w:val="19"/>
              </w:rPr>
              <w:t>o another facility</w:t>
            </w:r>
            <w:r w:rsidR="00D20347" w:rsidRPr="007A2AFA">
              <w:rPr>
                <w:sz w:val="19"/>
                <w:szCs w:val="19"/>
              </w:rPr>
              <w:t>.</w:t>
            </w:r>
            <w:r w:rsidRPr="007A2AFA">
              <w:rPr>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A brief description of care instructions</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Cust</w:t>
            </w:r>
            <w:r w:rsidRPr="007A2AFA">
              <w:rPr>
                <w:spacing w:val="1"/>
                <w:sz w:val="19"/>
                <w:szCs w:val="19"/>
              </w:rPr>
              <w:t>o</w:t>
            </w:r>
            <w:r w:rsidRPr="007A2AFA">
              <w:rPr>
                <w:sz w:val="19"/>
                <w:szCs w:val="19"/>
              </w:rPr>
              <w:t>mi</w:t>
            </w:r>
            <w:r w:rsidRPr="007A2AFA">
              <w:rPr>
                <w:spacing w:val="1"/>
                <w:sz w:val="19"/>
                <w:szCs w:val="19"/>
              </w:rPr>
              <w:t>z</w:t>
            </w:r>
            <w:r w:rsidRPr="007A2AFA">
              <w:rPr>
                <w:spacing w:val="-1"/>
                <w:sz w:val="19"/>
                <w:szCs w:val="19"/>
              </w:rPr>
              <w:t>e</w:t>
            </w:r>
            <w:r w:rsidRPr="007A2AFA">
              <w:rPr>
                <w:sz w:val="19"/>
                <w:szCs w:val="19"/>
              </w:rPr>
              <w:t>d instru</w:t>
            </w:r>
            <w:r w:rsidRPr="007A2AFA">
              <w:rPr>
                <w:spacing w:val="1"/>
                <w:sz w:val="19"/>
                <w:szCs w:val="19"/>
              </w:rPr>
              <w:t>c</w:t>
            </w:r>
            <w:r w:rsidRPr="007A2AFA">
              <w:rPr>
                <w:spacing w:val="-1"/>
                <w:sz w:val="19"/>
                <w:szCs w:val="19"/>
              </w:rPr>
              <w:t>t</w:t>
            </w:r>
            <w:r w:rsidRPr="007A2AFA">
              <w:rPr>
                <w:sz w:val="19"/>
                <w:szCs w:val="19"/>
              </w:rPr>
              <w:t>ions for self-care</w:t>
            </w:r>
            <w:r w:rsidR="00D20347" w:rsidRPr="007A2AFA">
              <w:rPr>
                <w:sz w:val="19"/>
                <w:szCs w:val="19"/>
              </w:rPr>
              <w:t>.</w:t>
            </w:r>
            <w:r w:rsidRPr="007A2AFA">
              <w:rPr>
                <w:spacing w:val="-1"/>
                <w:sz w:val="19"/>
                <w:szCs w:val="19"/>
              </w:rPr>
              <w:t>*</w:t>
            </w:r>
          </w:p>
          <w:p w:rsidR="00F620B5" w:rsidRPr="007A2AFA" w:rsidRDefault="00F620B5" w:rsidP="008C77E6">
            <w:pPr>
              <w:pStyle w:val="Table-main"/>
              <w:rPr>
                <w:rFonts w:ascii="Symbol" w:eastAsia="Symbol" w:hAnsi="Symbol" w:cs="Symbol"/>
                <w:sz w:val="19"/>
                <w:szCs w:val="19"/>
              </w:rPr>
            </w:pPr>
            <w:r w:rsidRPr="007A2AFA">
              <w:rPr>
                <w:sz w:val="19"/>
                <w:szCs w:val="19"/>
              </w:rPr>
              <w:t xml:space="preserve">Consistent </w:t>
            </w:r>
            <w:r w:rsidRPr="007A2AFA">
              <w:rPr>
                <w:spacing w:val="-1"/>
                <w:sz w:val="19"/>
                <w:szCs w:val="19"/>
              </w:rPr>
              <w:t>w</w:t>
            </w:r>
            <w:r w:rsidRPr="007A2AFA">
              <w:rPr>
                <w:spacing w:val="1"/>
                <w:sz w:val="19"/>
                <w:szCs w:val="19"/>
              </w:rPr>
              <w:t>i</w:t>
            </w:r>
            <w:r w:rsidRPr="007A2AFA">
              <w:rPr>
                <w:spacing w:val="-1"/>
                <w:sz w:val="19"/>
                <w:szCs w:val="19"/>
              </w:rPr>
              <w:t>t</w:t>
            </w:r>
            <w:r w:rsidRPr="007A2AFA">
              <w:rPr>
                <w:sz w:val="19"/>
                <w:szCs w:val="19"/>
              </w:rPr>
              <w:t>h</w:t>
            </w:r>
            <w:r w:rsidRPr="007A2AFA">
              <w:rPr>
                <w:spacing w:val="1"/>
                <w:sz w:val="19"/>
                <w:szCs w:val="19"/>
              </w:rPr>
              <w:t xml:space="preserve"> </w:t>
            </w:r>
            <w:r w:rsidRPr="007A2AFA">
              <w:rPr>
                <w:sz w:val="19"/>
                <w:szCs w:val="19"/>
              </w:rPr>
              <w:t>the training provided</w:t>
            </w:r>
            <w:r w:rsidRPr="007A2AFA">
              <w:rPr>
                <w:spacing w:val="-6"/>
                <w:sz w:val="19"/>
                <w:szCs w:val="19"/>
              </w:rPr>
              <w:t xml:space="preserve"> </w:t>
            </w:r>
            <w:r w:rsidRPr="007A2AFA">
              <w:rPr>
                <w:spacing w:val="-1"/>
                <w:sz w:val="19"/>
                <w:szCs w:val="19"/>
              </w:rPr>
              <w:t>t</w:t>
            </w:r>
            <w:r w:rsidRPr="007A2AFA">
              <w:rPr>
                <w:sz w:val="19"/>
                <w:szCs w:val="19"/>
              </w:rPr>
              <w:t>o pat</w:t>
            </w:r>
            <w:r w:rsidRPr="007A2AFA">
              <w:rPr>
                <w:spacing w:val="1"/>
                <w:sz w:val="19"/>
                <w:szCs w:val="19"/>
              </w:rPr>
              <w:t>i</w:t>
            </w:r>
            <w:r w:rsidRPr="007A2AFA">
              <w:rPr>
                <w:sz w:val="19"/>
                <w:szCs w:val="19"/>
              </w:rPr>
              <w:t>ent and</w:t>
            </w:r>
            <w:r w:rsidRPr="007A2AFA">
              <w:rPr>
                <w:spacing w:val="-7"/>
                <w:sz w:val="19"/>
                <w:szCs w:val="19"/>
              </w:rPr>
              <w:t xml:space="preserve"> </w:t>
            </w:r>
            <w:r w:rsidRPr="007A2AFA">
              <w:rPr>
                <w:sz w:val="19"/>
                <w:szCs w:val="19"/>
              </w:rPr>
              <w:t>caregi</w:t>
            </w:r>
            <w:r w:rsidRPr="007A2AFA">
              <w:rPr>
                <w:spacing w:val="1"/>
                <w:sz w:val="19"/>
                <w:szCs w:val="19"/>
              </w:rPr>
              <w:t>v</w:t>
            </w:r>
            <w:r w:rsidRPr="007A2AFA">
              <w:rPr>
                <w:spacing w:val="-1"/>
                <w:sz w:val="19"/>
                <w:szCs w:val="19"/>
              </w:rPr>
              <w:t>e</w:t>
            </w:r>
            <w:r w:rsidRPr="007A2AFA">
              <w:rPr>
                <w:sz w:val="19"/>
                <w:szCs w:val="19"/>
              </w:rPr>
              <w:t>r</w:t>
            </w:r>
            <w:r w:rsidR="00D20347" w:rsidRPr="007A2AFA">
              <w:rPr>
                <w:sz w:val="19"/>
                <w:szCs w:val="19"/>
              </w:rPr>
              <w:t>.</w:t>
            </w:r>
            <w:r w:rsidRPr="007A2AFA">
              <w:rPr>
                <w:spacing w:val="-1"/>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C36B77">
            <w:pPr>
              <w:pStyle w:val="Table-main"/>
              <w:numPr>
                <w:ilvl w:val="0"/>
                <w:numId w:val="5"/>
              </w:numPr>
              <w:ind w:left="360"/>
              <w:rPr>
                <w:sz w:val="19"/>
                <w:szCs w:val="19"/>
              </w:rPr>
            </w:pPr>
            <w:r w:rsidRPr="007A2AFA">
              <w:rPr>
                <w:sz w:val="19"/>
                <w:szCs w:val="19"/>
              </w:rPr>
              <w:t>Effective link</w:t>
            </w:r>
            <w:r w:rsidR="00D20347" w:rsidRPr="007A2AFA">
              <w:rPr>
                <w:sz w:val="19"/>
                <w:szCs w:val="19"/>
              </w:rPr>
              <w:t>age</w:t>
            </w:r>
            <w:r w:rsidRPr="007A2AFA">
              <w:rPr>
                <w:sz w:val="19"/>
                <w:szCs w:val="19"/>
              </w:rPr>
              <w:t xml:space="preserve"> </w:t>
            </w:r>
            <w:r w:rsidR="00D20347" w:rsidRPr="007A2AFA">
              <w:rPr>
                <w:sz w:val="19"/>
                <w:szCs w:val="19"/>
              </w:rPr>
              <w:t xml:space="preserve">of </w:t>
            </w:r>
            <w:r w:rsidRPr="007A2AFA">
              <w:rPr>
                <w:sz w:val="19"/>
                <w:szCs w:val="19"/>
              </w:rPr>
              <w:t xml:space="preserve">patients to </w:t>
            </w:r>
            <w:proofErr w:type="spellStart"/>
            <w:r w:rsidRPr="007A2AFA">
              <w:rPr>
                <w:sz w:val="19"/>
                <w:szCs w:val="19"/>
              </w:rPr>
              <w:t>posthospital</w:t>
            </w:r>
            <w:proofErr w:type="spellEnd"/>
            <w:r w:rsidRPr="007A2AFA">
              <w:rPr>
                <w:sz w:val="19"/>
                <w:szCs w:val="19"/>
              </w:rPr>
              <w:t xml:space="preserve"> clinical, behavioral</w:t>
            </w:r>
            <w:r w:rsidR="00D20347" w:rsidRPr="007A2AFA">
              <w:rPr>
                <w:sz w:val="19"/>
                <w:szCs w:val="19"/>
              </w:rPr>
              <w:t>,</w:t>
            </w:r>
            <w:r w:rsidRPr="007A2AFA">
              <w:rPr>
                <w:sz w:val="19"/>
                <w:szCs w:val="19"/>
              </w:rPr>
              <w:t xml:space="preserve"> and social services</w:t>
            </w:r>
          </w:p>
        </w:tc>
        <w:tc>
          <w:tcPr>
            <w:tcW w:w="5064" w:type="dxa"/>
            <w:shd w:val="clear" w:color="auto" w:fill="auto"/>
          </w:tcPr>
          <w:p w:rsidR="00F620B5" w:rsidRPr="007A2AFA" w:rsidRDefault="00F620B5" w:rsidP="00D20347">
            <w:pPr>
              <w:pStyle w:val="Table-main"/>
              <w:rPr>
                <w:sz w:val="19"/>
                <w:szCs w:val="19"/>
              </w:rPr>
            </w:pPr>
            <w:r w:rsidRPr="007A2AFA">
              <w:rPr>
                <w:sz w:val="19"/>
                <w:szCs w:val="19"/>
              </w:rPr>
              <w:t xml:space="preserve">The hospital must demonstrate knowledge of capabilities of </w:t>
            </w:r>
            <w:proofErr w:type="spellStart"/>
            <w:r w:rsidRPr="007A2AFA">
              <w:rPr>
                <w:sz w:val="19"/>
                <w:szCs w:val="19"/>
              </w:rPr>
              <w:t>postacute</w:t>
            </w:r>
            <w:proofErr w:type="spellEnd"/>
            <w:r w:rsidRPr="007A2AFA">
              <w:rPr>
                <w:sz w:val="19"/>
                <w:szCs w:val="19"/>
              </w:rPr>
              <w:t xml:space="preserve"> and community providers, including Medicaid providers and social service providers</w:t>
            </w:r>
            <w:r w:rsidR="00D20347" w:rsidRPr="007A2AFA">
              <w:rPr>
                <w:sz w:val="19"/>
                <w:szCs w:val="19"/>
              </w:rPr>
              <w:t>.</w:t>
            </w:r>
            <w:r w:rsidRPr="007A2AFA">
              <w:rPr>
                <w:sz w:val="19"/>
                <w:szCs w:val="19"/>
              </w:rPr>
              <w:t>*</w:t>
            </w:r>
            <w:r w:rsidR="007A2AFA" w:rsidRPr="007A2AFA">
              <w:rPr>
                <w:sz w:val="19"/>
                <w:szCs w:val="19"/>
                <w:vertAlign w:val="superscript"/>
              </w:rPr>
              <w:t>†</w:t>
            </w:r>
            <w:r w:rsidRPr="007A2AFA">
              <w:rPr>
                <w:sz w:val="19"/>
                <w:szCs w:val="19"/>
              </w:rPr>
              <w:t xml:space="preserve"> </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D20347" w:rsidP="00C36B77">
            <w:pPr>
              <w:pStyle w:val="Table-main"/>
              <w:numPr>
                <w:ilvl w:val="0"/>
                <w:numId w:val="5"/>
              </w:numPr>
              <w:ind w:left="360"/>
              <w:rPr>
                <w:sz w:val="19"/>
                <w:szCs w:val="19"/>
              </w:rPr>
            </w:pPr>
            <w:r w:rsidRPr="007A2AFA">
              <w:rPr>
                <w:sz w:val="19"/>
                <w:szCs w:val="19"/>
              </w:rPr>
              <w:t>Data for</w:t>
            </w:r>
            <w:r w:rsidR="00F620B5" w:rsidRPr="007A2AFA">
              <w:rPr>
                <w:sz w:val="19"/>
                <w:szCs w:val="19"/>
              </w:rPr>
              <w:t xml:space="preserve"> patients/caregivers to facilitate a data-informed choice of </w:t>
            </w:r>
            <w:proofErr w:type="spellStart"/>
            <w:r w:rsidR="00F620B5" w:rsidRPr="007A2AFA">
              <w:rPr>
                <w:sz w:val="19"/>
                <w:szCs w:val="19"/>
              </w:rPr>
              <w:t>postacute</w:t>
            </w:r>
            <w:proofErr w:type="spellEnd"/>
            <w:r w:rsidR="00F620B5" w:rsidRPr="007A2AFA">
              <w:rPr>
                <w:sz w:val="19"/>
                <w:szCs w:val="19"/>
              </w:rPr>
              <w:t xml:space="preserve"> providers</w:t>
            </w:r>
          </w:p>
        </w:tc>
        <w:tc>
          <w:tcPr>
            <w:tcW w:w="5064" w:type="dxa"/>
            <w:shd w:val="clear" w:color="auto" w:fill="auto"/>
          </w:tcPr>
          <w:p w:rsidR="00F620B5" w:rsidRPr="007A2AFA" w:rsidRDefault="00F620B5" w:rsidP="008C77E6">
            <w:pPr>
              <w:pStyle w:val="Table-main"/>
              <w:rPr>
                <w:sz w:val="19"/>
                <w:szCs w:val="19"/>
              </w:rPr>
            </w:pPr>
            <w:r w:rsidRPr="007A2AFA">
              <w:rPr>
                <w:sz w:val="19"/>
                <w:szCs w:val="19"/>
              </w:rPr>
              <w:t>As per the Improving Medicare Past Acute Transformation (IMPACT) Act of 2014</w:t>
            </w:r>
            <w:proofErr w:type="gramStart"/>
            <w:r w:rsidR="00D20347" w:rsidRPr="007A2AFA">
              <w:rPr>
                <w:sz w:val="19"/>
                <w:szCs w:val="19"/>
              </w:rPr>
              <w:t>.</w:t>
            </w:r>
            <w:r w:rsidR="007A2AFA" w:rsidRPr="007A2AFA">
              <w:rPr>
                <w:sz w:val="19"/>
                <w:szCs w:val="19"/>
                <w:vertAlign w:val="superscript"/>
              </w:rPr>
              <w:t>†</w:t>
            </w:r>
            <w:proofErr w:type="gramEnd"/>
            <w:r w:rsidRPr="007A2AFA">
              <w:rPr>
                <w:sz w:val="19"/>
                <w:szCs w:val="19"/>
              </w:rPr>
              <w:t xml:space="preserve"> </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D20347">
            <w:pPr>
              <w:pStyle w:val="Table-main"/>
              <w:numPr>
                <w:ilvl w:val="0"/>
                <w:numId w:val="5"/>
              </w:numPr>
              <w:ind w:left="360"/>
              <w:rPr>
                <w:sz w:val="19"/>
                <w:szCs w:val="19"/>
              </w:rPr>
            </w:pPr>
            <w:r w:rsidRPr="007A2AFA">
              <w:rPr>
                <w:sz w:val="19"/>
                <w:szCs w:val="19"/>
              </w:rPr>
              <w:t xml:space="preserve">A list of all </w:t>
            </w:r>
            <w:proofErr w:type="spellStart"/>
            <w:r w:rsidRPr="007A2AFA">
              <w:rPr>
                <w:sz w:val="19"/>
                <w:szCs w:val="19"/>
              </w:rPr>
              <w:t>followup</w:t>
            </w:r>
            <w:proofErr w:type="spellEnd"/>
            <w:r w:rsidRPr="007A2AFA">
              <w:rPr>
                <w:sz w:val="19"/>
                <w:szCs w:val="19"/>
              </w:rPr>
              <w:t xml:space="preserve"> appointments scheduled prior to discharge</w:t>
            </w:r>
          </w:p>
        </w:tc>
        <w:tc>
          <w:tcPr>
            <w:tcW w:w="5064" w:type="dxa"/>
            <w:shd w:val="clear" w:color="auto" w:fill="auto"/>
          </w:tcPr>
          <w:p w:rsidR="00F620B5" w:rsidRPr="007A2AFA" w:rsidRDefault="00F620B5" w:rsidP="00D20347">
            <w:pPr>
              <w:pStyle w:val="Table-main"/>
              <w:rPr>
                <w:rFonts w:ascii="Symbol" w:eastAsia="Symbol" w:hAnsi="Symbol" w:cs="Symbol"/>
                <w:sz w:val="19"/>
                <w:szCs w:val="19"/>
              </w:rPr>
            </w:pPr>
            <w:r w:rsidRPr="007A2AFA">
              <w:rPr>
                <w:sz w:val="19"/>
                <w:szCs w:val="19"/>
              </w:rPr>
              <w:t>This list should include</w:t>
            </w:r>
            <w:r w:rsidRPr="007A2AFA">
              <w:rPr>
                <w:spacing w:val="-6"/>
                <w:sz w:val="19"/>
                <w:szCs w:val="19"/>
              </w:rPr>
              <w:t xml:space="preserve"> </w:t>
            </w:r>
            <w:r w:rsidR="00D20347" w:rsidRPr="007A2AFA">
              <w:rPr>
                <w:spacing w:val="-6"/>
                <w:sz w:val="19"/>
                <w:szCs w:val="19"/>
              </w:rPr>
              <w:t>provider name</w:t>
            </w:r>
            <w:r w:rsidRPr="007A2AFA">
              <w:rPr>
                <w:sz w:val="19"/>
                <w:szCs w:val="19"/>
              </w:rPr>
              <w:t xml:space="preserve">, </w:t>
            </w:r>
            <w:r w:rsidRPr="007A2AFA">
              <w:rPr>
                <w:spacing w:val="1"/>
                <w:sz w:val="19"/>
                <w:szCs w:val="19"/>
              </w:rPr>
              <w:t>da</w:t>
            </w:r>
            <w:r w:rsidRPr="007A2AFA">
              <w:rPr>
                <w:spacing w:val="-1"/>
                <w:sz w:val="19"/>
                <w:szCs w:val="19"/>
              </w:rPr>
              <w:t>t</w:t>
            </w:r>
            <w:r w:rsidRPr="007A2AFA">
              <w:rPr>
                <w:sz w:val="19"/>
                <w:szCs w:val="19"/>
              </w:rPr>
              <w:t>e, and</w:t>
            </w:r>
            <w:r w:rsidRPr="007A2AFA">
              <w:rPr>
                <w:spacing w:val="-3"/>
                <w:sz w:val="19"/>
                <w:szCs w:val="19"/>
              </w:rPr>
              <w:t xml:space="preserve"> </w:t>
            </w:r>
            <w:r w:rsidRPr="007A2AFA">
              <w:rPr>
                <w:sz w:val="19"/>
                <w:szCs w:val="19"/>
              </w:rPr>
              <w:t>ti</w:t>
            </w:r>
            <w:r w:rsidRPr="007A2AFA">
              <w:rPr>
                <w:spacing w:val="1"/>
                <w:sz w:val="19"/>
                <w:szCs w:val="19"/>
              </w:rPr>
              <w:t>m</w:t>
            </w:r>
            <w:r w:rsidRPr="007A2AFA">
              <w:rPr>
                <w:spacing w:val="-1"/>
                <w:sz w:val="19"/>
                <w:szCs w:val="19"/>
              </w:rPr>
              <w:t>e</w:t>
            </w:r>
            <w:r w:rsidR="00D20347" w:rsidRPr="007A2AFA">
              <w:rPr>
                <w:spacing w:val="-1"/>
                <w:sz w:val="19"/>
                <w:szCs w:val="19"/>
              </w:rPr>
              <w:t>.</w:t>
            </w:r>
            <w:r w:rsidRPr="007A2AFA">
              <w:rPr>
                <w:sz w:val="19"/>
                <w:szCs w:val="19"/>
              </w:rPr>
              <w:t>*</w:t>
            </w:r>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8C77E6">
            <w:pPr>
              <w:pStyle w:val="Table-main"/>
              <w:numPr>
                <w:ilvl w:val="0"/>
                <w:numId w:val="5"/>
              </w:numPr>
              <w:ind w:left="360"/>
              <w:rPr>
                <w:sz w:val="19"/>
                <w:szCs w:val="19"/>
              </w:rPr>
            </w:pPr>
            <w:r w:rsidRPr="007A2AFA">
              <w:rPr>
                <w:sz w:val="19"/>
                <w:szCs w:val="19"/>
              </w:rPr>
              <w:t>Transmit</w:t>
            </w:r>
            <w:r w:rsidR="00D20347" w:rsidRPr="007A2AFA">
              <w:rPr>
                <w:sz w:val="19"/>
                <w:szCs w:val="19"/>
              </w:rPr>
              <w:t>tal of</w:t>
            </w:r>
            <w:r w:rsidRPr="007A2AFA">
              <w:rPr>
                <w:sz w:val="19"/>
                <w:szCs w:val="19"/>
              </w:rPr>
              <w:t xml:space="preserve"> discharge summary within 48 hours of discharge </w:t>
            </w:r>
          </w:p>
        </w:tc>
        <w:tc>
          <w:tcPr>
            <w:tcW w:w="5064" w:type="dxa"/>
            <w:shd w:val="clear" w:color="auto" w:fill="auto"/>
          </w:tcPr>
          <w:p w:rsidR="00F620B5" w:rsidRPr="007A2AFA" w:rsidRDefault="00F620B5" w:rsidP="00D20347">
            <w:pPr>
              <w:pStyle w:val="Table-main"/>
              <w:rPr>
                <w:sz w:val="19"/>
                <w:szCs w:val="19"/>
              </w:rPr>
            </w:pPr>
            <w:r w:rsidRPr="007A2AFA">
              <w:rPr>
                <w:sz w:val="19"/>
                <w:szCs w:val="19"/>
              </w:rPr>
              <w:t xml:space="preserve">Transmit or make available the discharge summary to community providers </w:t>
            </w:r>
            <w:r w:rsidR="00D20347" w:rsidRPr="007A2AFA">
              <w:rPr>
                <w:sz w:val="19"/>
                <w:szCs w:val="19"/>
              </w:rPr>
              <w:t xml:space="preserve">within </w:t>
            </w:r>
            <w:r w:rsidRPr="007A2AFA">
              <w:rPr>
                <w:sz w:val="19"/>
                <w:szCs w:val="19"/>
              </w:rPr>
              <w:t>48 hours</w:t>
            </w:r>
            <w:proofErr w:type="gramStart"/>
            <w:r w:rsidR="00D20347" w:rsidRPr="007A2AFA">
              <w:rPr>
                <w:sz w:val="19"/>
                <w:szCs w:val="19"/>
              </w:rPr>
              <w:t>.</w:t>
            </w:r>
            <w:r w:rsidR="007A2AFA" w:rsidRPr="007A2AFA">
              <w:rPr>
                <w:sz w:val="19"/>
                <w:szCs w:val="19"/>
                <w:vertAlign w:val="superscript"/>
              </w:rPr>
              <w:t>†</w:t>
            </w:r>
            <w:proofErr w:type="gramEnd"/>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sz w:val="19"/>
                <w:szCs w:val="19"/>
              </w:rPr>
            </w:pPr>
            <w:r w:rsidRPr="007A2AFA">
              <w:rPr>
                <w:rFonts w:ascii="Calibri" w:eastAsia="Corbel" w:hAnsi="Calibri" w:cs="Corbel"/>
                <w:bCs/>
                <w:sz w:val="19"/>
                <w:szCs w:val="19"/>
              </w:rPr>
              <w:sym w:font="Wingdings" w:char="F071"/>
            </w:r>
          </w:p>
        </w:tc>
      </w:tr>
      <w:tr w:rsidR="00F620B5" w:rsidTr="007A2AFA">
        <w:trPr>
          <w:jc w:val="center"/>
        </w:trPr>
        <w:tc>
          <w:tcPr>
            <w:tcW w:w="3497" w:type="dxa"/>
            <w:shd w:val="clear" w:color="auto" w:fill="auto"/>
          </w:tcPr>
          <w:p w:rsidR="00F620B5" w:rsidRPr="007A2AFA" w:rsidRDefault="00F620B5" w:rsidP="00D20347">
            <w:pPr>
              <w:pStyle w:val="Table-main"/>
              <w:numPr>
                <w:ilvl w:val="0"/>
                <w:numId w:val="5"/>
              </w:numPr>
              <w:ind w:left="360"/>
              <w:rPr>
                <w:sz w:val="19"/>
                <w:szCs w:val="19"/>
              </w:rPr>
            </w:pPr>
            <w:proofErr w:type="spellStart"/>
            <w:r w:rsidRPr="007A2AFA">
              <w:rPr>
                <w:sz w:val="19"/>
                <w:szCs w:val="19"/>
              </w:rPr>
              <w:t>Followup</w:t>
            </w:r>
            <w:proofErr w:type="spellEnd"/>
            <w:r w:rsidRPr="007A2AFA">
              <w:rPr>
                <w:sz w:val="19"/>
                <w:szCs w:val="19"/>
              </w:rPr>
              <w:t xml:space="preserve"> with patients at high risk of readmission</w:t>
            </w:r>
          </w:p>
        </w:tc>
        <w:tc>
          <w:tcPr>
            <w:tcW w:w="5064" w:type="dxa"/>
            <w:shd w:val="clear" w:color="auto" w:fill="auto"/>
          </w:tcPr>
          <w:p w:rsidR="00F620B5" w:rsidRPr="007A2AFA" w:rsidRDefault="00F620B5" w:rsidP="00D20347">
            <w:pPr>
              <w:pStyle w:val="Table-main"/>
              <w:rPr>
                <w:sz w:val="19"/>
                <w:szCs w:val="19"/>
              </w:rPr>
            </w:pPr>
            <w:r w:rsidRPr="007A2AFA">
              <w:rPr>
                <w:sz w:val="19"/>
                <w:szCs w:val="19"/>
              </w:rPr>
              <w:t xml:space="preserve">The proposed COPs do not state how or when to provide </w:t>
            </w:r>
            <w:proofErr w:type="spellStart"/>
            <w:r w:rsidRPr="007A2AFA">
              <w:rPr>
                <w:sz w:val="19"/>
                <w:szCs w:val="19"/>
              </w:rPr>
              <w:t>followup</w:t>
            </w:r>
            <w:proofErr w:type="spellEnd"/>
            <w:r w:rsidRPr="007A2AFA">
              <w:rPr>
                <w:sz w:val="19"/>
                <w:szCs w:val="19"/>
              </w:rPr>
              <w:t>, allowing flexibility</w:t>
            </w:r>
            <w:proofErr w:type="gramStart"/>
            <w:r w:rsidR="00D20347" w:rsidRPr="007A2AFA">
              <w:rPr>
                <w:sz w:val="19"/>
                <w:szCs w:val="19"/>
              </w:rPr>
              <w:t>.</w:t>
            </w:r>
            <w:r w:rsidR="007A2AFA" w:rsidRPr="007A2AFA">
              <w:rPr>
                <w:sz w:val="19"/>
                <w:szCs w:val="19"/>
                <w:vertAlign w:val="superscript"/>
              </w:rPr>
              <w:t>†</w:t>
            </w:r>
            <w:proofErr w:type="gramEnd"/>
          </w:p>
        </w:tc>
        <w:tc>
          <w:tcPr>
            <w:tcW w:w="811" w:type="dxa"/>
            <w:shd w:val="clear" w:color="auto" w:fill="auto"/>
            <w:vAlign w:val="center"/>
          </w:tcPr>
          <w:p w:rsidR="00F620B5" w:rsidRPr="007A2AFA" w:rsidRDefault="00F620B5" w:rsidP="008C77E6">
            <w:pPr>
              <w:pStyle w:val="ListParagraph"/>
              <w:widowControl w:val="0"/>
              <w:suppressAutoHyphens w:val="0"/>
              <w:autoSpaceDE/>
              <w:autoSpaceDN/>
              <w:adjustRightInd/>
              <w:spacing w:after="0"/>
              <w:ind w:left="-25"/>
              <w:jc w:val="center"/>
              <w:textAlignment w:val="auto"/>
              <w:rPr>
                <w:rFonts w:ascii="Calibri" w:hAnsi="Calibri"/>
                <w:sz w:val="19"/>
                <w:szCs w:val="19"/>
              </w:rPr>
            </w:pPr>
            <w:bookmarkStart w:id="0" w:name="_GoBack"/>
            <w:r w:rsidRPr="007A2AFA">
              <w:rPr>
                <w:rFonts w:ascii="Calibri" w:eastAsia="Corbel" w:hAnsi="Calibri" w:cs="Corbel"/>
                <w:bCs/>
                <w:sz w:val="19"/>
                <w:szCs w:val="19"/>
              </w:rPr>
              <w:sym w:font="Wingdings" w:char="F071"/>
            </w:r>
            <w:bookmarkEnd w:id="0"/>
          </w:p>
        </w:tc>
      </w:tr>
    </w:tbl>
    <w:p w:rsidR="00967F2C" w:rsidRPr="00967F2C" w:rsidRDefault="00967F2C" w:rsidP="00973B56"/>
    <w:sectPr w:rsidR="00967F2C" w:rsidRPr="00967F2C" w:rsidSect="00973B56">
      <w:headerReference w:type="default" r:id="rId10"/>
      <w:footerReference w:type="default" r:id="rId11"/>
      <w:footnotePr>
        <w:numFmt w:val="lowerRoman"/>
      </w:footnotePr>
      <w:type w:val="continuous"/>
      <w:pgSz w:w="12240" w:h="15840"/>
      <w:pgMar w:top="1440" w:right="1440" w:bottom="108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AA" w:rsidRDefault="00B516AA" w:rsidP="00C71B88">
      <w:r>
        <w:separator/>
      </w:r>
    </w:p>
  </w:endnote>
  <w:endnote w:type="continuationSeparator" w:id="0">
    <w:p w:rsidR="00B516AA" w:rsidRDefault="00B516AA"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isaSansOT">
    <w:panose1 w:val="00000000000000000000"/>
    <w:charset w:val="00"/>
    <w:family w:val="swiss"/>
    <w:notTrueType/>
    <w:pitch w:val="variable"/>
    <w:sig w:usb0="800000EF" w:usb1="4000207B" w:usb2="00000008"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2A" w:rsidRPr="001D4E61" w:rsidRDefault="00F577A3" w:rsidP="00973B56">
    <w:pPr>
      <w:pStyle w:val="Footer"/>
      <w:spacing w:after="0"/>
      <w:jc w:val="center"/>
      <w:rPr>
        <w:rFonts w:asciiTheme="minorHAnsi" w:hAnsiTheme="minorHAnsi"/>
      </w:rPr>
    </w:pPr>
    <w:r w:rsidRPr="001D4E61">
      <w:rPr>
        <w:rFonts w:asciiTheme="minorHAnsi" w:hAnsiTheme="minorHAnsi"/>
      </w:rPr>
      <w:fldChar w:fldCharType="begin"/>
    </w:r>
    <w:r w:rsidRPr="001D4E61">
      <w:rPr>
        <w:rFonts w:asciiTheme="minorHAnsi" w:hAnsiTheme="minorHAnsi"/>
      </w:rPr>
      <w:instrText xml:space="preserve"> PAGE   \* MERGEFORMAT </w:instrText>
    </w:r>
    <w:r w:rsidRPr="001D4E61">
      <w:rPr>
        <w:rFonts w:asciiTheme="minorHAnsi" w:hAnsiTheme="minorHAnsi"/>
      </w:rPr>
      <w:fldChar w:fldCharType="separate"/>
    </w:r>
    <w:r w:rsidR="002E0D15">
      <w:rPr>
        <w:rFonts w:asciiTheme="minorHAnsi" w:hAnsiTheme="minorHAnsi"/>
        <w:noProof/>
      </w:rPr>
      <w:t>2</w:t>
    </w:r>
    <w:r w:rsidRPr="001D4E61">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AA" w:rsidRDefault="00B516AA" w:rsidP="00973B56">
      <w:pPr>
        <w:spacing w:before="120" w:after="120"/>
      </w:pPr>
      <w:r>
        <w:separator/>
      </w:r>
    </w:p>
  </w:footnote>
  <w:footnote w:type="continuationSeparator" w:id="0">
    <w:p w:rsidR="00B516AA" w:rsidRDefault="00B516AA" w:rsidP="00C71B88">
      <w:r>
        <w:continuationSeparator/>
      </w:r>
    </w:p>
  </w:footnote>
  <w:footnote w:id="1">
    <w:p w:rsidR="00967F2C" w:rsidRPr="007A2AFA" w:rsidRDefault="00967F2C" w:rsidP="00973B56">
      <w:pPr>
        <w:pStyle w:val="FootnoteText"/>
        <w:rPr>
          <w:rFonts w:asciiTheme="minorHAnsi" w:hAnsiTheme="minorHAnsi"/>
        </w:rPr>
      </w:pPr>
      <w:r w:rsidRPr="007A2AFA">
        <w:rPr>
          <w:rFonts w:asciiTheme="minorHAnsi" w:hAnsiTheme="minorHAnsi"/>
          <w:sz w:val="18"/>
          <w:vertAlign w:val="superscript"/>
        </w:rPr>
        <w:footnoteRef/>
      </w:r>
      <w:r w:rsidRPr="007A2AFA">
        <w:rPr>
          <w:rFonts w:asciiTheme="minorHAnsi" w:hAnsiTheme="minorHAnsi"/>
          <w:sz w:val="18"/>
          <w:vertAlign w:val="superscript"/>
        </w:rPr>
        <w:t xml:space="preserve"> </w:t>
      </w:r>
      <w:r w:rsidR="00973B56" w:rsidRPr="007A2AFA">
        <w:rPr>
          <w:rFonts w:asciiTheme="minorHAnsi" w:hAnsiTheme="minorHAnsi"/>
          <w:sz w:val="18"/>
        </w:rPr>
        <w:t xml:space="preserve">Developed based on </w:t>
      </w:r>
      <w:r w:rsidR="007A2AFA" w:rsidRPr="007A2AFA">
        <w:rPr>
          <w:rFonts w:asciiTheme="minorHAnsi" w:hAnsiTheme="minorHAnsi"/>
          <w:sz w:val="18"/>
        </w:rPr>
        <w:t>the *</w:t>
      </w:r>
      <w:r w:rsidR="00973B56" w:rsidRPr="007A2AFA">
        <w:rPr>
          <w:rFonts w:asciiTheme="minorHAnsi" w:hAnsiTheme="minorHAnsi"/>
          <w:sz w:val="18"/>
        </w:rPr>
        <w:t>May 17, 2013, Centers for Medicare &amp; Medicaid Services updated interpretive guidelines for hospital discharge planning (</w:t>
      </w:r>
      <w:hyperlink r:id="rId1" w:history="1">
        <w:r w:rsidR="002E0D15">
          <w:rPr>
            <w:rStyle w:val="Hyperlink"/>
            <w:rFonts w:asciiTheme="minorHAnsi" w:hAnsiTheme="minorHAnsi"/>
            <w:sz w:val="18"/>
          </w:rPr>
          <w:t>CMS Revision to State Operations Manual (SOM), Hospital Appendix A - Interpretive</w:t>
        </w:r>
      </w:hyperlink>
      <w:r w:rsidR="00973B56" w:rsidRPr="007A2AFA">
        <w:rPr>
          <w:rFonts w:asciiTheme="minorHAnsi" w:hAnsiTheme="minorHAnsi"/>
          <w:sz w:val="18"/>
        </w:rPr>
        <w:t>)</w:t>
      </w:r>
      <w:r w:rsidR="007A2AFA" w:rsidRPr="007A2AFA">
        <w:rPr>
          <w:rFonts w:asciiTheme="minorHAnsi" w:hAnsiTheme="minorHAnsi"/>
          <w:sz w:val="18"/>
        </w:rPr>
        <w:t xml:space="preserve"> and </w:t>
      </w:r>
      <w:r w:rsidR="007A2AFA" w:rsidRPr="007A2AFA">
        <w:rPr>
          <w:rFonts w:asciiTheme="minorHAnsi" w:hAnsiTheme="minorHAnsi"/>
          <w:sz w:val="18"/>
          <w:vertAlign w:val="superscript"/>
        </w:rPr>
        <w:t>†</w:t>
      </w:r>
      <w:r w:rsidR="00973B56" w:rsidRPr="007A2AFA">
        <w:rPr>
          <w:rFonts w:asciiTheme="minorHAnsi" w:hAnsiTheme="minorHAnsi"/>
          <w:sz w:val="18"/>
        </w:rPr>
        <w:t>November 2015 proposed CMS Discharge Planning Conditions of Participation (</w:t>
      </w:r>
      <w:hyperlink r:id="rId2" w:history="1">
        <w:r w:rsidR="002E0D15">
          <w:rPr>
            <w:rStyle w:val="Hyperlink"/>
            <w:rFonts w:asciiTheme="minorHAnsi" w:hAnsiTheme="minorHAnsi"/>
            <w:sz w:val="18"/>
          </w:rPr>
          <w:t>Medicare and Medicaid programs revision to requirements for discharge planning for hospitals</w:t>
        </w:r>
      </w:hyperlink>
      <w:r w:rsidR="00973B56" w:rsidRPr="007A2AFA">
        <w:rPr>
          <w:rFonts w:asciiTheme="minorHAnsi" w:hAnsi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2A" w:rsidRDefault="00334094" w:rsidP="00B250CB">
    <w:pPr>
      <w:pStyle w:val="Header"/>
      <w:spacing w:after="120"/>
      <w:jc w:val="center"/>
    </w:pPr>
    <w:r>
      <w:rPr>
        <w:noProof/>
      </w:rPr>
      <w:drawing>
        <wp:inline distT="0" distB="0" distL="0" distR="0" wp14:anchorId="25399423" wp14:editId="2CF4CC72">
          <wp:extent cx="5969635" cy="603885"/>
          <wp:effectExtent l="0" t="0" r="0" b="5715"/>
          <wp:docPr id="2" name="Picture 6" descr="Purple Aspire logo with title: Designing and Delivering Whole-Person Transitional Care: The Hospital Guide to Reducing Medicaid Readmissions" title="Aspi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635"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B2696EC"/>
    <w:lvl w:ilvl="0">
      <w:start w:val="1"/>
      <w:numFmt w:val="decimal"/>
      <w:pStyle w:val="ListNumber"/>
      <w:lvlText w:val="%1."/>
      <w:lvlJc w:val="left"/>
      <w:pPr>
        <w:tabs>
          <w:tab w:val="num" w:pos="360"/>
        </w:tabs>
        <w:ind w:left="360" w:hanging="360"/>
      </w:pPr>
      <w:rPr>
        <w:rFonts w:hint="default"/>
      </w:rPr>
    </w:lvl>
  </w:abstractNum>
  <w:abstractNum w:abstractNumId="1">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54C7E"/>
    <w:multiLevelType w:val="hybridMultilevel"/>
    <w:tmpl w:val="A5261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84A83"/>
    <w:multiLevelType w:val="hybridMultilevel"/>
    <w:tmpl w:val="9EF2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2C"/>
    <w:rsid w:val="000B5185"/>
    <w:rsid w:val="000E5D6D"/>
    <w:rsid w:val="001D4E61"/>
    <w:rsid w:val="001E591B"/>
    <w:rsid w:val="00264F72"/>
    <w:rsid w:val="002E0D15"/>
    <w:rsid w:val="00334094"/>
    <w:rsid w:val="003B122A"/>
    <w:rsid w:val="00400FC2"/>
    <w:rsid w:val="004E08AC"/>
    <w:rsid w:val="005B5B95"/>
    <w:rsid w:val="005C54B3"/>
    <w:rsid w:val="006362A1"/>
    <w:rsid w:val="0065130E"/>
    <w:rsid w:val="00655D0C"/>
    <w:rsid w:val="00666B28"/>
    <w:rsid w:val="006753D2"/>
    <w:rsid w:val="006D0EED"/>
    <w:rsid w:val="006D4BBE"/>
    <w:rsid w:val="00706AAD"/>
    <w:rsid w:val="007572F7"/>
    <w:rsid w:val="00772E19"/>
    <w:rsid w:val="007A2AFA"/>
    <w:rsid w:val="007E5CE1"/>
    <w:rsid w:val="00812265"/>
    <w:rsid w:val="00815DE2"/>
    <w:rsid w:val="00875857"/>
    <w:rsid w:val="00886A79"/>
    <w:rsid w:val="008C77E6"/>
    <w:rsid w:val="00905A28"/>
    <w:rsid w:val="00967F2C"/>
    <w:rsid w:val="00973B56"/>
    <w:rsid w:val="009E2D5E"/>
    <w:rsid w:val="00AD0FFB"/>
    <w:rsid w:val="00B250CB"/>
    <w:rsid w:val="00B516AA"/>
    <w:rsid w:val="00BF1EFE"/>
    <w:rsid w:val="00C36B77"/>
    <w:rsid w:val="00C370C4"/>
    <w:rsid w:val="00C64E10"/>
    <w:rsid w:val="00C71B88"/>
    <w:rsid w:val="00C9583B"/>
    <w:rsid w:val="00CC3093"/>
    <w:rsid w:val="00D20347"/>
    <w:rsid w:val="00D45819"/>
    <w:rsid w:val="00DC392F"/>
    <w:rsid w:val="00E90104"/>
    <w:rsid w:val="00F40FE2"/>
    <w:rsid w:val="00F4162C"/>
    <w:rsid w:val="00F577A3"/>
    <w:rsid w:val="00F620B5"/>
    <w:rsid w:val="00FA77A8"/>
    <w:rsid w:val="00FC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56"/>
    <w:pPr>
      <w:suppressAutoHyphens/>
      <w:autoSpaceDE w:val="0"/>
      <w:autoSpaceDN w:val="0"/>
      <w:adjustRightInd w:val="0"/>
      <w:spacing w:after="240"/>
      <w:textAlignment w:val="center"/>
    </w:pPr>
    <w:rPr>
      <w:rFonts w:ascii="Times New Roman" w:hAnsi="Times New Roman" w:cs="TisaOT"/>
      <w:color w:val="000000"/>
      <w:sz w:val="22"/>
      <w:szCs w:val="22"/>
    </w:rPr>
  </w:style>
  <w:style w:type="paragraph" w:styleId="Heading1">
    <w:name w:val="heading 1"/>
    <w:basedOn w:val="H1"/>
    <w:next w:val="Normal"/>
    <w:link w:val="Heading1Char"/>
    <w:uiPriority w:val="9"/>
    <w:qFormat/>
    <w:rsid w:val="00973B56"/>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C64E10"/>
    <w:pPr>
      <w:spacing w:after="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973B56"/>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C64E10"/>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973B56"/>
    <w:pPr>
      <w:spacing w:after="0"/>
      <w:jc w:val="center"/>
    </w:pPr>
    <w:rPr>
      <w:rFonts w:ascii="Arial Bold" w:hAnsi="Arial Bold"/>
    </w:rPr>
  </w:style>
  <w:style w:type="paragraph" w:customStyle="1" w:styleId="Table-main">
    <w:name w:val="Table-main"/>
    <w:basedOn w:val="TablemainTable"/>
    <w:link w:val="Table-mainChar"/>
    <w:qFormat/>
    <w:rsid w:val="00973B56"/>
    <w:pPr>
      <w:spacing w:after="0"/>
    </w:pPr>
    <w:rPr>
      <w:rFonts w:ascii="Arial" w:hAnsi="Arial"/>
      <w:color w:val="auto"/>
      <w:sz w:val="18"/>
      <w:szCs w:val="18"/>
    </w:rPr>
  </w:style>
  <w:style w:type="character" w:customStyle="1" w:styleId="TableH1TableChar">
    <w:name w:val="Table: H1 (Table) Char"/>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link w:val="Table-header"/>
    <w:rsid w:val="00973B56"/>
    <w:rPr>
      <w:rFonts w:ascii="Arial Bold" w:hAnsi="Arial Bold" w:cs="TisaSansOT-Bold"/>
      <w:b/>
      <w:bCs/>
      <w:caps/>
      <w:color w:val="FFFFFF"/>
      <w:sz w:val="18"/>
      <w:szCs w:val="18"/>
    </w:rPr>
  </w:style>
  <w:style w:type="character" w:customStyle="1" w:styleId="TablemainTableChar">
    <w:name w:val="Table: main (Table) Char"/>
    <w:link w:val="TablemainTable"/>
    <w:uiPriority w:val="99"/>
    <w:rsid w:val="001E591B"/>
    <w:rPr>
      <w:rFonts w:ascii="TisaSansOT" w:hAnsi="TisaSansOT" w:cs="TisaSansOT"/>
      <w:color w:val="000000"/>
    </w:rPr>
  </w:style>
  <w:style w:type="character" w:customStyle="1" w:styleId="Table-mainChar">
    <w:name w:val="Table-main Char"/>
    <w:link w:val="Table-main"/>
    <w:rsid w:val="00973B56"/>
    <w:rPr>
      <w:rFonts w:ascii="Arial" w:hAnsi="Arial" w:cs="TisaSansOT"/>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character" w:styleId="FootnoteReference">
    <w:name w:val="footnote reference"/>
    <w:uiPriority w:val="99"/>
    <w:unhideWhenUsed/>
    <w:rsid w:val="00C64E10"/>
    <w:rPr>
      <w:rFonts w:ascii="Times New Roman" w:hAnsi="Times New Roman"/>
      <w:color w:val="auto"/>
      <w:sz w:val="24"/>
      <w:vertAlign w:val="superscript"/>
    </w:rPr>
  </w:style>
  <w:style w:type="character" w:styleId="Hyperlink">
    <w:name w:val="Hyperlink"/>
    <w:uiPriority w:val="99"/>
    <w:unhideWhenUsed/>
    <w:rsid w:val="00967F2C"/>
    <w:rPr>
      <w:color w:val="0000FF"/>
      <w:u w:val="single"/>
    </w:rPr>
  </w:style>
  <w:style w:type="table" w:styleId="TableGrid">
    <w:name w:val="Table Grid"/>
    <w:basedOn w:val="TableNormal"/>
    <w:uiPriority w:val="59"/>
    <w:rsid w:val="009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967F2C"/>
    <w:pPr>
      <w:widowControl w:val="0"/>
      <w:numPr>
        <w:numId w:val="2"/>
      </w:numPr>
      <w:suppressAutoHyphens w:val="0"/>
      <w:autoSpaceDE/>
      <w:autoSpaceDN/>
      <w:adjustRightInd/>
      <w:spacing w:after="0" w:line="260" w:lineRule="atLeast"/>
      <w:contextualSpacing/>
      <w:textAlignment w:val="auto"/>
    </w:pPr>
    <w:rPr>
      <w:rFonts w:ascii="Verdana" w:hAnsi="Verdana" w:cs="Times New Roman"/>
      <w:color w:val="auto"/>
      <w:sz w:val="18"/>
    </w:rPr>
  </w:style>
  <w:style w:type="paragraph" w:customStyle="1" w:styleId="Summarytext">
    <w:name w:val="Summary text"/>
    <w:basedOn w:val="Normal"/>
    <w:link w:val="SummarytextChar"/>
    <w:qFormat/>
    <w:rsid w:val="00C64E10"/>
    <w:rPr>
      <w:sz w:val="20"/>
    </w:rPr>
  </w:style>
  <w:style w:type="character" w:customStyle="1" w:styleId="SummarytextChar">
    <w:name w:val="Summary text Char"/>
    <w:link w:val="Summarytext"/>
    <w:rsid w:val="00C64E10"/>
    <w:rPr>
      <w:rFonts w:ascii="Times New Roman" w:hAnsi="Times New Roman" w:cs="TisaOT"/>
      <w:color w:val="000000"/>
      <w:szCs w:val="22"/>
    </w:rPr>
  </w:style>
  <w:style w:type="character" w:styleId="CommentReference">
    <w:name w:val="annotation reference"/>
    <w:basedOn w:val="DefaultParagraphFont"/>
    <w:uiPriority w:val="99"/>
    <w:semiHidden/>
    <w:unhideWhenUsed/>
    <w:rsid w:val="00C64E10"/>
    <w:rPr>
      <w:sz w:val="16"/>
      <w:szCs w:val="16"/>
    </w:rPr>
  </w:style>
  <w:style w:type="paragraph" w:styleId="CommentText">
    <w:name w:val="annotation text"/>
    <w:basedOn w:val="Normal"/>
    <w:link w:val="CommentTextChar"/>
    <w:uiPriority w:val="99"/>
    <w:semiHidden/>
    <w:unhideWhenUsed/>
    <w:rsid w:val="00C64E10"/>
    <w:rPr>
      <w:sz w:val="20"/>
      <w:szCs w:val="20"/>
    </w:rPr>
  </w:style>
  <w:style w:type="character" w:customStyle="1" w:styleId="CommentTextChar">
    <w:name w:val="Comment Text Char"/>
    <w:basedOn w:val="DefaultParagraphFont"/>
    <w:link w:val="CommentText"/>
    <w:uiPriority w:val="99"/>
    <w:semiHidden/>
    <w:rsid w:val="00C64E10"/>
    <w:rPr>
      <w:rFonts w:ascii="Cambria" w:hAnsi="Cambria" w:cs="TisaOT"/>
      <w:color w:val="000000"/>
    </w:rPr>
  </w:style>
  <w:style w:type="paragraph" w:styleId="CommentSubject">
    <w:name w:val="annotation subject"/>
    <w:basedOn w:val="CommentText"/>
    <w:next w:val="CommentText"/>
    <w:link w:val="CommentSubjectChar"/>
    <w:uiPriority w:val="99"/>
    <w:semiHidden/>
    <w:unhideWhenUsed/>
    <w:rsid w:val="00C64E10"/>
    <w:rPr>
      <w:b/>
      <w:bCs/>
    </w:rPr>
  </w:style>
  <w:style w:type="character" w:customStyle="1" w:styleId="CommentSubjectChar">
    <w:name w:val="Comment Subject Char"/>
    <w:basedOn w:val="CommentTextChar"/>
    <w:link w:val="CommentSubject"/>
    <w:uiPriority w:val="99"/>
    <w:semiHidden/>
    <w:rsid w:val="00C64E10"/>
    <w:rPr>
      <w:rFonts w:ascii="Cambria" w:hAnsi="Cambria" w:cs="TisaOT"/>
      <w:b/>
      <w:bCs/>
      <w:color w:val="000000"/>
    </w:rPr>
  </w:style>
  <w:style w:type="paragraph" w:styleId="FootnoteText">
    <w:name w:val="footnote text"/>
    <w:basedOn w:val="Normal"/>
    <w:link w:val="FootnoteTextChar"/>
    <w:uiPriority w:val="99"/>
    <w:unhideWhenUsed/>
    <w:rsid w:val="00973B56"/>
    <w:pPr>
      <w:spacing w:after="0"/>
    </w:pPr>
    <w:rPr>
      <w:sz w:val="20"/>
      <w:szCs w:val="20"/>
    </w:rPr>
  </w:style>
  <w:style w:type="character" w:customStyle="1" w:styleId="FootnoteTextChar">
    <w:name w:val="Footnote Text Char"/>
    <w:basedOn w:val="DefaultParagraphFont"/>
    <w:link w:val="FootnoteText"/>
    <w:uiPriority w:val="99"/>
    <w:rsid w:val="00973B56"/>
    <w:rPr>
      <w:rFonts w:ascii="Times New Roman" w:hAnsi="Times New Roman" w:cs="TisaOT"/>
      <w:color w:val="000000"/>
    </w:rPr>
  </w:style>
  <w:style w:type="character" w:styleId="HTMLAcronym">
    <w:name w:val="HTML Acronym"/>
    <w:basedOn w:val="DefaultParagraphFont"/>
    <w:uiPriority w:val="99"/>
    <w:unhideWhenUsed/>
    <w:rsid w:val="00B2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56"/>
    <w:pPr>
      <w:suppressAutoHyphens/>
      <w:autoSpaceDE w:val="0"/>
      <w:autoSpaceDN w:val="0"/>
      <w:adjustRightInd w:val="0"/>
      <w:spacing w:after="240"/>
      <w:textAlignment w:val="center"/>
    </w:pPr>
    <w:rPr>
      <w:rFonts w:ascii="Times New Roman" w:hAnsi="Times New Roman" w:cs="TisaOT"/>
      <w:color w:val="000000"/>
      <w:sz w:val="22"/>
      <w:szCs w:val="22"/>
    </w:rPr>
  </w:style>
  <w:style w:type="paragraph" w:styleId="Heading1">
    <w:name w:val="heading 1"/>
    <w:basedOn w:val="H1"/>
    <w:next w:val="Normal"/>
    <w:link w:val="Heading1Char"/>
    <w:uiPriority w:val="9"/>
    <w:qFormat/>
    <w:rsid w:val="00973B56"/>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C64E10"/>
    <w:pPr>
      <w:spacing w:after="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973B56"/>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C64E10"/>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973B56"/>
    <w:pPr>
      <w:spacing w:after="0"/>
      <w:jc w:val="center"/>
    </w:pPr>
    <w:rPr>
      <w:rFonts w:ascii="Arial Bold" w:hAnsi="Arial Bold"/>
    </w:rPr>
  </w:style>
  <w:style w:type="paragraph" w:customStyle="1" w:styleId="Table-main">
    <w:name w:val="Table-main"/>
    <w:basedOn w:val="TablemainTable"/>
    <w:link w:val="Table-mainChar"/>
    <w:qFormat/>
    <w:rsid w:val="00973B56"/>
    <w:pPr>
      <w:spacing w:after="0"/>
    </w:pPr>
    <w:rPr>
      <w:rFonts w:ascii="Arial" w:hAnsi="Arial"/>
      <w:color w:val="auto"/>
      <w:sz w:val="18"/>
      <w:szCs w:val="18"/>
    </w:rPr>
  </w:style>
  <w:style w:type="character" w:customStyle="1" w:styleId="TableH1TableChar">
    <w:name w:val="Table: H1 (Table) Char"/>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link w:val="Table-header"/>
    <w:rsid w:val="00973B56"/>
    <w:rPr>
      <w:rFonts w:ascii="Arial Bold" w:hAnsi="Arial Bold" w:cs="TisaSansOT-Bold"/>
      <w:b/>
      <w:bCs/>
      <w:caps/>
      <w:color w:val="FFFFFF"/>
      <w:sz w:val="18"/>
      <w:szCs w:val="18"/>
    </w:rPr>
  </w:style>
  <w:style w:type="character" w:customStyle="1" w:styleId="TablemainTableChar">
    <w:name w:val="Table: main (Table) Char"/>
    <w:link w:val="TablemainTable"/>
    <w:uiPriority w:val="99"/>
    <w:rsid w:val="001E591B"/>
    <w:rPr>
      <w:rFonts w:ascii="TisaSansOT" w:hAnsi="TisaSansOT" w:cs="TisaSansOT"/>
      <w:color w:val="000000"/>
    </w:rPr>
  </w:style>
  <w:style w:type="character" w:customStyle="1" w:styleId="Table-mainChar">
    <w:name w:val="Table-main Char"/>
    <w:link w:val="Table-main"/>
    <w:rsid w:val="00973B56"/>
    <w:rPr>
      <w:rFonts w:ascii="Arial" w:hAnsi="Arial" w:cs="TisaSansOT"/>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character" w:styleId="FootnoteReference">
    <w:name w:val="footnote reference"/>
    <w:uiPriority w:val="99"/>
    <w:unhideWhenUsed/>
    <w:rsid w:val="00C64E10"/>
    <w:rPr>
      <w:rFonts w:ascii="Times New Roman" w:hAnsi="Times New Roman"/>
      <w:color w:val="auto"/>
      <w:sz w:val="24"/>
      <w:vertAlign w:val="superscript"/>
    </w:rPr>
  </w:style>
  <w:style w:type="character" w:styleId="Hyperlink">
    <w:name w:val="Hyperlink"/>
    <w:uiPriority w:val="99"/>
    <w:unhideWhenUsed/>
    <w:rsid w:val="00967F2C"/>
    <w:rPr>
      <w:color w:val="0000FF"/>
      <w:u w:val="single"/>
    </w:rPr>
  </w:style>
  <w:style w:type="table" w:styleId="TableGrid">
    <w:name w:val="Table Grid"/>
    <w:basedOn w:val="TableNormal"/>
    <w:uiPriority w:val="59"/>
    <w:rsid w:val="009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967F2C"/>
    <w:pPr>
      <w:widowControl w:val="0"/>
      <w:numPr>
        <w:numId w:val="2"/>
      </w:numPr>
      <w:suppressAutoHyphens w:val="0"/>
      <w:autoSpaceDE/>
      <w:autoSpaceDN/>
      <w:adjustRightInd/>
      <w:spacing w:after="0" w:line="260" w:lineRule="atLeast"/>
      <w:contextualSpacing/>
      <w:textAlignment w:val="auto"/>
    </w:pPr>
    <w:rPr>
      <w:rFonts w:ascii="Verdana" w:hAnsi="Verdana" w:cs="Times New Roman"/>
      <w:color w:val="auto"/>
      <w:sz w:val="18"/>
    </w:rPr>
  </w:style>
  <w:style w:type="paragraph" w:customStyle="1" w:styleId="Summarytext">
    <w:name w:val="Summary text"/>
    <w:basedOn w:val="Normal"/>
    <w:link w:val="SummarytextChar"/>
    <w:qFormat/>
    <w:rsid w:val="00C64E10"/>
    <w:rPr>
      <w:sz w:val="20"/>
    </w:rPr>
  </w:style>
  <w:style w:type="character" w:customStyle="1" w:styleId="SummarytextChar">
    <w:name w:val="Summary text Char"/>
    <w:link w:val="Summarytext"/>
    <w:rsid w:val="00C64E10"/>
    <w:rPr>
      <w:rFonts w:ascii="Times New Roman" w:hAnsi="Times New Roman" w:cs="TisaOT"/>
      <w:color w:val="000000"/>
      <w:szCs w:val="22"/>
    </w:rPr>
  </w:style>
  <w:style w:type="character" w:styleId="CommentReference">
    <w:name w:val="annotation reference"/>
    <w:basedOn w:val="DefaultParagraphFont"/>
    <w:uiPriority w:val="99"/>
    <w:semiHidden/>
    <w:unhideWhenUsed/>
    <w:rsid w:val="00C64E10"/>
    <w:rPr>
      <w:sz w:val="16"/>
      <w:szCs w:val="16"/>
    </w:rPr>
  </w:style>
  <w:style w:type="paragraph" w:styleId="CommentText">
    <w:name w:val="annotation text"/>
    <w:basedOn w:val="Normal"/>
    <w:link w:val="CommentTextChar"/>
    <w:uiPriority w:val="99"/>
    <w:semiHidden/>
    <w:unhideWhenUsed/>
    <w:rsid w:val="00C64E10"/>
    <w:rPr>
      <w:sz w:val="20"/>
      <w:szCs w:val="20"/>
    </w:rPr>
  </w:style>
  <w:style w:type="character" w:customStyle="1" w:styleId="CommentTextChar">
    <w:name w:val="Comment Text Char"/>
    <w:basedOn w:val="DefaultParagraphFont"/>
    <w:link w:val="CommentText"/>
    <w:uiPriority w:val="99"/>
    <w:semiHidden/>
    <w:rsid w:val="00C64E10"/>
    <w:rPr>
      <w:rFonts w:ascii="Cambria" w:hAnsi="Cambria" w:cs="TisaOT"/>
      <w:color w:val="000000"/>
    </w:rPr>
  </w:style>
  <w:style w:type="paragraph" w:styleId="CommentSubject">
    <w:name w:val="annotation subject"/>
    <w:basedOn w:val="CommentText"/>
    <w:next w:val="CommentText"/>
    <w:link w:val="CommentSubjectChar"/>
    <w:uiPriority w:val="99"/>
    <w:semiHidden/>
    <w:unhideWhenUsed/>
    <w:rsid w:val="00C64E10"/>
    <w:rPr>
      <w:b/>
      <w:bCs/>
    </w:rPr>
  </w:style>
  <w:style w:type="character" w:customStyle="1" w:styleId="CommentSubjectChar">
    <w:name w:val="Comment Subject Char"/>
    <w:basedOn w:val="CommentTextChar"/>
    <w:link w:val="CommentSubject"/>
    <w:uiPriority w:val="99"/>
    <w:semiHidden/>
    <w:rsid w:val="00C64E10"/>
    <w:rPr>
      <w:rFonts w:ascii="Cambria" w:hAnsi="Cambria" w:cs="TisaOT"/>
      <w:b/>
      <w:bCs/>
      <w:color w:val="000000"/>
    </w:rPr>
  </w:style>
  <w:style w:type="paragraph" w:styleId="FootnoteText">
    <w:name w:val="footnote text"/>
    <w:basedOn w:val="Normal"/>
    <w:link w:val="FootnoteTextChar"/>
    <w:uiPriority w:val="99"/>
    <w:unhideWhenUsed/>
    <w:rsid w:val="00973B56"/>
    <w:pPr>
      <w:spacing w:after="0"/>
    </w:pPr>
    <w:rPr>
      <w:sz w:val="20"/>
      <w:szCs w:val="20"/>
    </w:rPr>
  </w:style>
  <w:style w:type="character" w:customStyle="1" w:styleId="FootnoteTextChar">
    <w:name w:val="Footnote Text Char"/>
    <w:basedOn w:val="DefaultParagraphFont"/>
    <w:link w:val="FootnoteText"/>
    <w:uiPriority w:val="99"/>
    <w:rsid w:val="00973B56"/>
    <w:rPr>
      <w:rFonts w:ascii="Times New Roman" w:hAnsi="Times New Roman" w:cs="TisaOT"/>
      <w:color w:val="000000"/>
    </w:rPr>
  </w:style>
  <w:style w:type="character" w:styleId="HTMLAcronym">
    <w:name w:val="HTML Acronym"/>
    <w:basedOn w:val="DefaultParagraphFont"/>
    <w:uiPriority w:val="99"/>
    <w:unhideWhenUsed/>
    <w:rsid w:val="00B2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articles/2015/11/03/2015-27840/medicare-and-medicaid-programs-revisions-to-requirements-for-discharge-planning-for-hospitals" TargetMode="External"/><Relationship Id="rId1" Type="http://schemas.openxmlformats.org/officeDocument/2006/relationships/hyperlink" Target="https://www.cms.gov/Medicare/Provider-Enrollment-and-Certification/SurveyCertificationGenInfo/Downloads/Survey-and-Cert-Letter-13-3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enberg\AppData\Roaming\Microsoft\Templates\Hospital%20guide%20tools%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0CDC-A0D4-459F-BCF1-1763DCFE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Hospital guide tools 3.dotx</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Tool 10: Discharge Process Checklist</vt:lpstr>
    </vt:vector>
  </TitlesOfParts>
  <Company>John Snow Inc.</Company>
  <LinksUpToDate>false</LinksUpToDate>
  <CharactersWithSpaces>3728</CharactersWithSpaces>
  <SharedDoc>false</SharedDoc>
  <HLinks>
    <vt:vector size="12" baseType="variant">
      <vt:variant>
        <vt:i4>5111888</vt:i4>
      </vt:variant>
      <vt:variant>
        <vt:i4>3</vt:i4>
      </vt:variant>
      <vt:variant>
        <vt:i4>0</vt:i4>
      </vt:variant>
      <vt:variant>
        <vt:i4>5</vt:i4>
      </vt:variant>
      <vt:variant>
        <vt:lpwstr>https://www.federalregister.gov/articles/2015/11/03/2015-27840/medicare-and-medicaid-programs-revisions-to-requirements-for-discharge-planning-for-hospitals</vt:lpwstr>
      </vt:variant>
      <vt:variant>
        <vt:lpwstr/>
      </vt:variant>
      <vt:variant>
        <vt:i4>1572931</vt:i4>
      </vt:variant>
      <vt:variant>
        <vt:i4>0</vt:i4>
      </vt:variant>
      <vt:variant>
        <vt:i4>0</vt:i4>
      </vt:variant>
      <vt:variant>
        <vt:i4>5</vt:i4>
      </vt:variant>
      <vt:variant>
        <vt:lpwstr>https://www.cms.gov/Medicare/Provider-Enrollment-and-Certification/SurveyCertificationGenInfo/Downloads/Survey-and-Cert-Letter-13-32.pdf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10: Discharge Process Checklist</dc:title>
  <dc:subject>AHRQ Medicaid Readmissions Guide</dc:subject>
  <dc:creator>JSI</dc:creator>
  <cp:keywords>Aspire, Tools, Hospital Readmissions, Discharge Process, Checklist</cp:keywords>
  <cp:lastModifiedBy>JSI</cp:lastModifiedBy>
  <cp:revision>2</cp:revision>
  <dcterms:created xsi:type="dcterms:W3CDTF">2016-09-12T13:31:00Z</dcterms:created>
  <dcterms:modified xsi:type="dcterms:W3CDTF">2016-09-12T13:31:00Z</dcterms:modified>
</cp:coreProperties>
</file>