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B88" w:rsidRPr="005C54B3" w:rsidRDefault="00CC3093" w:rsidP="000B5185">
      <w:pPr>
        <w:pStyle w:val="Heading1"/>
        <w:rPr>
          <w:sz w:val="36"/>
        </w:rPr>
      </w:pPr>
      <w:r>
        <w:rPr>
          <w:noProof/>
          <w:color w:val="auto"/>
        </w:rPr>
        <w:drawing>
          <wp:inline distT="0" distB="0" distL="0" distR="0" wp14:anchorId="4E284C9A" wp14:editId="7B0F81D7">
            <wp:extent cx="731520" cy="731520"/>
            <wp:effectExtent l="0" t="0" r="0" b="0"/>
            <wp:docPr id="4" name="Picture 4" descr="Hammer and wrench tool symbol" title="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_icon.png"/>
                    <pic:cNvPicPr/>
                  </pic:nvPicPr>
                  <pic:blipFill>
                    <a:blip r:embed="rId8">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Pr="00CC3093">
        <w:t xml:space="preserve"> </w:t>
      </w:r>
      <w:r w:rsidR="005C54B3" w:rsidRPr="00655D0C">
        <w:rPr>
          <w:sz w:val="38"/>
          <w:szCs w:val="38"/>
        </w:rPr>
        <w:t xml:space="preserve">Tool </w:t>
      </w:r>
      <w:r w:rsidR="00325D88">
        <w:rPr>
          <w:sz w:val="38"/>
          <w:szCs w:val="38"/>
        </w:rPr>
        <w:t>3: Hospital Inventory Tool</w:t>
      </w:r>
    </w:p>
    <w:p w:rsidR="00DF2DD3" w:rsidRDefault="00DF2DD3" w:rsidP="00761C51">
      <w:pPr>
        <w:pStyle w:val="Heading3"/>
      </w:pPr>
      <w:bookmarkStart w:id="0" w:name="_GoBack"/>
      <w:bookmarkEnd w:id="0"/>
    </w:p>
    <w:p w:rsidR="00761C51" w:rsidRDefault="00761C51" w:rsidP="00761C51">
      <w:pPr>
        <w:pStyle w:val="Heading3"/>
      </w:pPr>
      <w:r w:rsidRPr="00760774">
        <w:t>Purpose</w:t>
      </w:r>
    </w:p>
    <w:p w:rsidR="00761C51" w:rsidRDefault="00761C51" w:rsidP="00761C51">
      <w:pPr>
        <w:pStyle w:val="Summarytext"/>
        <w:rPr>
          <w:rFonts w:asciiTheme="minorHAnsi" w:hAnsiTheme="minorHAnsi"/>
        </w:rPr>
      </w:pPr>
      <w:r w:rsidRPr="005E6DCF">
        <w:rPr>
          <w:rFonts w:asciiTheme="minorHAnsi" w:hAnsiTheme="minorHAnsi"/>
        </w:rPr>
        <w:t xml:space="preserve">Readmission reduction efforts at your hospital have likely proliferated over the past several years, and many of these efforts may have developed in isolation from each other. The purpose of this tool is to prompt a comprehensive inventory of all readmission reduction-related efforts and other operational assets that can contribute to achieving your readmission reduction aim. This inventory will help your strategic planning work to formulate a data-informed, multifaceted portfolio of strategies. </w:t>
      </w:r>
    </w:p>
    <w:p w:rsidR="005E6DCF" w:rsidRPr="005E6DCF" w:rsidRDefault="005E6DCF" w:rsidP="00761C51">
      <w:pPr>
        <w:pStyle w:val="Summarytext"/>
        <w:rPr>
          <w:rFonts w:asciiTheme="minorHAnsi" w:hAnsiTheme="minorHAnsi"/>
        </w:rPr>
      </w:pPr>
    </w:p>
    <w:p w:rsidR="00761C51" w:rsidRDefault="00761C51" w:rsidP="00761C51">
      <w:pPr>
        <w:pStyle w:val="Heading3"/>
      </w:pPr>
      <w:r w:rsidRPr="00325D88">
        <w:t>Description</w:t>
      </w:r>
    </w:p>
    <w:p w:rsidR="00761C51" w:rsidRDefault="00761C51" w:rsidP="00761C51">
      <w:pPr>
        <w:pStyle w:val="Summarytext"/>
        <w:rPr>
          <w:rFonts w:asciiTheme="minorHAnsi" w:hAnsiTheme="minorHAnsi"/>
        </w:rPr>
      </w:pPr>
      <w:r w:rsidRPr="005E6DCF">
        <w:rPr>
          <w:rFonts w:asciiTheme="minorHAnsi" w:hAnsiTheme="minorHAnsi"/>
        </w:rPr>
        <w:t xml:space="preserve">This tool prompts a comprehensive inventory of readmission reduction activity and related organizational and operational assets across departments, service lines, and units within the hospital. </w:t>
      </w:r>
    </w:p>
    <w:p w:rsidR="005E6DCF" w:rsidRPr="005E6DCF" w:rsidRDefault="005E6DCF" w:rsidP="00761C51">
      <w:pPr>
        <w:pStyle w:val="Summarytext"/>
        <w:rPr>
          <w:rFonts w:asciiTheme="minorHAnsi" w:hAnsiTheme="minorHAnsi"/>
        </w:rPr>
      </w:pPr>
    </w:p>
    <w:p w:rsidR="00761C51" w:rsidRDefault="00761C51" w:rsidP="00761C51">
      <w:pPr>
        <w:pStyle w:val="Heading3"/>
      </w:pPr>
      <w:r w:rsidRPr="00325D88">
        <w:t>Staff</w:t>
      </w:r>
    </w:p>
    <w:p w:rsidR="00761C51" w:rsidRDefault="00761C51" w:rsidP="00761C51">
      <w:pPr>
        <w:pStyle w:val="Summarytext"/>
        <w:rPr>
          <w:rFonts w:asciiTheme="minorHAnsi" w:hAnsiTheme="minorHAnsi"/>
        </w:rPr>
      </w:pPr>
      <w:r w:rsidRPr="005E6DCF">
        <w:rPr>
          <w:rFonts w:asciiTheme="minorHAnsi" w:hAnsiTheme="minorHAnsi"/>
        </w:rPr>
        <w:t xml:space="preserve">Day-to-day champion, in collaboration with readmission reduction team. Engage a variety of stakeholders across the organization, as you and your colleagues will have varying knowledge of what is going on at the hospital. </w:t>
      </w:r>
    </w:p>
    <w:p w:rsidR="005E6DCF" w:rsidRPr="005E6DCF" w:rsidRDefault="005E6DCF" w:rsidP="00761C51">
      <w:pPr>
        <w:pStyle w:val="Summarytext"/>
        <w:rPr>
          <w:rFonts w:asciiTheme="minorHAnsi" w:hAnsiTheme="minorHAnsi"/>
        </w:rPr>
      </w:pPr>
    </w:p>
    <w:p w:rsidR="00761C51" w:rsidRDefault="00761C51" w:rsidP="00761C51">
      <w:pPr>
        <w:pStyle w:val="Heading3"/>
      </w:pPr>
      <w:r w:rsidRPr="00325D88">
        <w:t xml:space="preserve">Time </w:t>
      </w:r>
      <w:r>
        <w:t>R</w:t>
      </w:r>
      <w:r w:rsidRPr="00325D88">
        <w:t>equired</w:t>
      </w:r>
    </w:p>
    <w:p w:rsidR="00761C51" w:rsidRDefault="00761C51" w:rsidP="00761C51">
      <w:pPr>
        <w:pStyle w:val="Summarytext"/>
        <w:rPr>
          <w:rFonts w:asciiTheme="minorHAnsi" w:hAnsiTheme="minorHAnsi"/>
        </w:rPr>
      </w:pPr>
      <w:r w:rsidRPr="005E6DCF">
        <w:rPr>
          <w:rFonts w:asciiTheme="minorHAnsi" w:hAnsiTheme="minorHAnsi"/>
        </w:rPr>
        <w:t xml:space="preserve">4 hours. Take no more than 2 weeks (2 meetings) to complete. </w:t>
      </w:r>
    </w:p>
    <w:p w:rsidR="005E6DCF" w:rsidRPr="005E6DCF" w:rsidRDefault="005E6DCF" w:rsidP="00761C51">
      <w:pPr>
        <w:pStyle w:val="Summarytext"/>
        <w:rPr>
          <w:rFonts w:asciiTheme="minorHAnsi" w:hAnsiTheme="minorHAnsi"/>
        </w:rPr>
      </w:pPr>
    </w:p>
    <w:p w:rsidR="00761C51" w:rsidRDefault="00761C51" w:rsidP="00761C51">
      <w:pPr>
        <w:pStyle w:val="Heading3"/>
      </w:pPr>
      <w:r>
        <w:t xml:space="preserve">Additional </w:t>
      </w:r>
      <w:r w:rsidR="005E6DCF">
        <w:t>Resource</w:t>
      </w:r>
    </w:p>
    <w:p w:rsidR="00761C51" w:rsidRPr="005E6DCF" w:rsidRDefault="00761C51" w:rsidP="00761C51">
      <w:pPr>
        <w:pStyle w:val="Summarytext"/>
        <w:rPr>
          <w:rFonts w:asciiTheme="minorHAnsi" w:hAnsiTheme="minorHAnsi"/>
        </w:rPr>
      </w:pPr>
      <w:r w:rsidRPr="005E6DCF">
        <w:rPr>
          <w:rFonts w:asciiTheme="minorHAnsi" w:hAnsiTheme="minorHAnsi"/>
        </w:rPr>
        <w:t xml:space="preserve">See Section 2 of the </w:t>
      </w:r>
      <w:r w:rsidRPr="005E6DCF">
        <w:rPr>
          <w:rFonts w:asciiTheme="minorHAnsi" w:hAnsiTheme="minorHAnsi"/>
          <w:i/>
        </w:rPr>
        <w:t>Hospital Guide to Reducing Medicaid Readmissions</w:t>
      </w:r>
      <w:r w:rsidRPr="005E6DCF">
        <w:rPr>
          <w:rFonts w:asciiTheme="minorHAnsi" w:hAnsiTheme="minorHAnsi"/>
        </w:rPr>
        <w:t xml:space="preserve"> for additional information.</w:t>
      </w:r>
    </w:p>
    <w:p w:rsidR="00F577A3" w:rsidRPr="00F577A3" w:rsidRDefault="00F577A3" w:rsidP="00F577A3"/>
    <w:p w:rsidR="00F577A3" w:rsidRDefault="00F577A3">
      <w:pPr>
        <w:suppressAutoHyphens w:val="0"/>
        <w:autoSpaceDE/>
        <w:autoSpaceDN/>
        <w:adjustRightInd/>
        <w:spacing w:after="0" w:line="240" w:lineRule="auto"/>
        <w:textAlignment w:val="auto"/>
        <w:rPr>
          <w:rFonts w:ascii="Calibri" w:hAnsi="Calibri" w:cs="TisaSansOT-Bold"/>
          <w:b/>
          <w:bCs/>
          <w:sz w:val="24"/>
        </w:rPr>
      </w:pPr>
      <w:r>
        <w:br w:type="page"/>
      </w:r>
    </w:p>
    <w:p w:rsidR="00F577A3" w:rsidRPr="004707D7" w:rsidRDefault="00325D88" w:rsidP="00811270">
      <w:pPr>
        <w:pStyle w:val="Heading1"/>
        <w:spacing w:after="0" w:line="240" w:lineRule="auto"/>
      </w:pPr>
      <w:r>
        <w:lastRenderedPageBreak/>
        <w:t xml:space="preserve">Tool 3: Hospital Inventory Tool </w:t>
      </w:r>
    </w:p>
    <w:p w:rsidR="00C22E03" w:rsidRPr="005E6DCF" w:rsidRDefault="00BB0AF6" w:rsidP="00811270">
      <w:pPr>
        <w:pStyle w:val="Table-main"/>
        <w:spacing w:after="120"/>
      </w:pPr>
      <w:r w:rsidRPr="005E6DCF">
        <w:rPr>
          <w:spacing w:val="5"/>
        </w:rPr>
        <w:t>You probably have</w:t>
      </w:r>
      <w:r w:rsidR="00C22E03" w:rsidRPr="005E6DCF">
        <w:rPr>
          <w:spacing w:val="5"/>
        </w:rPr>
        <w:t xml:space="preserve"> </w:t>
      </w:r>
      <w:r w:rsidR="00C22E03" w:rsidRPr="005E6DCF">
        <w:t>multiple types of readmission r</w:t>
      </w:r>
      <w:r w:rsidR="00C22E03" w:rsidRPr="005E6DCF">
        <w:rPr>
          <w:spacing w:val="1"/>
        </w:rPr>
        <w:t>ed</w:t>
      </w:r>
      <w:r w:rsidR="00C22E03" w:rsidRPr="005E6DCF">
        <w:t>uction</w:t>
      </w:r>
      <w:r w:rsidR="00C22E03" w:rsidRPr="005E6DCF">
        <w:rPr>
          <w:spacing w:val="-8"/>
        </w:rPr>
        <w:t xml:space="preserve"> </w:t>
      </w:r>
      <w:r w:rsidR="00C22E03" w:rsidRPr="005E6DCF">
        <w:t>activities underway</w:t>
      </w:r>
      <w:r w:rsidR="00C22E03" w:rsidRPr="005E6DCF">
        <w:rPr>
          <w:spacing w:val="-3"/>
        </w:rPr>
        <w:t xml:space="preserve"> </w:t>
      </w:r>
      <w:r w:rsidR="00C22E03" w:rsidRPr="005E6DCF">
        <w:t>at</w:t>
      </w:r>
      <w:r w:rsidR="00C22E03" w:rsidRPr="005E6DCF">
        <w:rPr>
          <w:spacing w:val="5"/>
        </w:rPr>
        <w:t xml:space="preserve"> </w:t>
      </w:r>
      <w:r w:rsidR="00C22E03" w:rsidRPr="005E6DCF">
        <w:t>your</w:t>
      </w:r>
      <w:r w:rsidR="00C22E03" w:rsidRPr="005E6DCF">
        <w:rPr>
          <w:spacing w:val="6"/>
        </w:rPr>
        <w:t xml:space="preserve"> </w:t>
      </w:r>
      <w:r w:rsidR="00C22E03" w:rsidRPr="005E6DCF">
        <w:t xml:space="preserve">hospital. </w:t>
      </w:r>
      <w:r w:rsidRPr="005E6DCF">
        <w:t>You probably also have</w:t>
      </w:r>
      <w:r w:rsidR="00C22E03" w:rsidRPr="005E6DCF">
        <w:t xml:space="preserve"> </w:t>
      </w:r>
      <w:r w:rsidRPr="005E6DCF">
        <w:t xml:space="preserve">access to </w:t>
      </w:r>
      <w:r w:rsidR="00C22E03" w:rsidRPr="005E6DCF">
        <w:t xml:space="preserve">“assets” relevant to a robust readmission reduction effort. </w:t>
      </w:r>
      <w:r w:rsidR="00C22E03" w:rsidRPr="005E6DCF">
        <w:rPr>
          <w:spacing w:val="-1"/>
        </w:rPr>
        <w:t>A</w:t>
      </w:r>
      <w:r w:rsidR="00C22E03" w:rsidRPr="005E6DCF">
        <w:t>n</w:t>
      </w:r>
      <w:r w:rsidR="00C22E03" w:rsidRPr="005E6DCF">
        <w:rPr>
          <w:spacing w:val="24"/>
        </w:rPr>
        <w:t xml:space="preserve"> </w:t>
      </w:r>
      <w:r w:rsidR="00C22E03" w:rsidRPr="005E6DCF">
        <w:t>inventory</w:t>
      </w:r>
      <w:r w:rsidR="00C22E03" w:rsidRPr="005E6DCF">
        <w:rPr>
          <w:spacing w:val="23"/>
        </w:rPr>
        <w:t xml:space="preserve"> </w:t>
      </w:r>
      <w:r w:rsidR="00C22E03" w:rsidRPr="005E6DCF">
        <w:t>of</w:t>
      </w:r>
      <w:r w:rsidR="00C22E03" w:rsidRPr="005E6DCF">
        <w:rPr>
          <w:spacing w:val="23"/>
        </w:rPr>
        <w:t xml:space="preserve"> </w:t>
      </w:r>
      <w:r w:rsidR="00C22E03" w:rsidRPr="005E6DCF">
        <w:t>readmission</w:t>
      </w:r>
      <w:r w:rsidR="00C22E03" w:rsidRPr="005E6DCF">
        <w:rPr>
          <w:spacing w:val="12"/>
        </w:rPr>
        <w:t xml:space="preserve"> </w:t>
      </w:r>
      <w:r w:rsidR="00C22E03" w:rsidRPr="005E6DCF">
        <w:t>red</w:t>
      </w:r>
      <w:r w:rsidR="00C22E03" w:rsidRPr="005E6DCF">
        <w:rPr>
          <w:spacing w:val="2"/>
        </w:rPr>
        <w:t>u</w:t>
      </w:r>
      <w:r w:rsidR="00C22E03" w:rsidRPr="005E6DCF">
        <w:t>ction</w:t>
      </w:r>
      <w:r w:rsidR="00C22E03" w:rsidRPr="005E6DCF">
        <w:rPr>
          <w:spacing w:val="19"/>
        </w:rPr>
        <w:t xml:space="preserve"> </w:t>
      </w:r>
      <w:r w:rsidR="00C22E03" w:rsidRPr="005E6DCF">
        <w:t>efforts</w:t>
      </w:r>
      <w:r w:rsidR="00C22E03" w:rsidRPr="005E6DCF">
        <w:rPr>
          <w:spacing w:val="24"/>
        </w:rPr>
        <w:t xml:space="preserve"> </w:t>
      </w:r>
      <w:r w:rsidR="00C22E03" w:rsidRPr="005E6DCF">
        <w:t xml:space="preserve">will reveal the administrative, clinical, </w:t>
      </w:r>
      <w:r w:rsidRPr="005E6DCF">
        <w:t>health information technology,</w:t>
      </w:r>
      <w:r w:rsidR="00C22E03" w:rsidRPr="005E6DCF">
        <w:t xml:space="preserve"> and other organizational assets already in place. Once you know what efforts and assets already exist, you can consider whether they are optimally aligned and coordinated. The inventory will also serve as an implicit gap-analysis of activities or assets not currently in place. You may identify the need to implement new practices as part of this process.  </w:t>
      </w:r>
    </w:p>
    <w:tbl>
      <w:tblPr>
        <w:tblStyle w:val="TableGrid"/>
        <w:tblW w:w="0" w:type="auto"/>
        <w:tblInd w:w="108" w:type="dxa"/>
        <w:tblLayout w:type="fixed"/>
        <w:tblCellMar>
          <w:top w:w="14" w:type="dxa"/>
          <w:left w:w="115" w:type="dxa"/>
          <w:bottom w:w="14" w:type="dxa"/>
          <w:right w:w="115" w:type="dxa"/>
        </w:tblCellMar>
        <w:tblLook w:val="04A0" w:firstRow="1" w:lastRow="0" w:firstColumn="1" w:lastColumn="0" w:noHBand="0" w:noVBand="1"/>
        <w:tblCaption w:val="Hospital Inventory Tool"/>
        <w:tblDescription w:val="List of Readmission Acitivities or Assets with checkboxes to indicate whether the activity or asset is present in the hospital and for which patients the activity or asset is meant to serve."/>
      </w:tblPr>
      <w:tblGrid>
        <w:gridCol w:w="7297"/>
        <w:gridCol w:w="1973"/>
      </w:tblGrid>
      <w:tr w:rsidR="00811270" w:rsidRPr="005E6DCF" w:rsidTr="005E6DCF">
        <w:trPr>
          <w:cantSplit/>
          <w:trHeight w:val="20"/>
          <w:tblHeader/>
        </w:trPr>
        <w:tc>
          <w:tcPr>
            <w:tcW w:w="7297" w:type="dxa"/>
            <w:shd w:val="clear" w:color="auto" w:fill="6B1D74" w:themeFill="accent1"/>
            <w:vAlign w:val="center"/>
          </w:tcPr>
          <w:p w:rsidR="00811270" w:rsidRPr="005E6DCF" w:rsidRDefault="00811270" w:rsidP="00811270">
            <w:pPr>
              <w:pStyle w:val="Table-header"/>
            </w:pPr>
            <w:r w:rsidRPr="005E6DCF">
              <w:t>Readmission Activity/Asset</w:t>
            </w:r>
          </w:p>
        </w:tc>
        <w:tc>
          <w:tcPr>
            <w:tcW w:w="1973" w:type="dxa"/>
            <w:shd w:val="clear" w:color="auto" w:fill="6B1D74" w:themeFill="accent1"/>
            <w:vAlign w:val="center"/>
          </w:tcPr>
          <w:p w:rsidR="00811270" w:rsidRPr="005E6DCF" w:rsidRDefault="00811270" w:rsidP="00811270">
            <w:pPr>
              <w:pStyle w:val="Table-header"/>
            </w:pPr>
            <w:r w:rsidRPr="005E6DCF">
              <w:t>For which patients?</w:t>
            </w:r>
          </w:p>
        </w:tc>
      </w:tr>
      <w:tr w:rsidR="00811270" w:rsidRPr="005E6DCF" w:rsidTr="005E6DCF">
        <w:trPr>
          <w:cantSplit/>
          <w:trHeight w:val="20"/>
        </w:trPr>
        <w:tc>
          <w:tcPr>
            <w:tcW w:w="7297" w:type="dxa"/>
          </w:tcPr>
          <w:p w:rsidR="00811270" w:rsidRPr="005E6DCF" w:rsidRDefault="00811270" w:rsidP="003850F3">
            <w:pPr>
              <w:pStyle w:val="TableH1Table"/>
            </w:pPr>
            <w:r w:rsidRPr="005E6DCF">
              <w:t>Administrative Activities/Assets</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811270">
            <w:pPr>
              <w:pStyle w:val="Table-main"/>
              <w:numPr>
                <w:ilvl w:val="0"/>
                <w:numId w:val="4"/>
              </w:numPr>
              <w:ind w:left="360"/>
            </w:pPr>
            <w:r w:rsidRPr="005E6DCF">
              <w:t>Specified readmission reduction aim</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3850F3">
            <w:pPr>
              <w:pStyle w:val="Table-main"/>
              <w:numPr>
                <w:ilvl w:val="0"/>
                <w:numId w:val="4"/>
              </w:numPr>
              <w:ind w:left="360"/>
            </w:pPr>
            <w:r w:rsidRPr="005E6DCF">
              <w:t>Executive/</w:t>
            </w:r>
            <w:r w:rsidR="003850F3" w:rsidRPr="005E6DCF">
              <w:t>b</w:t>
            </w:r>
            <w:r w:rsidRPr="005E6DCF">
              <w:t>oard</w:t>
            </w:r>
            <w:r w:rsidR="003850F3" w:rsidRPr="005E6DCF">
              <w:t>-</w:t>
            </w:r>
            <w:r w:rsidRPr="005E6DCF">
              <w:t>level support and champion</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811270">
            <w:pPr>
              <w:pStyle w:val="Table-main"/>
              <w:numPr>
                <w:ilvl w:val="0"/>
                <w:numId w:val="4"/>
              </w:numPr>
              <w:ind w:left="360"/>
            </w:pPr>
            <w:r w:rsidRPr="005E6DCF">
              <w:t>Readmission data analysis (internally derived or externally provided)</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811270">
            <w:pPr>
              <w:pStyle w:val="Table-main"/>
              <w:numPr>
                <w:ilvl w:val="0"/>
                <w:numId w:val="4"/>
              </w:numPr>
              <w:ind w:left="360"/>
            </w:pPr>
            <w:r w:rsidRPr="005E6DCF">
              <w:t>Monthly readmission rate tracking (internally derived or externally provided)</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811270">
            <w:pPr>
              <w:pStyle w:val="Table-main"/>
              <w:numPr>
                <w:ilvl w:val="0"/>
                <w:numId w:val="4"/>
              </w:numPr>
              <w:ind w:left="360"/>
            </w:pPr>
            <w:r w:rsidRPr="005E6DCF">
              <w:t>Periodic readmission case reviews and root cause analysis</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811270">
            <w:pPr>
              <w:pStyle w:val="Table-main"/>
              <w:numPr>
                <w:ilvl w:val="0"/>
                <w:numId w:val="4"/>
              </w:numPr>
              <w:ind w:left="360"/>
            </w:pPr>
            <w:r w:rsidRPr="005E6DCF">
              <w:t>Readmission activity implementation measurement and feedback (PDSA, audits, etc.)</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811270">
            <w:pPr>
              <w:pStyle w:val="Table-main"/>
              <w:numPr>
                <w:ilvl w:val="0"/>
                <w:numId w:val="4"/>
              </w:numPr>
              <w:ind w:left="360"/>
            </w:pPr>
            <w:r w:rsidRPr="005E6DCF">
              <w:t>Provider or unit performance measurement with feedback (audit, bonus, feedback, data, etc.)</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3850F3">
            <w:pPr>
              <w:pStyle w:val="Table-main"/>
              <w:numPr>
                <w:ilvl w:val="0"/>
                <w:numId w:val="4"/>
              </w:numPr>
              <w:ind w:left="360"/>
            </w:pPr>
            <w:r w:rsidRPr="005E6DCF">
              <w:t>Other:</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3850F3">
            <w:pPr>
              <w:pStyle w:val="TableH1Table"/>
            </w:pPr>
            <w:r w:rsidRPr="005E6DCF">
              <w:t>H</w:t>
            </w:r>
            <w:r w:rsidR="003850F3" w:rsidRPr="005E6DCF">
              <w:t xml:space="preserve">ealth </w:t>
            </w:r>
            <w:r w:rsidRPr="005E6DCF">
              <w:t>I</w:t>
            </w:r>
            <w:r w:rsidR="003850F3" w:rsidRPr="005E6DCF">
              <w:t xml:space="preserve">nformation </w:t>
            </w:r>
            <w:r w:rsidRPr="005E6DCF">
              <w:t>T</w:t>
            </w:r>
            <w:r w:rsidR="003850F3" w:rsidRPr="005E6DCF">
              <w:t>echnology</w:t>
            </w:r>
            <w:r w:rsidRPr="005E6DCF">
              <w:t xml:space="preserve"> Assets</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3850F3">
            <w:pPr>
              <w:pStyle w:val="Table-main"/>
              <w:numPr>
                <w:ilvl w:val="0"/>
                <w:numId w:val="4"/>
              </w:numPr>
              <w:ind w:left="360"/>
            </w:pPr>
            <w:r w:rsidRPr="005E6DCF">
              <w:t xml:space="preserve">Readmission </w:t>
            </w:r>
            <w:r w:rsidR="003850F3" w:rsidRPr="005E6DCF">
              <w:t>f</w:t>
            </w:r>
            <w:r w:rsidRPr="005E6DCF">
              <w:t>lag</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3850F3">
            <w:pPr>
              <w:pStyle w:val="Table-main"/>
              <w:numPr>
                <w:ilvl w:val="0"/>
                <w:numId w:val="4"/>
              </w:numPr>
              <w:ind w:left="360"/>
            </w:pPr>
            <w:r w:rsidRPr="005E6DCF">
              <w:t>Automated ID of patients with readmission risk factors/high risk of readmission</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3850F3">
            <w:pPr>
              <w:pStyle w:val="Table-main"/>
              <w:numPr>
                <w:ilvl w:val="0"/>
                <w:numId w:val="4"/>
              </w:numPr>
              <w:ind w:left="360"/>
            </w:pPr>
            <w:r w:rsidRPr="005E6DCF">
              <w:t>Automated consults for patients with high</w:t>
            </w:r>
            <w:r w:rsidR="003850F3" w:rsidRPr="005E6DCF">
              <w:t>-</w:t>
            </w:r>
            <w:r w:rsidRPr="005E6DCF">
              <w:t>risk features (social work, palliative care, etc.)</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3850F3">
            <w:pPr>
              <w:pStyle w:val="Table-main"/>
              <w:numPr>
                <w:ilvl w:val="0"/>
                <w:numId w:val="4"/>
              </w:numPr>
              <w:ind w:left="360"/>
            </w:pPr>
            <w:r w:rsidRPr="005E6DCF">
              <w:t xml:space="preserve">Automated notification of admission sent to </w:t>
            </w:r>
            <w:r w:rsidR="003850F3" w:rsidRPr="005E6DCF">
              <w:t>primary care provider</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3850F3">
            <w:pPr>
              <w:pStyle w:val="Table-main"/>
              <w:numPr>
                <w:ilvl w:val="0"/>
                <w:numId w:val="4"/>
              </w:numPr>
              <w:ind w:left="360"/>
            </w:pPr>
            <w:r w:rsidRPr="005E6DCF">
              <w:t>Electronic workflow prompts to support multistep transitional care processes over time</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811270">
            <w:pPr>
              <w:pStyle w:val="Table-main"/>
              <w:numPr>
                <w:ilvl w:val="0"/>
                <w:numId w:val="4"/>
              </w:numPr>
              <w:ind w:left="360"/>
            </w:pPr>
            <w:r w:rsidRPr="005E6DCF">
              <w:t>Automated appointment reminders (via phone, email, text, portal, or mail)</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3850F3">
            <w:pPr>
              <w:pStyle w:val="Table-main"/>
              <w:numPr>
                <w:ilvl w:val="0"/>
                <w:numId w:val="4"/>
              </w:numPr>
              <w:ind w:left="360"/>
            </w:pPr>
            <w:r w:rsidRPr="005E6DCF">
              <w:t>Other:</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3850F3">
            <w:pPr>
              <w:pStyle w:val="TableH1Table"/>
              <w:rPr>
                <w:rFonts w:ascii="Verdana" w:eastAsia="Corbel" w:hAnsi="Verdana" w:cs="Corbel"/>
                <w:spacing w:val="1"/>
              </w:rPr>
            </w:pPr>
            <w:r w:rsidRPr="005E6DCF">
              <w:t>Transitional Care Delivery Improvements</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3850F3" w:rsidP="003850F3">
            <w:pPr>
              <w:pStyle w:val="Table-main"/>
              <w:numPr>
                <w:ilvl w:val="0"/>
                <w:numId w:val="4"/>
              </w:numPr>
              <w:ind w:left="360"/>
            </w:pPr>
            <w:r w:rsidRPr="005E6DCF">
              <w:t xml:space="preserve">Assess </w:t>
            </w:r>
            <w:r w:rsidR="00811270" w:rsidRPr="005E6DCF">
              <w:t>“</w:t>
            </w:r>
            <w:r w:rsidRPr="005E6DCF">
              <w:t>w</w:t>
            </w:r>
            <w:r w:rsidR="00811270" w:rsidRPr="005E6DCF">
              <w:t>hole-person” or other clinical readmission risk</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811270">
            <w:pPr>
              <w:pStyle w:val="Table-main"/>
              <w:numPr>
                <w:ilvl w:val="0"/>
                <w:numId w:val="4"/>
              </w:numPr>
              <w:ind w:left="360"/>
            </w:pPr>
            <w:r w:rsidRPr="005E6DCF">
              <w:t>Identify the “learner” or care plan partner to include in education and discharge planning</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3850F3">
            <w:pPr>
              <w:pStyle w:val="Table-main"/>
              <w:numPr>
                <w:ilvl w:val="0"/>
                <w:numId w:val="4"/>
              </w:numPr>
              <w:ind w:left="360"/>
            </w:pPr>
            <w:r w:rsidRPr="005E6DCF">
              <w:t>U</w:t>
            </w:r>
            <w:r w:rsidR="003850F3" w:rsidRPr="005E6DCF">
              <w:t>se</w:t>
            </w:r>
            <w:r w:rsidRPr="005E6DCF">
              <w:t xml:space="preserve"> clinical pharmacists to enhance medication optimization, education, reconciliation</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811270">
            <w:pPr>
              <w:pStyle w:val="Table-main"/>
              <w:numPr>
                <w:ilvl w:val="0"/>
                <w:numId w:val="4"/>
              </w:numPr>
              <w:ind w:left="360"/>
            </w:pPr>
            <w:r w:rsidRPr="005E6DCF">
              <w:t>Use “teach-back” to improve patient/caregiver understanding of information</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3850F3">
            <w:pPr>
              <w:pStyle w:val="Table-main"/>
              <w:numPr>
                <w:ilvl w:val="0"/>
                <w:numId w:val="4"/>
              </w:numPr>
              <w:ind w:left="360"/>
            </w:pPr>
            <w:r w:rsidRPr="005E6DCF">
              <w:t xml:space="preserve">Schedule followup appointments prior to discharge </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3850F3">
            <w:pPr>
              <w:pStyle w:val="Table-main"/>
              <w:numPr>
                <w:ilvl w:val="0"/>
                <w:numId w:val="4"/>
              </w:numPr>
              <w:ind w:left="360"/>
            </w:pPr>
            <w:r w:rsidRPr="005E6DCF">
              <w:t>Conduct warm handoffs to postacute and/or community “receivers”</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3850F3">
            <w:pPr>
              <w:pStyle w:val="Table-main"/>
              <w:numPr>
                <w:ilvl w:val="0"/>
                <w:numId w:val="4"/>
              </w:numPr>
              <w:ind w:left="360"/>
            </w:pPr>
            <w:r w:rsidRPr="005E6DCF">
              <w:t>Conduct postdischarge followup calls (for patient satisfaction or followup purposes)</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3850F3">
            <w:pPr>
              <w:pStyle w:val="Table-main"/>
              <w:numPr>
                <w:ilvl w:val="0"/>
                <w:numId w:val="4"/>
              </w:numPr>
              <w:ind w:left="360"/>
            </w:pPr>
            <w:r w:rsidRPr="005E6DCF">
              <w:t>Other:</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3850F3">
            <w:pPr>
              <w:pStyle w:val="TableH1Table"/>
              <w:rPr>
                <w:rFonts w:ascii="Verdana" w:eastAsia="Corbel" w:hAnsi="Verdana" w:cs="Corbel"/>
              </w:rPr>
            </w:pPr>
            <w:r w:rsidRPr="005E6DCF">
              <w:t>Care Management Assets</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3850F3">
            <w:pPr>
              <w:pStyle w:val="Table-main"/>
              <w:numPr>
                <w:ilvl w:val="0"/>
                <w:numId w:val="4"/>
              </w:numPr>
              <w:ind w:left="360"/>
            </w:pPr>
            <w:r w:rsidRPr="005E6DCF">
              <w:t>Accountable care organization or other risk</w:t>
            </w:r>
            <w:r w:rsidR="003850F3" w:rsidRPr="005E6DCF">
              <w:t>-</w:t>
            </w:r>
            <w:r w:rsidRPr="005E6DCF">
              <w:t>based contract care management</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811270">
            <w:pPr>
              <w:pStyle w:val="Table-main"/>
              <w:numPr>
                <w:ilvl w:val="0"/>
                <w:numId w:val="4"/>
              </w:numPr>
              <w:ind w:left="360"/>
            </w:pPr>
            <w:r w:rsidRPr="005E6DCF">
              <w:t xml:space="preserve">Bundled payment episode management </w:t>
            </w:r>
          </w:p>
        </w:tc>
        <w:tc>
          <w:tcPr>
            <w:tcW w:w="1973" w:type="dxa"/>
          </w:tcPr>
          <w:p w:rsidR="00811270" w:rsidRPr="005E6DCF" w:rsidRDefault="00811270" w:rsidP="00811270">
            <w:pPr>
              <w:pStyle w:val="Table-main"/>
            </w:pPr>
          </w:p>
        </w:tc>
      </w:tr>
      <w:tr w:rsidR="00811270" w:rsidRPr="005E6DCF" w:rsidTr="005E6DCF">
        <w:trPr>
          <w:cantSplit/>
          <w:trHeight w:val="20"/>
        </w:trPr>
        <w:tc>
          <w:tcPr>
            <w:tcW w:w="7297" w:type="dxa"/>
          </w:tcPr>
          <w:p w:rsidR="00811270" w:rsidRPr="005E6DCF" w:rsidRDefault="00811270" w:rsidP="00811270">
            <w:pPr>
              <w:pStyle w:val="Table-main"/>
              <w:numPr>
                <w:ilvl w:val="0"/>
                <w:numId w:val="4"/>
              </w:numPr>
              <w:ind w:left="360"/>
            </w:pPr>
            <w:r w:rsidRPr="005E6DCF">
              <w:t>Disease-specific enhanced navigation or care management  (heart failure, cancer, HIV, etc</w:t>
            </w:r>
            <w:r w:rsidR="003850F3" w:rsidRPr="005E6DCF">
              <w:t>.</w:t>
            </w:r>
            <w:r w:rsidRPr="005E6DCF">
              <w:t>)</w:t>
            </w:r>
          </w:p>
        </w:tc>
        <w:tc>
          <w:tcPr>
            <w:tcW w:w="1973" w:type="dxa"/>
          </w:tcPr>
          <w:p w:rsidR="00811270" w:rsidRPr="005E6DCF" w:rsidRDefault="00811270" w:rsidP="008C5D34">
            <w:pPr>
              <w:pStyle w:val="Table-main"/>
            </w:pPr>
          </w:p>
        </w:tc>
      </w:tr>
      <w:tr w:rsidR="00811270" w:rsidRPr="005E6DCF" w:rsidTr="005E6DCF">
        <w:trPr>
          <w:cantSplit/>
          <w:trHeight w:val="20"/>
        </w:trPr>
        <w:tc>
          <w:tcPr>
            <w:tcW w:w="7297" w:type="dxa"/>
          </w:tcPr>
          <w:p w:rsidR="00811270" w:rsidRPr="005E6DCF" w:rsidRDefault="00811270" w:rsidP="003850F3">
            <w:pPr>
              <w:pStyle w:val="Table-main"/>
              <w:numPr>
                <w:ilvl w:val="0"/>
                <w:numId w:val="4"/>
              </w:numPr>
              <w:ind w:left="360"/>
            </w:pPr>
            <w:r w:rsidRPr="005E6DCF">
              <w:t>High</w:t>
            </w:r>
            <w:r w:rsidR="003850F3" w:rsidRPr="005E6DCF">
              <w:t>-</w:t>
            </w:r>
            <w:r w:rsidRPr="005E6DCF">
              <w:t>risk transitional care management (30-day transitional care services)</w:t>
            </w:r>
          </w:p>
        </w:tc>
        <w:tc>
          <w:tcPr>
            <w:tcW w:w="1973" w:type="dxa"/>
          </w:tcPr>
          <w:p w:rsidR="00811270" w:rsidRPr="005E6DCF" w:rsidRDefault="00811270" w:rsidP="008C5D34">
            <w:pPr>
              <w:pStyle w:val="Table-main"/>
            </w:pPr>
          </w:p>
        </w:tc>
      </w:tr>
      <w:tr w:rsidR="00811270" w:rsidRPr="005E6DCF" w:rsidTr="005E6DCF">
        <w:trPr>
          <w:cantSplit/>
          <w:trHeight w:val="20"/>
        </w:trPr>
        <w:tc>
          <w:tcPr>
            <w:tcW w:w="7297" w:type="dxa"/>
          </w:tcPr>
          <w:p w:rsidR="00811270" w:rsidRPr="005E6DCF" w:rsidRDefault="00811270" w:rsidP="00C83B25">
            <w:pPr>
              <w:pStyle w:val="Table-main"/>
              <w:numPr>
                <w:ilvl w:val="0"/>
                <w:numId w:val="4"/>
              </w:numPr>
              <w:ind w:left="360"/>
            </w:pPr>
            <w:r w:rsidRPr="005E6DCF">
              <w:t>Other:</w:t>
            </w:r>
          </w:p>
        </w:tc>
        <w:tc>
          <w:tcPr>
            <w:tcW w:w="1973" w:type="dxa"/>
          </w:tcPr>
          <w:p w:rsidR="00811270" w:rsidRPr="005E6DCF" w:rsidRDefault="00811270" w:rsidP="008C5D34">
            <w:pPr>
              <w:pStyle w:val="Table-main"/>
            </w:pPr>
          </w:p>
        </w:tc>
      </w:tr>
      <w:tr w:rsidR="00811270" w:rsidRPr="005E6DCF" w:rsidTr="005E6DCF">
        <w:trPr>
          <w:cantSplit/>
          <w:trHeight w:val="20"/>
        </w:trPr>
        <w:tc>
          <w:tcPr>
            <w:tcW w:w="7297" w:type="dxa"/>
          </w:tcPr>
          <w:p w:rsidR="00811270" w:rsidRPr="005E6DCF" w:rsidRDefault="00811270" w:rsidP="00730092">
            <w:pPr>
              <w:pStyle w:val="TableH1Table"/>
              <w:rPr>
                <w:rFonts w:ascii="Verdana" w:eastAsia="Corbel" w:hAnsi="Verdana" w:cs="Corbel"/>
              </w:rPr>
            </w:pPr>
            <w:r w:rsidRPr="005E6DCF">
              <w:t>Cross-continuum Process Improvement Collaborations With:</w:t>
            </w:r>
          </w:p>
        </w:tc>
        <w:tc>
          <w:tcPr>
            <w:tcW w:w="1973" w:type="dxa"/>
          </w:tcPr>
          <w:p w:rsidR="00811270" w:rsidRPr="005E6DCF" w:rsidRDefault="00811270" w:rsidP="008C5D34">
            <w:pPr>
              <w:pStyle w:val="Table-main"/>
            </w:pPr>
          </w:p>
        </w:tc>
      </w:tr>
      <w:tr w:rsidR="00811270" w:rsidRPr="005E6DCF" w:rsidTr="005E6DCF">
        <w:trPr>
          <w:cantSplit/>
          <w:trHeight w:val="20"/>
        </w:trPr>
        <w:tc>
          <w:tcPr>
            <w:tcW w:w="7297" w:type="dxa"/>
          </w:tcPr>
          <w:p w:rsidR="00811270" w:rsidRPr="005E6DCF" w:rsidRDefault="00811270" w:rsidP="00C83B25">
            <w:pPr>
              <w:pStyle w:val="Table-main"/>
              <w:numPr>
                <w:ilvl w:val="0"/>
                <w:numId w:val="4"/>
              </w:numPr>
              <w:ind w:left="360"/>
            </w:pPr>
            <w:r w:rsidRPr="005E6DCF">
              <w:t xml:space="preserve">Skilled </w:t>
            </w:r>
            <w:r w:rsidR="003850F3" w:rsidRPr="005E6DCF">
              <w:t>n</w:t>
            </w:r>
            <w:r w:rsidRPr="005E6DCF">
              <w:t xml:space="preserve">ursing </w:t>
            </w:r>
            <w:r w:rsidR="003850F3" w:rsidRPr="005E6DCF">
              <w:t>f</w:t>
            </w:r>
            <w:r w:rsidRPr="005E6DCF">
              <w:t>acilities</w:t>
            </w:r>
          </w:p>
        </w:tc>
        <w:tc>
          <w:tcPr>
            <w:tcW w:w="1973" w:type="dxa"/>
          </w:tcPr>
          <w:p w:rsidR="00811270" w:rsidRPr="005E6DCF" w:rsidRDefault="00811270" w:rsidP="008C5D34">
            <w:pPr>
              <w:pStyle w:val="Table-main"/>
            </w:pPr>
          </w:p>
        </w:tc>
      </w:tr>
      <w:tr w:rsidR="00811270" w:rsidRPr="005E6DCF" w:rsidTr="005E6DCF">
        <w:trPr>
          <w:cantSplit/>
          <w:trHeight w:val="20"/>
        </w:trPr>
        <w:tc>
          <w:tcPr>
            <w:tcW w:w="7297" w:type="dxa"/>
          </w:tcPr>
          <w:p w:rsidR="00811270" w:rsidRPr="005E6DCF" w:rsidRDefault="00811270" w:rsidP="00C83B25">
            <w:pPr>
              <w:pStyle w:val="Table-main"/>
              <w:numPr>
                <w:ilvl w:val="0"/>
                <w:numId w:val="4"/>
              </w:numPr>
              <w:ind w:left="360"/>
            </w:pPr>
            <w:r w:rsidRPr="005E6DCF">
              <w:t xml:space="preserve">Medicaid </w:t>
            </w:r>
            <w:r w:rsidR="003850F3" w:rsidRPr="005E6DCF">
              <w:t>m</w:t>
            </w:r>
            <w:r w:rsidRPr="005E6DCF">
              <w:t xml:space="preserve">anaged </w:t>
            </w:r>
            <w:r w:rsidR="003850F3" w:rsidRPr="005E6DCF">
              <w:t>c</w:t>
            </w:r>
            <w:r w:rsidRPr="005E6DCF">
              <w:t xml:space="preserve">are </w:t>
            </w:r>
            <w:r w:rsidR="003850F3" w:rsidRPr="005E6DCF">
              <w:t>p</w:t>
            </w:r>
            <w:r w:rsidRPr="005E6DCF">
              <w:t>lans</w:t>
            </w:r>
          </w:p>
        </w:tc>
        <w:tc>
          <w:tcPr>
            <w:tcW w:w="1973" w:type="dxa"/>
          </w:tcPr>
          <w:p w:rsidR="00811270" w:rsidRPr="005E6DCF" w:rsidRDefault="00811270" w:rsidP="008C5D34">
            <w:pPr>
              <w:pStyle w:val="Table-main"/>
            </w:pPr>
          </w:p>
        </w:tc>
      </w:tr>
      <w:tr w:rsidR="00811270" w:rsidRPr="005E6DCF" w:rsidTr="005E6DCF">
        <w:trPr>
          <w:cantSplit/>
          <w:trHeight w:val="20"/>
        </w:trPr>
        <w:tc>
          <w:tcPr>
            <w:tcW w:w="7297" w:type="dxa"/>
          </w:tcPr>
          <w:p w:rsidR="00811270" w:rsidRPr="005E6DCF" w:rsidRDefault="00811270" w:rsidP="00811270">
            <w:pPr>
              <w:pStyle w:val="Table-main"/>
              <w:numPr>
                <w:ilvl w:val="0"/>
                <w:numId w:val="4"/>
              </w:numPr>
              <w:ind w:left="360"/>
            </w:pPr>
            <w:r w:rsidRPr="005E6DCF">
              <w:t>Community support service agencies</w:t>
            </w:r>
          </w:p>
        </w:tc>
        <w:tc>
          <w:tcPr>
            <w:tcW w:w="1973" w:type="dxa"/>
          </w:tcPr>
          <w:p w:rsidR="00811270" w:rsidRPr="005E6DCF" w:rsidRDefault="00811270" w:rsidP="008C5D34">
            <w:pPr>
              <w:pStyle w:val="Table-main"/>
            </w:pPr>
          </w:p>
        </w:tc>
      </w:tr>
      <w:tr w:rsidR="00811270" w:rsidRPr="005E6DCF" w:rsidTr="005E6DCF">
        <w:trPr>
          <w:cantSplit/>
          <w:trHeight w:val="20"/>
        </w:trPr>
        <w:tc>
          <w:tcPr>
            <w:tcW w:w="7297" w:type="dxa"/>
          </w:tcPr>
          <w:p w:rsidR="00811270" w:rsidRPr="005E6DCF" w:rsidRDefault="00811270" w:rsidP="00811270">
            <w:pPr>
              <w:pStyle w:val="Table-main"/>
              <w:numPr>
                <w:ilvl w:val="0"/>
                <w:numId w:val="4"/>
              </w:numPr>
              <w:ind w:left="360"/>
            </w:pPr>
            <w:r w:rsidRPr="005E6DCF">
              <w:t>Behavioral health providers</w:t>
            </w:r>
          </w:p>
        </w:tc>
        <w:tc>
          <w:tcPr>
            <w:tcW w:w="1973" w:type="dxa"/>
          </w:tcPr>
          <w:p w:rsidR="00811270" w:rsidRPr="005E6DCF" w:rsidRDefault="00811270" w:rsidP="008C5D34">
            <w:pPr>
              <w:pStyle w:val="Table-main"/>
            </w:pPr>
          </w:p>
        </w:tc>
      </w:tr>
      <w:tr w:rsidR="00811270" w:rsidRPr="005E6DCF" w:rsidTr="005E6DCF">
        <w:trPr>
          <w:cantSplit/>
          <w:trHeight w:val="20"/>
        </w:trPr>
        <w:tc>
          <w:tcPr>
            <w:tcW w:w="7297" w:type="dxa"/>
          </w:tcPr>
          <w:p w:rsidR="00811270" w:rsidRPr="005E6DCF" w:rsidRDefault="00811270" w:rsidP="00C83B25">
            <w:pPr>
              <w:pStyle w:val="Table-main"/>
              <w:numPr>
                <w:ilvl w:val="0"/>
                <w:numId w:val="4"/>
              </w:numPr>
              <w:ind w:left="360"/>
            </w:pPr>
            <w:r w:rsidRPr="005E6DCF">
              <w:t>Other:</w:t>
            </w:r>
          </w:p>
        </w:tc>
        <w:tc>
          <w:tcPr>
            <w:tcW w:w="1973" w:type="dxa"/>
          </w:tcPr>
          <w:p w:rsidR="00811270" w:rsidRPr="005E6DCF" w:rsidRDefault="00811270" w:rsidP="008C5D34">
            <w:pPr>
              <w:pStyle w:val="Table-main"/>
            </w:pPr>
          </w:p>
        </w:tc>
      </w:tr>
    </w:tbl>
    <w:p w:rsidR="00CC3093" w:rsidRPr="00DE1986" w:rsidRDefault="00CC3093" w:rsidP="00811270">
      <w:pPr>
        <w:tabs>
          <w:tab w:val="left" w:pos="2003"/>
        </w:tabs>
        <w:rPr>
          <w:sz w:val="2"/>
          <w:szCs w:val="2"/>
        </w:rPr>
      </w:pPr>
    </w:p>
    <w:sectPr w:rsidR="00CC3093" w:rsidRPr="00DE1986" w:rsidSect="00730092">
      <w:headerReference w:type="default" r:id="rId9"/>
      <w:footerReference w:type="default" r:id="rId10"/>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48F" w:rsidRDefault="0093748F" w:rsidP="00C71B88">
      <w:r>
        <w:separator/>
      </w:r>
    </w:p>
  </w:endnote>
  <w:endnote w:type="continuationSeparator" w:id="0">
    <w:p w:rsidR="0093748F" w:rsidRDefault="0093748F" w:rsidP="00C7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saOT">
    <w:panose1 w:val="00000000000000000000"/>
    <w:charset w:val="00"/>
    <w:family w:val="modern"/>
    <w:notTrueType/>
    <w:pitch w:val="variable"/>
    <w:sig w:usb0="800000EF" w:usb1="4000205B" w:usb2="00000008" w:usb3="00000000" w:csb0="00000001" w:csb1="00000000"/>
  </w:font>
  <w:font w:name="TisaSansOT-Bold">
    <w:panose1 w:val="00000000000000000000"/>
    <w:charset w:val="00"/>
    <w:family w:val="swiss"/>
    <w:notTrueType/>
    <w:pitch w:val="variable"/>
    <w:sig w:usb0="800000EF" w:usb1="4000207B" w:usb2="00000008" w:usb3="00000000" w:csb0="00000001" w:csb1="00000000"/>
  </w:font>
  <w:font w:name="TisaOT-BoldIta">
    <w:panose1 w:val="00000000000000000000"/>
    <w:charset w:val="00"/>
    <w:family w:val="modern"/>
    <w:notTrueType/>
    <w:pitch w:val="variable"/>
    <w:sig w:usb0="800000EF" w:usb1="4000205B" w:usb2="00000008" w:usb3="00000000" w:csb0="00000001" w:csb1="00000000"/>
  </w:font>
  <w:font w:name="Arial">
    <w:panose1 w:val="020B0604020202020204"/>
    <w:charset w:val="00"/>
    <w:family w:val="swiss"/>
    <w:pitch w:val="variable"/>
    <w:sig w:usb0="E0002AFF" w:usb1="C0007843" w:usb2="00000009" w:usb3="00000000" w:csb0="000001FF" w:csb1="00000000"/>
  </w:font>
  <w:font w:name="TisaSansOT">
    <w:panose1 w:val="00000000000000000000"/>
    <w:charset w:val="00"/>
    <w:family w:val="swiss"/>
    <w:notTrueType/>
    <w:pitch w:val="variable"/>
    <w:sig w:usb0="800000EF" w:usb1="4000207B" w:usb2="00000008"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185630"/>
      <w:docPartObj>
        <w:docPartGallery w:val="Page Numbers (Bottom of Page)"/>
        <w:docPartUnique/>
      </w:docPartObj>
    </w:sdtPr>
    <w:sdtEndPr>
      <w:rPr>
        <w:rFonts w:asciiTheme="minorHAnsi" w:hAnsiTheme="minorHAnsi"/>
        <w:noProof/>
      </w:rPr>
    </w:sdtEndPr>
    <w:sdtContent>
      <w:p w:rsidR="00F577A3" w:rsidRPr="005E6DCF" w:rsidRDefault="00F577A3" w:rsidP="00B940A3">
        <w:pPr>
          <w:pStyle w:val="Footer"/>
          <w:rPr>
            <w:rFonts w:asciiTheme="minorHAnsi" w:hAnsiTheme="minorHAnsi"/>
          </w:rPr>
        </w:pPr>
        <w:r w:rsidRPr="005E6DCF">
          <w:rPr>
            <w:rFonts w:asciiTheme="minorHAnsi" w:hAnsiTheme="minorHAnsi"/>
          </w:rPr>
          <w:fldChar w:fldCharType="begin"/>
        </w:r>
        <w:r w:rsidRPr="005E6DCF">
          <w:rPr>
            <w:rFonts w:asciiTheme="minorHAnsi" w:hAnsiTheme="minorHAnsi"/>
          </w:rPr>
          <w:instrText xml:space="preserve"> PAGE   \* MERGEFORMAT </w:instrText>
        </w:r>
        <w:r w:rsidRPr="005E6DCF">
          <w:rPr>
            <w:rFonts w:asciiTheme="minorHAnsi" w:hAnsiTheme="minorHAnsi"/>
          </w:rPr>
          <w:fldChar w:fldCharType="separate"/>
        </w:r>
        <w:r w:rsidR="000436BB">
          <w:rPr>
            <w:rFonts w:asciiTheme="minorHAnsi" w:hAnsiTheme="minorHAnsi"/>
            <w:noProof/>
          </w:rPr>
          <w:t>1</w:t>
        </w:r>
        <w:r w:rsidRPr="005E6DCF">
          <w:rPr>
            <w:rFonts w:asciiTheme="minorHAnsi" w:hAnsi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48F" w:rsidRDefault="0093748F" w:rsidP="00C71B88">
      <w:r>
        <w:separator/>
      </w:r>
    </w:p>
  </w:footnote>
  <w:footnote w:type="continuationSeparator" w:id="0">
    <w:p w:rsidR="0093748F" w:rsidRDefault="0093748F" w:rsidP="00C71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2A" w:rsidRDefault="00F577A3" w:rsidP="00655D0C">
    <w:pPr>
      <w:pStyle w:val="Header"/>
      <w:jc w:val="center"/>
    </w:pPr>
    <w:r>
      <w:rPr>
        <w:noProof/>
      </w:rPr>
      <w:drawing>
        <wp:inline distT="0" distB="0" distL="0" distR="0" wp14:anchorId="3F1713F2" wp14:editId="7364F624">
          <wp:extent cx="5966489" cy="604299"/>
          <wp:effectExtent l="0" t="0" r="0" b="5715"/>
          <wp:docPr id="6" name="Picture 6" descr="Title of Guide and Aspire logo " title="Designing and Delivering Whole-Person Transitional Care: The Hospital Guide to Reducing Medicaid Read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65515" cy="604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A60C8"/>
    <w:multiLevelType w:val="hybridMultilevel"/>
    <w:tmpl w:val="27705234"/>
    <w:lvl w:ilvl="0" w:tplc="CF74305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3483F"/>
    <w:multiLevelType w:val="hybridMultilevel"/>
    <w:tmpl w:val="F3EC321C"/>
    <w:lvl w:ilvl="0" w:tplc="647C568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D439F2"/>
    <w:multiLevelType w:val="hybridMultilevel"/>
    <w:tmpl w:val="84EA9C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6242E"/>
    <w:multiLevelType w:val="hybridMultilevel"/>
    <w:tmpl w:val="A3D224A0"/>
    <w:lvl w:ilvl="0" w:tplc="647C568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F01332"/>
    <w:multiLevelType w:val="hybridMultilevel"/>
    <w:tmpl w:val="2FF8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CE055A"/>
    <w:multiLevelType w:val="hybridMultilevel"/>
    <w:tmpl w:val="A10001C0"/>
    <w:lvl w:ilvl="0" w:tplc="647C568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2A"/>
    <w:rsid w:val="000436BB"/>
    <w:rsid w:val="000B5185"/>
    <w:rsid w:val="000E5D6D"/>
    <w:rsid w:val="00144AFC"/>
    <w:rsid w:val="00147E0B"/>
    <w:rsid w:val="001C0585"/>
    <w:rsid w:val="001E591B"/>
    <w:rsid w:val="0022363D"/>
    <w:rsid w:val="00265FF7"/>
    <w:rsid w:val="002D102B"/>
    <w:rsid w:val="00317CCC"/>
    <w:rsid w:val="00325D88"/>
    <w:rsid w:val="003850F3"/>
    <w:rsid w:val="003B122A"/>
    <w:rsid w:val="004201A1"/>
    <w:rsid w:val="004B1C06"/>
    <w:rsid w:val="005911B3"/>
    <w:rsid w:val="005C54B3"/>
    <w:rsid w:val="005E6DCF"/>
    <w:rsid w:val="0061254B"/>
    <w:rsid w:val="006362A1"/>
    <w:rsid w:val="00646BD6"/>
    <w:rsid w:val="00655D0C"/>
    <w:rsid w:val="006753D2"/>
    <w:rsid w:val="006C6963"/>
    <w:rsid w:val="006D0EED"/>
    <w:rsid w:val="00730092"/>
    <w:rsid w:val="00760774"/>
    <w:rsid w:val="00761C51"/>
    <w:rsid w:val="0077205F"/>
    <w:rsid w:val="00772E19"/>
    <w:rsid w:val="007B3CA7"/>
    <w:rsid w:val="00811270"/>
    <w:rsid w:val="008447E8"/>
    <w:rsid w:val="00887325"/>
    <w:rsid w:val="008A3ABF"/>
    <w:rsid w:val="008C6306"/>
    <w:rsid w:val="00917549"/>
    <w:rsid w:val="0093748F"/>
    <w:rsid w:val="00A17BE1"/>
    <w:rsid w:val="00A552A1"/>
    <w:rsid w:val="00AB674A"/>
    <w:rsid w:val="00B5331B"/>
    <w:rsid w:val="00B87A92"/>
    <w:rsid w:val="00B940A3"/>
    <w:rsid w:val="00BB0AF6"/>
    <w:rsid w:val="00C22E03"/>
    <w:rsid w:val="00C71B88"/>
    <w:rsid w:val="00C83B25"/>
    <w:rsid w:val="00C9583B"/>
    <w:rsid w:val="00CC3093"/>
    <w:rsid w:val="00D71476"/>
    <w:rsid w:val="00DB71CF"/>
    <w:rsid w:val="00DE1986"/>
    <w:rsid w:val="00DF2DD3"/>
    <w:rsid w:val="00DF65EB"/>
    <w:rsid w:val="00E641BC"/>
    <w:rsid w:val="00E90104"/>
    <w:rsid w:val="00EB77AF"/>
    <w:rsid w:val="00F1469C"/>
    <w:rsid w:val="00F53B54"/>
    <w:rsid w:val="00F552B7"/>
    <w:rsid w:val="00F577A3"/>
    <w:rsid w:val="00F81940"/>
    <w:rsid w:val="00F84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17243B-211F-4963-BB9C-703104E9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B88"/>
    <w:pPr>
      <w:suppressAutoHyphens/>
      <w:autoSpaceDE w:val="0"/>
      <w:autoSpaceDN w:val="0"/>
      <w:adjustRightInd w:val="0"/>
      <w:spacing w:after="180" w:line="288" w:lineRule="auto"/>
      <w:textAlignment w:val="center"/>
    </w:pPr>
    <w:rPr>
      <w:rFonts w:ascii="Cambria" w:hAnsi="Cambria" w:cs="TisaOT"/>
      <w:color w:val="000000"/>
      <w:sz w:val="22"/>
      <w:szCs w:val="22"/>
    </w:rPr>
  </w:style>
  <w:style w:type="paragraph" w:styleId="Heading1">
    <w:name w:val="heading 1"/>
    <w:basedOn w:val="H1"/>
    <w:next w:val="Normal"/>
    <w:link w:val="Heading1Char"/>
    <w:uiPriority w:val="9"/>
    <w:qFormat/>
    <w:rsid w:val="00C71B88"/>
    <w:pPr>
      <w:spacing w:after="120"/>
      <w:outlineLvl w:val="0"/>
    </w:pPr>
  </w:style>
  <w:style w:type="paragraph" w:styleId="Heading2">
    <w:name w:val="heading 2"/>
    <w:basedOn w:val="H2"/>
    <w:next w:val="Normal"/>
    <w:link w:val="Heading2Char"/>
    <w:uiPriority w:val="9"/>
    <w:unhideWhenUsed/>
    <w:qFormat/>
    <w:rsid w:val="00C71B88"/>
    <w:pPr>
      <w:outlineLvl w:val="1"/>
    </w:pPr>
    <w:rPr>
      <w:rFonts w:ascii="Cambria" w:hAnsi="Cambria"/>
    </w:rPr>
  </w:style>
  <w:style w:type="paragraph" w:styleId="Heading3">
    <w:name w:val="heading 3"/>
    <w:basedOn w:val="H3"/>
    <w:next w:val="Normal"/>
    <w:link w:val="Heading3Char"/>
    <w:uiPriority w:val="9"/>
    <w:unhideWhenUsed/>
    <w:qFormat/>
    <w:rsid w:val="00F53B54"/>
    <w:pPr>
      <w:spacing w:after="120" w:line="240" w:lineRule="auto"/>
      <w:outlineLvl w:val="2"/>
    </w:pPr>
    <w:rPr>
      <w:rFonts w:ascii="Arial" w:hAnsi="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22A"/>
    <w:pPr>
      <w:tabs>
        <w:tab w:val="center" w:pos="4680"/>
        <w:tab w:val="right" w:pos="9360"/>
      </w:tabs>
    </w:pPr>
  </w:style>
  <w:style w:type="character" w:customStyle="1" w:styleId="HeaderChar">
    <w:name w:val="Header Char"/>
    <w:link w:val="Header"/>
    <w:uiPriority w:val="99"/>
    <w:rsid w:val="003B122A"/>
    <w:rPr>
      <w:sz w:val="22"/>
      <w:szCs w:val="22"/>
    </w:rPr>
  </w:style>
  <w:style w:type="paragraph" w:styleId="Footer">
    <w:name w:val="footer"/>
    <w:basedOn w:val="Normal"/>
    <w:link w:val="FooterChar"/>
    <w:uiPriority w:val="99"/>
    <w:unhideWhenUsed/>
    <w:rsid w:val="00B940A3"/>
    <w:pPr>
      <w:tabs>
        <w:tab w:val="center" w:pos="4680"/>
        <w:tab w:val="right" w:pos="9360"/>
      </w:tabs>
      <w:spacing w:after="0" w:line="240" w:lineRule="auto"/>
      <w:jc w:val="center"/>
    </w:pPr>
    <w:rPr>
      <w:rFonts w:ascii="Times New Roman" w:hAnsi="Times New Roman"/>
      <w:color w:val="auto"/>
      <w:sz w:val="20"/>
    </w:rPr>
  </w:style>
  <w:style w:type="character" w:customStyle="1" w:styleId="FooterChar">
    <w:name w:val="Footer Char"/>
    <w:link w:val="Footer"/>
    <w:uiPriority w:val="99"/>
    <w:rsid w:val="00B940A3"/>
    <w:rPr>
      <w:rFonts w:ascii="Times New Roman" w:hAnsi="Times New Roman" w:cs="TisaOT"/>
      <w:szCs w:val="22"/>
    </w:rPr>
  </w:style>
  <w:style w:type="paragraph" w:customStyle="1" w:styleId="H1">
    <w:name w:val="H1"/>
    <w:basedOn w:val="Normal"/>
    <w:uiPriority w:val="99"/>
    <w:rsid w:val="003B122A"/>
    <w:rPr>
      <w:rFonts w:ascii="Calibri" w:hAnsi="Calibri" w:cs="TisaSansOT-Bold"/>
      <w:b/>
      <w:bCs/>
      <w:caps/>
      <w:color w:val="5C2472"/>
      <w:spacing w:val="-4"/>
      <w:sz w:val="40"/>
      <w:szCs w:val="40"/>
    </w:rPr>
  </w:style>
  <w:style w:type="paragraph" w:customStyle="1" w:styleId="H2">
    <w:name w:val="H2"/>
    <w:basedOn w:val="Normal"/>
    <w:uiPriority w:val="99"/>
    <w:rsid w:val="003B122A"/>
    <w:rPr>
      <w:rFonts w:ascii="TisaOT-BoldIta" w:hAnsi="TisaOT-BoldIta" w:cs="TisaOT-BoldIta"/>
      <w:b/>
      <w:bCs/>
      <w:i/>
      <w:iCs/>
      <w:color w:val="5C2472"/>
      <w:sz w:val="28"/>
      <w:szCs w:val="28"/>
    </w:rPr>
  </w:style>
  <w:style w:type="paragraph" w:customStyle="1" w:styleId="Main">
    <w:name w:val="Main"/>
    <w:basedOn w:val="Normal"/>
    <w:uiPriority w:val="99"/>
    <w:rsid w:val="003B122A"/>
    <w:rPr>
      <w:rFonts w:ascii="TisaOT" w:hAnsi="TisaOT"/>
    </w:rPr>
  </w:style>
  <w:style w:type="paragraph" w:customStyle="1" w:styleId="H3">
    <w:name w:val="H3"/>
    <w:basedOn w:val="Main"/>
    <w:uiPriority w:val="99"/>
    <w:rsid w:val="003B122A"/>
    <w:rPr>
      <w:rFonts w:ascii="TisaSansOT-Bold" w:hAnsi="TisaSansOT-Bold" w:cs="TisaSansOT-Bold"/>
      <w:b/>
      <w:bCs/>
    </w:rPr>
  </w:style>
  <w:style w:type="character" w:customStyle="1" w:styleId="Mainbold">
    <w:name w:val="Main: bold"/>
    <w:uiPriority w:val="99"/>
    <w:rsid w:val="003B122A"/>
    <w:rPr>
      <w:b/>
      <w:bCs/>
    </w:rPr>
  </w:style>
  <w:style w:type="character" w:customStyle="1" w:styleId="Heading1Char">
    <w:name w:val="Heading 1 Char"/>
    <w:link w:val="Heading1"/>
    <w:uiPriority w:val="9"/>
    <w:rsid w:val="00C71B88"/>
    <w:rPr>
      <w:rFonts w:cs="TisaSansOT-Bold"/>
      <w:b/>
      <w:bCs/>
      <w:caps/>
      <w:color w:val="5C2472"/>
      <w:spacing w:val="-4"/>
      <w:sz w:val="40"/>
      <w:szCs w:val="40"/>
    </w:rPr>
  </w:style>
  <w:style w:type="character" w:customStyle="1" w:styleId="Heading2Char">
    <w:name w:val="Heading 2 Char"/>
    <w:link w:val="Heading2"/>
    <w:uiPriority w:val="9"/>
    <w:rsid w:val="00C71B88"/>
    <w:rPr>
      <w:rFonts w:ascii="Cambria" w:hAnsi="Cambria" w:cs="TisaOT-BoldIta"/>
      <w:b/>
      <w:bCs/>
      <w:i/>
      <w:iCs/>
      <w:color w:val="5C2472"/>
      <w:sz w:val="28"/>
      <w:szCs w:val="28"/>
    </w:rPr>
  </w:style>
  <w:style w:type="character" w:customStyle="1" w:styleId="Heading3Char">
    <w:name w:val="Heading 3 Char"/>
    <w:link w:val="Heading3"/>
    <w:uiPriority w:val="9"/>
    <w:rsid w:val="00F53B54"/>
    <w:rPr>
      <w:rFonts w:ascii="Arial" w:hAnsi="Arial" w:cs="TisaSansOT-Bold"/>
      <w:b/>
      <w:bCs/>
      <w:sz w:val="22"/>
      <w:szCs w:val="22"/>
    </w:rPr>
  </w:style>
  <w:style w:type="paragraph" w:styleId="NoSpacing">
    <w:name w:val="No Spacing"/>
    <w:uiPriority w:val="1"/>
    <w:qFormat/>
    <w:rsid w:val="00C71B88"/>
    <w:pPr>
      <w:suppressAutoHyphens/>
      <w:autoSpaceDE w:val="0"/>
      <w:autoSpaceDN w:val="0"/>
      <w:adjustRightInd w:val="0"/>
      <w:textAlignment w:val="center"/>
    </w:pPr>
    <w:rPr>
      <w:rFonts w:ascii="Cambria" w:hAnsi="Cambria" w:cs="TisaOT"/>
      <w:color w:val="000000"/>
      <w:sz w:val="22"/>
      <w:szCs w:val="22"/>
    </w:rPr>
  </w:style>
  <w:style w:type="paragraph" w:customStyle="1" w:styleId="TableH1Table">
    <w:name w:val="Table: H1 (Table)"/>
    <w:basedOn w:val="Normal"/>
    <w:link w:val="TableH1TableChar"/>
    <w:uiPriority w:val="99"/>
    <w:rsid w:val="00730092"/>
    <w:pPr>
      <w:suppressAutoHyphens w:val="0"/>
      <w:spacing w:after="0" w:line="240" w:lineRule="auto"/>
    </w:pPr>
    <w:rPr>
      <w:rFonts w:asciiTheme="minorHAnsi" w:hAnsiTheme="minorHAnsi" w:cs="TisaSansOT-Bold"/>
      <w:b/>
      <w:bCs/>
      <w:caps/>
      <w:color w:val="auto"/>
      <w:sz w:val="18"/>
      <w:szCs w:val="18"/>
    </w:rPr>
  </w:style>
  <w:style w:type="paragraph" w:customStyle="1" w:styleId="TablemainTable">
    <w:name w:val="Table: main (Table)"/>
    <w:basedOn w:val="Normal"/>
    <w:link w:val="TablemainTableChar"/>
    <w:uiPriority w:val="99"/>
    <w:rsid w:val="00C71B88"/>
    <w:pPr>
      <w:suppressAutoHyphens w:val="0"/>
    </w:pPr>
    <w:rPr>
      <w:rFonts w:ascii="TisaSansOT" w:hAnsi="TisaSansOT" w:cs="TisaSansOT"/>
      <w:sz w:val="20"/>
      <w:szCs w:val="20"/>
    </w:rPr>
  </w:style>
  <w:style w:type="character" w:customStyle="1" w:styleId="Tablebold">
    <w:name w:val="Table: bold"/>
    <w:uiPriority w:val="99"/>
    <w:rsid w:val="00C71B88"/>
    <w:rPr>
      <w:b/>
      <w:bCs/>
    </w:rPr>
  </w:style>
  <w:style w:type="paragraph" w:customStyle="1" w:styleId="Table-header">
    <w:name w:val="Table-header"/>
    <w:basedOn w:val="TableH1Table"/>
    <w:link w:val="Table-headerChar"/>
    <w:qFormat/>
    <w:rsid w:val="00730092"/>
    <w:rPr>
      <w:rFonts w:ascii="Calibri" w:hAnsi="Calibri"/>
      <w:color w:val="FFFFFF" w:themeColor="background1"/>
    </w:rPr>
  </w:style>
  <w:style w:type="paragraph" w:customStyle="1" w:styleId="Table-main">
    <w:name w:val="Table-main"/>
    <w:basedOn w:val="TablemainTable"/>
    <w:link w:val="Table-mainChar"/>
    <w:qFormat/>
    <w:rsid w:val="00730092"/>
    <w:pPr>
      <w:spacing w:after="0" w:line="240" w:lineRule="auto"/>
    </w:pPr>
    <w:rPr>
      <w:rFonts w:ascii="Calibri" w:hAnsi="Calibri"/>
      <w:sz w:val="18"/>
      <w:szCs w:val="18"/>
    </w:rPr>
  </w:style>
  <w:style w:type="character" w:customStyle="1" w:styleId="TableH1TableChar">
    <w:name w:val="Table: H1 (Table) Char"/>
    <w:basedOn w:val="DefaultParagraphFont"/>
    <w:link w:val="TableH1Table"/>
    <w:uiPriority w:val="99"/>
    <w:rsid w:val="00730092"/>
    <w:rPr>
      <w:rFonts w:asciiTheme="minorHAnsi" w:hAnsiTheme="minorHAnsi" w:cs="TisaSansOT-Bold"/>
      <w:b/>
      <w:bCs/>
      <w:caps/>
      <w:sz w:val="18"/>
      <w:szCs w:val="18"/>
    </w:rPr>
  </w:style>
  <w:style w:type="character" w:customStyle="1" w:styleId="Table-headerChar">
    <w:name w:val="Table-header Char"/>
    <w:basedOn w:val="TableH1TableChar"/>
    <w:link w:val="Table-header"/>
    <w:rsid w:val="00730092"/>
    <w:rPr>
      <w:rFonts w:asciiTheme="minorHAnsi" w:hAnsiTheme="minorHAnsi" w:cs="TisaSansOT-Bold"/>
      <w:b/>
      <w:bCs/>
      <w:caps/>
      <w:color w:val="FFFFFF" w:themeColor="background1"/>
      <w:sz w:val="18"/>
      <w:szCs w:val="18"/>
    </w:rPr>
  </w:style>
  <w:style w:type="character" w:customStyle="1" w:styleId="TablemainTableChar">
    <w:name w:val="Table: main (Table) Char"/>
    <w:basedOn w:val="DefaultParagraphFont"/>
    <w:link w:val="TablemainTable"/>
    <w:uiPriority w:val="99"/>
    <w:rsid w:val="001E591B"/>
    <w:rPr>
      <w:rFonts w:ascii="TisaSansOT" w:hAnsi="TisaSansOT" w:cs="TisaSansOT"/>
      <w:color w:val="000000"/>
    </w:rPr>
  </w:style>
  <w:style w:type="character" w:customStyle="1" w:styleId="Table-mainChar">
    <w:name w:val="Table-main Char"/>
    <w:basedOn w:val="TablemainTableChar"/>
    <w:link w:val="Table-main"/>
    <w:rsid w:val="00730092"/>
    <w:rPr>
      <w:rFonts w:ascii="TisaSansOT" w:hAnsi="TisaSansOT" w:cs="TisaSansOT"/>
      <w:color w:val="000000"/>
      <w:sz w:val="18"/>
      <w:szCs w:val="18"/>
    </w:rPr>
  </w:style>
  <w:style w:type="paragraph" w:styleId="BalloonText">
    <w:name w:val="Balloon Text"/>
    <w:basedOn w:val="Normal"/>
    <w:link w:val="BalloonTextChar"/>
    <w:uiPriority w:val="99"/>
    <w:semiHidden/>
    <w:unhideWhenUsed/>
    <w:rsid w:val="00CC3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093"/>
    <w:rPr>
      <w:rFonts w:ascii="Tahoma" w:hAnsi="Tahoma" w:cs="Tahoma"/>
      <w:color w:val="000000"/>
      <w:sz w:val="16"/>
      <w:szCs w:val="16"/>
    </w:rPr>
  </w:style>
  <w:style w:type="paragraph" w:styleId="ListParagraph">
    <w:name w:val="List Paragraph"/>
    <w:basedOn w:val="Normal"/>
    <w:uiPriority w:val="34"/>
    <w:qFormat/>
    <w:rsid w:val="00F577A3"/>
    <w:pPr>
      <w:ind w:left="720"/>
      <w:contextualSpacing/>
    </w:pPr>
  </w:style>
  <w:style w:type="paragraph" w:customStyle="1" w:styleId="Summarytext">
    <w:name w:val="Summary text"/>
    <w:basedOn w:val="Normal"/>
    <w:link w:val="SummarytextChar"/>
    <w:qFormat/>
    <w:rsid w:val="00F53B54"/>
    <w:pPr>
      <w:spacing w:line="240" w:lineRule="auto"/>
    </w:pPr>
    <w:rPr>
      <w:rFonts w:ascii="Times New Roman" w:hAnsi="Times New Roman"/>
      <w:color w:val="auto"/>
      <w:sz w:val="20"/>
    </w:rPr>
  </w:style>
  <w:style w:type="character" w:customStyle="1" w:styleId="SummarytextChar">
    <w:name w:val="Summary text Char"/>
    <w:basedOn w:val="DefaultParagraphFont"/>
    <w:link w:val="Summarytext"/>
    <w:rsid w:val="00F53B54"/>
    <w:rPr>
      <w:rFonts w:ascii="Times New Roman" w:hAnsi="Times New Roman" w:cs="TisaOT"/>
      <w:szCs w:val="22"/>
    </w:rPr>
  </w:style>
  <w:style w:type="table" w:styleId="TableGrid">
    <w:name w:val="Table Grid"/>
    <w:basedOn w:val="TableNormal"/>
    <w:uiPriority w:val="59"/>
    <w:rsid w:val="00811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SPIRE-tools">
      <a:dk1>
        <a:sysClr val="windowText" lastClr="000000"/>
      </a:dk1>
      <a:lt1>
        <a:sysClr val="window" lastClr="FFFFFF"/>
      </a:lt1>
      <a:dk2>
        <a:srgbClr val="474C55"/>
      </a:dk2>
      <a:lt2>
        <a:srgbClr val="EFF1F5"/>
      </a:lt2>
      <a:accent1>
        <a:srgbClr val="6B1D74"/>
      </a:accent1>
      <a:accent2>
        <a:srgbClr val="F9B91B"/>
      </a:accent2>
      <a:accent3>
        <a:srgbClr val="8F99AA"/>
      </a:accent3>
      <a:accent4>
        <a:srgbClr val="915795"/>
      </a:accent4>
      <a:accent5>
        <a:srgbClr val="F5F0CD"/>
      </a:accent5>
      <a:accent6>
        <a:srgbClr val="F5F0CD"/>
      </a:accent6>
      <a:hlink>
        <a:srgbClr val="6B1D74"/>
      </a:hlink>
      <a:folHlink>
        <a:srgbClr val="6B1D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D6AAA-EB3C-4445-8CC4-3E691E833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Tool 3: Hospital Inventory Tool</vt:lpstr>
    </vt:vector>
  </TitlesOfParts>
  <Company>John Snow Inc.</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3: Hospital Inventory </dc:title>
  <dc:creator>Agency for Healthcare Research and Quality</dc:creator>
  <cp:keywords>ASPIRE, Readmissions, Hospital Inventory</cp:keywords>
  <cp:lastModifiedBy>Angel</cp:lastModifiedBy>
  <cp:revision>3</cp:revision>
  <dcterms:created xsi:type="dcterms:W3CDTF">2016-09-01T00:23:00Z</dcterms:created>
  <dcterms:modified xsi:type="dcterms:W3CDTF">2016-09-02T02:13:00Z</dcterms:modified>
</cp:coreProperties>
</file>