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B88" w:rsidRPr="005C54B3" w:rsidRDefault="00CC3093" w:rsidP="000B5185">
      <w:pPr>
        <w:pStyle w:val="Heading1"/>
        <w:rPr>
          <w:sz w:val="36"/>
        </w:rPr>
      </w:pPr>
      <w:bookmarkStart w:id="0" w:name="_GoBack"/>
      <w:bookmarkEnd w:id="0"/>
      <w:r>
        <w:rPr>
          <w:noProof/>
          <w:color w:val="auto"/>
        </w:rPr>
        <w:drawing>
          <wp:inline distT="0" distB="0" distL="0" distR="0" wp14:anchorId="0E0AE6DC" wp14:editId="53474D8D">
            <wp:extent cx="731520" cy="731520"/>
            <wp:effectExtent l="0" t="0" r="0" b="0"/>
            <wp:docPr id="4" name="Picture 4" descr="Hammer and wrench tool symbol" title="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ol_icon.png"/>
                    <pic:cNvPicPr/>
                  </pic:nvPicPr>
                  <pic:blipFill>
                    <a:blip r:embed="rId8">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inline>
        </w:drawing>
      </w:r>
      <w:r w:rsidRPr="00CC3093">
        <w:t xml:space="preserve"> </w:t>
      </w:r>
      <w:r w:rsidR="00BD4327">
        <w:rPr>
          <w:sz w:val="38"/>
          <w:szCs w:val="38"/>
        </w:rPr>
        <w:t>Tool 4</w:t>
      </w:r>
      <w:r w:rsidR="000E5D6D" w:rsidRPr="00655D0C">
        <w:rPr>
          <w:sz w:val="38"/>
          <w:szCs w:val="38"/>
        </w:rPr>
        <w:t xml:space="preserve">: </w:t>
      </w:r>
      <w:r w:rsidR="00655D0C" w:rsidRPr="00655D0C">
        <w:rPr>
          <w:sz w:val="38"/>
          <w:szCs w:val="38"/>
        </w:rPr>
        <w:t>C</w:t>
      </w:r>
      <w:r w:rsidR="00BD4327">
        <w:rPr>
          <w:sz w:val="38"/>
          <w:szCs w:val="38"/>
        </w:rPr>
        <w:t>ommunity Inventory TOol</w:t>
      </w:r>
    </w:p>
    <w:p w:rsidR="00863A25" w:rsidRDefault="00863A25" w:rsidP="00D920F5">
      <w:pPr>
        <w:pStyle w:val="Heading3"/>
      </w:pPr>
    </w:p>
    <w:p w:rsidR="00D920F5" w:rsidRDefault="00D920F5" w:rsidP="00D920F5">
      <w:pPr>
        <w:pStyle w:val="Heading3"/>
      </w:pPr>
      <w:r w:rsidRPr="00760774">
        <w:t>Purpose</w:t>
      </w:r>
    </w:p>
    <w:p w:rsidR="00D920F5" w:rsidRDefault="00D920F5" w:rsidP="00D920F5">
      <w:pPr>
        <w:pStyle w:val="Summarytext"/>
        <w:rPr>
          <w:rFonts w:asciiTheme="minorHAnsi" w:hAnsiTheme="minorHAnsi"/>
        </w:rPr>
      </w:pPr>
      <w:r w:rsidRPr="0004263F">
        <w:rPr>
          <w:rFonts w:asciiTheme="minorHAnsi" w:hAnsiTheme="minorHAnsi"/>
        </w:rPr>
        <w:t xml:space="preserve">Identify clinical, behavioral, and social service resources in the community that can improve posthospital care to reduce readmissions. The community inventory is complementary to the hospital inventory when developing a whole-person and data-informed portfolio of strategies to reduce readmissions. Knowing the resources that currently exist in the community is essential to effectively leveraging those resources through formal or informal collaborations. </w:t>
      </w:r>
    </w:p>
    <w:p w:rsidR="0004263F" w:rsidRPr="0004263F" w:rsidRDefault="0004263F" w:rsidP="00D920F5">
      <w:pPr>
        <w:pStyle w:val="Summarytext"/>
        <w:rPr>
          <w:rFonts w:asciiTheme="minorHAnsi" w:eastAsia="Century Gothic" w:hAnsiTheme="minorHAnsi" w:cs="Century Gothic"/>
          <w:color w:val="683C9A"/>
          <w:spacing w:val="-1"/>
        </w:rPr>
      </w:pPr>
    </w:p>
    <w:p w:rsidR="00D920F5" w:rsidRDefault="00D920F5" w:rsidP="00D920F5">
      <w:pPr>
        <w:pStyle w:val="Heading3"/>
      </w:pPr>
      <w:r>
        <w:t>Description</w:t>
      </w:r>
    </w:p>
    <w:p w:rsidR="00D920F5" w:rsidRDefault="00D920F5" w:rsidP="00D920F5">
      <w:pPr>
        <w:pStyle w:val="Summarytext"/>
        <w:rPr>
          <w:rFonts w:asciiTheme="minorHAnsi" w:hAnsiTheme="minorHAnsi"/>
        </w:rPr>
      </w:pPr>
      <w:r w:rsidRPr="0004263F">
        <w:rPr>
          <w:rFonts w:asciiTheme="minorHAnsi" w:hAnsiTheme="minorHAnsi"/>
        </w:rPr>
        <w:t>This tool prompts an inventory of community providers and agencies that provide services to meet the posthospital needs of patients so as to reduce readmissions.</w:t>
      </w:r>
    </w:p>
    <w:p w:rsidR="0004263F" w:rsidRPr="0004263F" w:rsidRDefault="0004263F" w:rsidP="00D920F5">
      <w:pPr>
        <w:pStyle w:val="Summarytext"/>
        <w:rPr>
          <w:rFonts w:asciiTheme="minorHAnsi" w:hAnsiTheme="minorHAnsi"/>
        </w:rPr>
      </w:pPr>
    </w:p>
    <w:p w:rsidR="00D920F5" w:rsidRDefault="00D920F5" w:rsidP="00D920F5">
      <w:pPr>
        <w:pStyle w:val="Heading3"/>
      </w:pPr>
      <w:r w:rsidRPr="0077615A">
        <w:t>Staff</w:t>
      </w:r>
    </w:p>
    <w:p w:rsidR="00D920F5" w:rsidRDefault="00D920F5" w:rsidP="00D920F5">
      <w:pPr>
        <w:pStyle w:val="Summarytext"/>
        <w:rPr>
          <w:rFonts w:asciiTheme="minorHAnsi" w:hAnsiTheme="minorHAnsi"/>
        </w:rPr>
      </w:pPr>
      <w:r w:rsidRPr="0004263F">
        <w:rPr>
          <w:rFonts w:asciiTheme="minorHAnsi" w:hAnsiTheme="minorHAnsi"/>
        </w:rPr>
        <w:t>Readmission reduction champion as a component of strategic planning; delegated to day-to-day lead or social worker to conduct in collaboration with community partners.</w:t>
      </w:r>
    </w:p>
    <w:p w:rsidR="0004263F" w:rsidRPr="0004263F" w:rsidRDefault="0004263F" w:rsidP="00D920F5">
      <w:pPr>
        <w:pStyle w:val="Summarytext"/>
        <w:rPr>
          <w:rFonts w:asciiTheme="minorHAnsi" w:hAnsiTheme="minorHAnsi"/>
          <w:i/>
        </w:rPr>
      </w:pPr>
    </w:p>
    <w:p w:rsidR="00D920F5" w:rsidRDefault="00D920F5" w:rsidP="00D920F5">
      <w:pPr>
        <w:pStyle w:val="Heading3"/>
      </w:pPr>
      <w:r>
        <w:t>Time Required</w:t>
      </w:r>
    </w:p>
    <w:p w:rsidR="00D920F5" w:rsidRDefault="00D920F5" w:rsidP="00D920F5">
      <w:pPr>
        <w:pStyle w:val="Summarytext"/>
        <w:rPr>
          <w:rFonts w:asciiTheme="minorHAnsi" w:hAnsiTheme="minorHAnsi"/>
        </w:rPr>
      </w:pPr>
      <w:r w:rsidRPr="0004263F">
        <w:rPr>
          <w:rFonts w:asciiTheme="minorHAnsi" w:hAnsiTheme="minorHAnsi"/>
        </w:rPr>
        <w:t>4 hours.</w:t>
      </w:r>
    </w:p>
    <w:p w:rsidR="0004263F" w:rsidRPr="0004263F" w:rsidRDefault="0004263F" w:rsidP="00D920F5">
      <w:pPr>
        <w:pStyle w:val="Summarytext"/>
        <w:rPr>
          <w:rFonts w:asciiTheme="minorHAnsi" w:hAnsiTheme="minorHAnsi"/>
        </w:rPr>
      </w:pPr>
    </w:p>
    <w:p w:rsidR="00D920F5" w:rsidRDefault="00D920F5" w:rsidP="00D920F5">
      <w:pPr>
        <w:pStyle w:val="Heading3"/>
      </w:pPr>
      <w:r>
        <w:t>Additional Resources</w:t>
      </w:r>
    </w:p>
    <w:p w:rsidR="00D920F5" w:rsidRPr="0004263F" w:rsidRDefault="00D920F5" w:rsidP="00D920F5">
      <w:pPr>
        <w:pStyle w:val="Summarytext"/>
        <w:rPr>
          <w:rFonts w:asciiTheme="minorHAnsi" w:hAnsiTheme="minorHAnsi"/>
        </w:rPr>
      </w:pPr>
      <w:r w:rsidRPr="0004263F">
        <w:rPr>
          <w:rFonts w:asciiTheme="minorHAnsi" w:hAnsiTheme="minorHAnsi"/>
        </w:rPr>
        <w:t xml:space="preserve">See Section 2 of the </w:t>
      </w:r>
      <w:r w:rsidRPr="0004263F">
        <w:rPr>
          <w:rFonts w:asciiTheme="minorHAnsi" w:hAnsiTheme="minorHAnsi"/>
          <w:i/>
        </w:rPr>
        <w:t>Hospital Guide to Reducing Medicaid Readmissions</w:t>
      </w:r>
      <w:r w:rsidRPr="0004263F">
        <w:rPr>
          <w:rFonts w:asciiTheme="minorHAnsi" w:hAnsiTheme="minorHAnsi"/>
        </w:rPr>
        <w:t xml:space="preserve"> and Tool 11: Community Resource Guide.</w:t>
      </w:r>
    </w:p>
    <w:p w:rsidR="00F577A3" w:rsidRPr="00F577A3" w:rsidRDefault="00F577A3" w:rsidP="00F577A3"/>
    <w:p w:rsidR="00F577A3" w:rsidRDefault="00F577A3">
      <w:pPr>
        <w:suppressAutoHyphens w:val="0"/>
        <w:autoSpaceDE/>
        <w:autoSpaceDN/>
        <w:adjustRightInd/>
        <w:spacing w:after="0"/>
        <w:textAlignment w:val="auto"/>
        <w:rPr>
          <w:rFonts w:ascii="Calibri" w:hAnsi="Calibri" w:cs="TisaSansOT-Bold"/>
          <w:b/>
          <w:bCs/>
        </w:rPr>
      </w:pPr>
      <w:r>
        <w:br w:type="page"/>
      </w:r>
    </w:p>
    <w:p w:rsidR="00F577A3" w:rsidRPr="004707D7" w:rsidRDefault="00BD4327" w:rsidP="0077205F">
      <w:pPr>
        <w:pStyle w:val="Heading1"/>
      </w:pPr>
      <w:r>
        <w:lastRenderedPageBreak/>
        <w:t>Tool 4: Community Inventory Tool</w:t>
      </w:r>
    </w:p>
    <w:p w:rsidR="00BD4327" w:rsidRPr="0004263F" w:rsidRDefault="00306589" w:rsidP="00BD4327">
      <w:pPr>
        <w:tabs>
          <w:tab w:val="left" w:pos="3381"/>
        </w:tabs>
        <w:rPr>
          <w:rFonts w:asciiTheme="minorHAnsi" w:hAnsiTheme="minorHAnsi"/>
        </w:rPr>
      </w:pPr>
      <w:r w:rsidRPr="0004263F">
        <w:rPr>
          <w:rFonts w:asciiTheme="minorHAnsi" w:hAnsiTheme="minorHAnsi"/>
        </w:rPr>
        <w:t>M</w:t>
      </w:r>
      <w:r w:rsidR="00BD4327" w:rsidRPr="0004263F">
        <w:rPr>
          <w:rFonts w:asciiTheme="minorHAnsi" w:hAnsiTheme="minorHAnsi"/>
        </w:rPr>
        <w:t>any resources in postacute and community</w:t>
      </w:r>
      <w:r w:rsidRPr="0004263F">
        <w:rPr>
          <w:rFonts w:asciiTheme="minorHAnsi" w:hAnsiTheme="minorHAnsi"/>
        </w:rPr>
        <w:t>-</w:t>
      </w:r>
      <w:r w:rsidR="00BD4327" w:rsidRPr="0004263F">
        <w:rPr>
          <w:rFonts w:asciiTheme="minorHAnsi" w:hAnsiTheme="minorHAnsi"/>
        </w:rPr>
        <w:t>based settings can be mobilized to support patients in the posthospital period. Too often, hospital</w:t>
      </w:r>
      <w:r w:rsidRPr="0004263F">
        <w:rPr>
          <w:rFonts w:asciiTheme="minorHAnsi" w:hAnsiTheme="minorHAnsi"/>
        </w:rPr>
        <w:t>-</w:t>
      </w:r>
      <w:r w:rsidR="00BD4327" w:rsidRPr="0004263F">
        <w:rPr>
          <w:rFonts w:asciiTheme="minorHAnsi" w:hAnsiTheme="minorHAnsi"/>
        </w:rPr>
        <w:t xml:space="preserve">based teams think there are few resources in the community, without periodically updating their understanding of what resources exist. </w:t>
      </w:r>
      <w:r w:rsidRPr="0004263F">
        <w:rPr>
          <w:rFonts w:asciiTheme="minorHAnsi" w:hAnsiTheme="minorHAnsi"/>
        </w:rPr>
        <w:t>The Centers for Medicare &amp; Medicaid Services (</w:t>
      </w:r>
      <w:r w:rsidR="00BD4327" w:rsidRPr="0004263F">
        <w:rPr>
          <w:rFonts w:asciiTheme="minorHAnsi" w:hAnsiTheme="minorHAnsi"/>
        </w:rPr>
        <w:t>CMS</w:t>
      </w:r>
      <w:r w:rsidRPr="0004263F">
        <w:rPr>
          <w:rFonts w:asciiTheme="minorHAnsi" w:hAnsiTheme="minorHAnsi"/>
        </w:rPr>
        <w:t>)</w:t>
      </w:r>
      <w:r w:rsidR="00BD4327" w:rsidRPr="0004263F">
        <w:rPr>
          <w:rFonts w:asciiTheme="minorHAnsi" w:hAnsiTheme="minorHAnsi"/>
        </w:rPr>
        <w:t xml:space="preserve"> specifically requires hospitals to know the capabilities of postacute and community-based resources, including Medicaid home and community</w:t>
      </w:r>
      <w:r w:rsidRPr="0004263F">
        <w:rPr>
          <w:rFonts w:asciiTheme="minorHAnsi" w:hAnsiTheme="minorHAnsi"/>
        </w:rPr>
        <w:t>-</w:t>
      </w:r>
      <w:r w:rsidR="00BD4327" w:rsidRPr="0004263F">
        <w:rPr>
          <w:rFonts w:asciiTheme="minorHAnsi" w:hAnsiTheme="minorHAnsi"/>
        </w:rPr>
        <w:t xml:space="preserve">based services. Specifically inquire whether timely postdischarge or transitional care services exist. Over the past several years, skilled nursing facilities, home health agencies, </w:t>
      </w:r>
      <w:r w:rsidRPr="0004263F">
        <w:rPr>
          <w:rFonts w:asciiTheme="minorHAnsi" w:hAnsiTheme="minorHAnsi"/>
        </w:rPr>
        <w:t xml:space="preserve">and </w:t>
      </w:r>
      <w:r w:rsidR="00BD4327" w:rsidRPr="0004263F">
        <w:rPr>
          <w:rFonts w:asciiTheme="minorHAnsi" w:hAnsiTheme="minorHAnsi"/>
        </w:rPr>
        <w:t xml:space="preserve">provider-based, payer-based, or community agency-based </w:t>
      </w:r>
      <w:r w:rsidRPr="0004263F">
        <w:rPr>
          <w:rFonts w:asciiTheme="minorHAnsi" w:hAnsiTheme="minorHAnsi"/>
        </w:rPr>
        <w:t>(</w:t>
      </w:r>
      <w:r w:rsidR="00BD4327" w:rsidRPr="0004263F">
        <w:rPr>
          <w:rFonts w:asciiTheme="minorHAnsi" w:hAnsiTheme="minorHAnsi"/>
        </w:rPr>
        <w:t>transitional or high risk</w:t>
      </w:r>
      <w:r w:rsidRPr="0004263F">
        <w:rPr>
          <w:rFonts w:asciiTheme="minorHAnsi" w:hAnsiTheme="minorHAnsi"/>
        </w:rPr>
        <w:t>)</w:t>
      </w:r>
      <w:r w:rsidR="00BD4327" w:rsidRPr="0004263F">
        <w:rPr>
          <w:rFonts w:asciiTheme="minorHAnsi" w:hAnsiTheme="minorHAnsi"/>
        </w:rPr>
        <w:t xml:space="preserve"> care management services have proliferated in response to delivery system transformation. </w:t>
      </w:r>
    </w:p>
    <w:p w:rsidR="00BD4327" w:rsidRPr="0004263F" w:rsidRDefault="00BD4327" w:rsidP="00BD4327">
      <w:pPr>
        <w:tabs>
          <w:tab w:val="left" w:pos="3381"/>
        </w:tabs>
        <w:rPr>
          <w:rFonts w:asciiTheme="minorHAnsi" w:hAnsiTheme="minorHAnsi"/>
        </w:rPr>
      </w:pPr>
      <w:r w:rsidRPr="0004263F">
        <w:rPr>
          <w:rFonts w:asciiTheme="minorHAnsi" w:hAnsiTheme="minorHAnsi"/>
        </w:rPr>
        <w:t>Use this tool to inventory clinical, behavioral</w:t>
      </w:r>
      <w:r w:rsidR="00306589" w:rsidRPr="0004263F">
        <w:rPr>
          <w:rFonts w:asciiTheme="minorHAnsi" w:hAnsiTheme="minorHAnsi"/>
        </w:rPr>
        <w:t>,</w:t>
      </w:r>
      <w:r w:rsidRPr="0004263F">
        <w:rPr>
          <w:rFonts w:asciiTheme="minorHAnsi" w:hAnsiTheme="minorHAnsi"/>
        </w:rPr>
        <w:t xml:space="preserve"> and social service resources in the community that could provide timely posthospital followup, monitoring, and assistance. Use this inventory to identify which resources your hospital regularly </w:t>
      </w:r>
      <w:r w:rsidR="00306589" w:rsidRPr="0004263F">
        <w:rPr>
          <w:rFonts w:asciiTheme="minorHAnsi" w:hAnsiTheme="minorHAnsi"/>
        </w:rPr>
        <w:t>uses</w:t>
      </w:r>
      <w:r w:rsidRPr="0004263F">
        <w:rPr>
          <w:rFonts w:asciiTheme="minorHAnsi" w:hAnsiTheme="minorHAnsi"/>
        </w:rPr>
        <w:t xml:space="preserve">. </w:t>
      </w:r>
      <w:r w:rsidR="00306589" w:rsidRPr="0004263F">
        <w:rPr>
          <w:rFonts w:asciiTheme="minorHAnsi" w:hAnsiTheme="minorHAnsi"/>
        </w:rPr>
        <w:t>Also u</w:t>
      </w:r>
      <w:r w:rsidRPr="0004263F">
        <w:rPr>
          <w:rFonts w:asciiTheme="minorHAnsi" w:hAnsiTheme="minorHAnsi"/>
        </w:rPr>
        <w:t xml:space="preserve">se this inventory as an implicit gap analysis to stimulate a consideration of providers or agencies you may </w:t>
      </w:r>
      <w:r w:rsidR="00306589" w:rsidRPr="0004263F">
        <w:rPr>
          <w:rFonts w:asciiTheme="minorHAnsi" w:hAnsiTheme="minorHAnsi"/>
        </w:rPr>
        <w:t>want</w:t>
      </w:r>
      <w:r w:rsidRPr="0004263F">
        <w:rPr>
          <w:rFonts w:asciiTheme="minorHAnsi" w:hAnsiTheme="minorHAnsi"/>
        </w:rPr>
        <w:t xml:space="preserve"> to more regularly </w:t>
      </w:r>
      <w:r w:rsidR="00306589" w:rsidRPr="0004263F">
        <w:rPr>
          <w:rFonts w:asciiTheme="minorHAnsi" w:hAnsiTheme="minorHAnsi"/>
        </w:rPr>
        <w:t>use</w:t>
      </w:r>
      <w:r w:rsidRPr="0004263F">
        <w:rPr>
          <w:rFonts w:asciiTheme="minorHAnsi" w:hAnsiTheme="minorHAnsi"/>
        </w:rPr>
        <w:t xml:space="preserve"> as part of your updated whole-person</w:t>
      </w:r>
      <w:r w:rsidR="00306589" w:rsidRPr="0004263F">
        <w:rPr>
          <w:rFonts w:asciiTheme="minorHAnsi" w:hAnsiTheme="minorHAnsi"/>
        </w:rPr>
        <w:t>,</w:t>
      </w:r>
      <w:r w:rsidRPr="0004263F">
        <w:rPr>
          <w:rFonts w:asciiTheme="minorHAnsi" w:hAnsiTheme="minorHAnsi"/>
        </w:rPr>
        <w:t xml:space="preserve"> data-informed portfolio of strategies. </w:t>
      </w:r>
    </w:p>
    <w:p w:rsidR="00BD4327" w:rsidRPr="0004263F" w:rsidRDefault="00BD4327" w:rsidP="00BD4327">
      <w:pPr>
        <w:tabs>
          <w:tab w:val="left" w:pos="3381"/>
        </w:tabs>
        <w:rPr>
          <w:rFonts w:asciiTheme="minorHAnsi" w:hAnsiTheme="minorHAnsi"/>
        </w:rPr>
      </w:pPr>
      <w:r w:rsidRPr="0004263F">
        <w:rPr>
          <w:rFonts w:asciiTheme="minorHAnsi" w:hAnsiTheme="minorHAnsi"/>
        </w:rPr>
        <w:t>Tip: You might use this inventory as a brief internal team review of the postacute and community providers with whom you most frequently collaborate to provide high</w:t>
      </w:r>
      <w:r w:rsidR="00306589" w:rsidRPr="0004263F">
        <w:rPr>
          <w:rFonts w:asciiTheme="minorHAnsi" w:hAnsiTheme="minorHAnsi"/>
        </w:rPr>
        <w:t>-</w:t>
      </w:r>
      <w:r w:rsidRPr="0004263F">
        <w:rPr>
          <w:rFonts w:asciiTheme="minorHAnsi" w:hAnsiTheme="minorHAnsi"/>
        </w:rPr>
        <w:t xml:space="preserve">quality transitional care and effective linkage to posthospital services. </w:t>
      </w:r>
      <w:r w:rsidR="00306589" w:rsidRPr="0004263F">
        <w:rPr>
          <w:rFonts w:asciiTheme="minorHAnsi" w:hAnsiTheme="minorHAnsi"/>
        </w:rPr>
        <w:t>Y</w:t>
      </w:r>
      <w:r w:rsidRPr="0004263F">
        <w:rPr>
          <w:rFonts w:asciiTheme="minorHAnsi" w:hAnsiTheme="minorHAnsi"/>
        </w:rPr>
        <w:t xml:space="preserve">our readmission reduction team can </w:t>
      </w:r>
      <w:r w:rsidR="00306589" w:rsidRPr="0004263F">
        <w:rPr>
          <w:rFonts w:asciiTheme="minorHAnsi" w:hAnsiTheme="minorHAnsi"/>
        </w:rPr>
        <w:t>probably</w:t>
      </w:r>
      <w:r w:rsidRPr="0004263F">
        <w:rPr>
          <w:rFonts w:asciiTheme="minorHAnsi" w:hAnsiTheme="minorHAnsi"/>
        </w:rPr>
        <w:t xml:space="preserve"> identify a handful of the below-listed providers or agencies</w:t>
      </w:r>
      <w:r w:rsidR="00306589" w:rsidRPr="0004263F">
        <w:rPr>
          <w:rFonts w:asciiTheme="minorHAnsi" w:hAnsiTheme="minorHAnsi"/>
        </w:rPr>
        <w:t>.</w:t>
      </w:r>
      <w:r w:rsidRPr="0004263F">
        <w:rPr>
          <w:rFonts w:asciiTheme="minorHAnsi" w:hAnsiTheme="minorHAnsi"/>
        </w:rPr>
        <w:t xml:space="preserve"> </w:t>
      </w:r>
      <w:r w:rsidR="00306589" w:rsidRPr="0004263F">
        <w:rPr>
          <w:rFonts w:asciiTheme="minorHAnsi" w:hAnsiTheme="minorHAnsi"/>
        </w:rPr>
        <w:t>T</w:t>
      </w:r>
      <w:r w:rsidRPr="0004263F">
        <w:rPr>
          <w:rFonts w:asciiTheme="minorHAnsi" w:hAnsiTheme="minorHAnsi"/>
        </w:rPr>
        <w:t xml:space="preserve">hat provides you with the information you need to have a gap analysis of what other resources to look for in the community. </w:t>
      </w:r>
    </w:p>
    <w:p w:rsidR="00CC3093" w:rsidRPr="0004263F" w:rsidRDefault="00BD4327" w:rsidP="00BD4327">
      <w:pPr>
        <w:tabs>
          <w:tab w:val="left" w:pos="3381"/>
        </w:tabs>
        <w:rPr>
          <w:rFonts w:asciiTheme="minorHAnsi" w:hAnsiTheme="minorHAnsi"/>
        </w:rPr>
      </w:pPr>
      <w:r w:rsidRPr="0004263F">
        <w:rPr>
          <w:rFonts w:asciiTheme="minorHAnsi" w:hAnsiTheme="minorHAnsi"/>
        </w:rPr>
        <w:t xml:space="preserve">Tip: Specifically </w:t>
      </w:r>
      <w:r w:rsidR="00306589" w:rsidRPr="0004263F">
        <w:rPr>
          <w:rFonts w:asciiTheme="minorHAnsi" w:hAnsiTheme="minorHAnsi"/>
        </w:rPr>
        <w:t>find</w:t>
      </w:r>
      <w:r w:rsidRPr="0004263F">
        <w:rPr>
          <w:rFonts w:asciiTheme="minorHAnsi" w:hAnsiTheme="minorHAnsi"/>
        </w:rPr>
        <w:t xml:space="preserve"> out whether you currently work with providers or agencies that address the needs of the target populations identified as high risk in your data analysis and readmission interviews. Consider:</w:t>
      </w:r>
    </w:p>
    <w:p w:rsidR="00BD4327" w:rsidRPr="0004263F" w:rsidRDefault="00BD4327" w:rsidP="00306589">
      <w:pPr>
        <w:pStyle w:val="ListBullet2"/>
        <w:rPr>
          <w:rFonts w:asciiTheme="minorHAnsi" w:hAnsiTheme="minorHAnsi"/>
        </w:rPr>
      </w:pPr>
      <w:r w:rsidRPr="0004263F">
        <w:rPr>
          <w:rFonts w:asciiTheme="minorHAnsi" w:hAnsiTheme="minorHAnsi"/>
        </w:rPr>
        <w:t xml:space="preserve">Medicaid resources: </w:t>
      </w:r>
      <w:r w:rsidR="00306589" w:rsidRPr="0004263F">
        <w:rPr>
          <w:rFonts w:asciiTheme="minorHAnsi" w:hAnsiTheme="minorHAnsi"/>
        </w:rPr>
        <w:t>Managed care organization</w:t>
      </w:r>
      <w:r w:rsidRPr="0004263F">
        <w:rPr>
          <w:rFonts w:asciiTheme="minorHAnsi" w:hAnsiTheme="minorHAnsi"/>
        </w:rPr>
        <w:t xml:space="preserve"> care managers, home and community</w:t>
      </w:r>
      <w:r w:rsidR="00306589" w:rsidRPr="0004263F">
        <w:rPr>
          <w:rFonts w:asciiTheme="minorHAnsi" w:hAnsiTheme="minorHAnsi"/>
        </w:rPr>
        <w:t>-</w:t>
      </w:r>
      <w:r w:rsidRPr="0004263F">
        <w:rPr>
          <w:rFonts w:asciiTheme="minorHAnsi" w:hAnsiTheme="minorHAnsi"/>
        </w:rPr>
        <w:t xml:space="preserve">based services </w:t>
      </w:r>
    </w:p>
    <w:p w:rsidR="00BD4327" w:rsidRPr="0004263F" w:rsidRDefault="00BD4327" w:rsidP="00306589">
      <w:pPr>
        <w:pStyle w:val="ListBullet2"/>
        <w:rPr>
          <w:rFonts w:asciiTheme="minorHAnsi" w:hAnsiTheme="minorHAnsi"/>
        </w:rPr>
      </w:pPr>
      <w:r w:rsidRPr="0004263F">
        <w:rPr>
          <w:rFonts w:asciiTheme="minorHAnsi" w:hAnsiTheme="minorHAnsi"/>
        </w:rPr>
        <w:t>Behavioral health resources: providers, drop in centers, peer</w:t>
      </w:r>
      <w:r w:rsidR="00306589" w:rsidRPr="0004263F">
        <w:rPr>
          <w:rFonts w:asciiTheme="minorHAnsi" w:hAnsiTheme="minorHAnsi"/>
        </w:rPr>
        <w:t>s</w:t>
      </w:r>
      <w:r w:rsidRPr="0004263F">
        <w:rPr>
          <w:rFonts w:asciiTheme="minorHAnsi" w:hAnsiTheme="minorHAnsi"/>
        </w:rPr>
        <w:t>, case workers</w:t>
      </w:r>
    </w:p>
    <w:p w:rsidR="00BD4327" w:rsidRPr="0004263F" w:rsidRDefault="00BD4327" w:rsidP="00306589">
      <w:pPr>
        <w:pStyle w:val="ListBullet2"/>
        <w:rPr>
          <w:rFonts w:asciiTheme="minorHAnsi" w:hAnsiTheme="minorHAnsi"/>
        </w:rPr>
      </w:pPr>
      <w:r w:rsidRPr="0004263F">
        <w:rPr>
          <w:rFonts w:asciiTheme="minorHAnsi" w:hAnsiTheme="minorHAnsi"/>
        </w:rPr>
        <w:t xml:space="preserve">Clinical resources: clinics with integrated social work, behavioral health, care management </w:t>
      </w:r>
      <w:r w:rsidR="00306589" w:rsidRPr="0004263F">
        <w:rPr>
          <w:rFonts w:asciiTheme="minorHAnsi" w:hAnsiTheme="minorHAnsi"/>
        </w:rPr>
        <w:t xml:space="preserve">(e.g., </w:t>
      </w:r>
      <w:r w:rsidRPr="0004263F">
        <w:rPr>
          <w:rFonts w:asciiTheme="minorHAnsi" w:hAnsiTheme="minorHAnsi"/>
        </w:rPr>
        <w:t>dialysis, sickle cell</w:t>
      </w:r>
      <w:r w:rsidR="00306589" w:rsidRPr="0004263F">
        <w:rPr>
          <w:rFonts w:asciiTheme="minorHAnsi" w:hAnsiTheme="minorHAnsi"/>
        </w:rPr>
        <w:t xml:space="preserve"> disease</w:t>
      </w:r>
      <w:r w:rsidRPr="0004263F">
        <w:rPr>
          <w:rFonts w:asciiTheme="minorHAnsi" w:hAnsiTheme="minorHAnsi"/>
        </w:rPr>
        <w:t>, HIV, cancer</w:t>
      </w:r>
      <w:r w:rsidR="00306589" w:rsidRPr="0004263F">
        <w:rPr>
          <w:rFonts w:asciiTheme="minorHAnsi" w:hAnsiTheme="minorHAnsi"/>
        </w:rPr>
        <w:t>)</w:t>
      </w:r>
      <w:r w:rsidRPr="0004263F">
        <w:rPr>
          <w:rFonts w:asciiTheme="minorHAnsi" w:hAnsiTheme="minorHAnsi"/>
        </w:rPr>
        <w:t>, patient</w:t>
      </w:r>
      <w:r w:rsidR="00306589" w:rsidRPr="0004263F">
        <w:rPr>
          <w:rFonts w:asciiTheme="minorHAnsi" w:hAnsiTheme="minorHAnsi"/>
        </w:rPr>
        <w:t>-</w:t>
      </w:r>
      <w:r w:rsidRPr="0004263F">
        <w:rPr>
          <w:rFonts w:asciiTheme="minorHAnsi" w:hAnsiTheme="minorHAnsi"/>
        </w:rPr>
        <w:t xml:space="preserve">centered medical homes, </w:t>
      </w:r>
      <w:r w:rsidR="00306589" w:rsidRPr="0004263F">
        <w:rPr>
          <w:rFonts w:asciiTheme="minorHAnsi" w:hAnsiTheme="minorHAnsi"/>
        </w:rPr>
        <w:t>accountable care organizations</w:t>
      </w:r>
      <w:r w:rsidRPr="0004263F">
        <w:rPr>
          <w:rFonts w:asciiTheme="minorHAnsi" w:hAnsiTheme="minorHAnsi"/>
        </w:rPr>
        <w:t xml:space="preserve">, </w:t>
      </w:r>
      <w:r w:rsidR="00E31D54" w:rsidRPr="0004263F">
        <w:rPr>
          <w:rFonts w:asciiTheme="minorHAnsi" w:hAnsiTheme="minorHAnsi"/>
        </w:rPr>
        <w:t>etc.</w:t>
      </w:r>
    </w:p>
    <w:p w:rsidR="00BD4327" w:rsidRPr="0004263F" w:rsidRDefault="00BD4327" w:rsidP="00306589">
      <w:pPr>
        <w:pStyle w:val="ListBullet2"/>
        <w:rPr>
          <w:rFonts w:asciiTheme="minorHAnsi" w:hAnsiTheme="minorHAnsi"/>
        </w:rPr>
      </w:pPr>
      <w:r w:rsidRPr="0004263F">
        <w:rPr>
          <w:rFonts w:asciiTheme="minorHAnsi" w:hAnsiTheme="minorHAnsi"/>
        </w:rPr>
        <w:t xml:space="preserve">Aging and </w:t>
      </w:r>
      <w:r w:rsidR="00306589" w:rsidRPr="0004263F">
        <w:rPr>
          <w:rFonts w:asciiTheme="minorHAnsi" w:hAnsiTheme="minorHAnsi"/>
        </w:rPr>
        <w:t>d</w:t>
      </w:r>
      <w:r w:rsidRPr="0004263F">
        <w:rPr>
          <w:rFonts w:asciiTheme="minorHAnsi" w:hAnsiTheme="minorHAnsi"/>
        </w:rPr>
        <w:t xml:space="preserve">isability </w:t>
      </w:r>
      <w:r w:rsidR="00306589" w:rsidRPr="0004263F">
        <w:rPr>
          <w:rFonts w:asciiTheme="minorHAnsi" w:hAnsiTheme="minorHAnsi"/>
        </w:rPr>
        <w:t>s</w:t>
      </w:r>
      <w:r w:rsidRPr="0004263F">
        <w:rPr>
          <w:rFonts w:asciiTheme="minorHAnsi" w:hAnsiTheme="minorHAnsi"/>
        </w:rPr>
        <w:t xml:space="preserve">ervices </w:t>
      </w:r>
    </w:p>
    <w:p w:rsidR="00BD4327" w:rsidRPr="0004263F" w:rsidRDefault="00BD4327" w:rsidP="00306589">
      <w:pPr>
        <w:pStyle w:val="ListBullet2"/>
        <w:rPr>
          <w:rFonts w:asciiTheme="minorHAnsi" w:hAnsiTheme="minorHAnsi"/>
        </w:rPr>
      </w:pPr>
      <w:r w:rsidRPr="0004263F">
        <w:rPr>
          <w:rFonts w:asciiTheme="minorHAnsi" w:hAnsiTheme="minorHAnsi"/>
        </w:rPr>
        <w:t>Social services</w:t>
      </w:r>
    </w:p>
    <w:p w:rsidR="00BD4327" w:rsidRPr="0004263F" w:rsidRDefault="00BD4327" w:rsidP="00306589">
      <w:pPr>
        <w:pStyle w:val="ListBullet2"/>
        <w:rPr>
          <w:rFonts w:asciiTheme="minorHAnsi" w:hAnsiTheme="minorHAnsi"/>
        </w:rPr>
      </w:pPr>
      <w:r w:rsidRPr="0004263F">
        <w:rPr>
          <w:rFonts w:asciiTheme="minorHAnsi" w:hAnsiTheme="minorHAnsi"/>
        </w:rPr>
        <w:t>Collaborations with law enforcement or the criminal justice system</w:t>
      </w:r>
    </w:p>
    <w:p w:rsidR="00A31176" w:rsidRDefault="00A31176">
      <w:pPr>
        <w:suppressAutoHyphens w:val="0"/>
        <w:autoSpaceDE/>
        <w:autoSpaceDN/>
        <w:adjustRightInd/>
        <w:spacing w:after="0"/>
        <w:textAlignment w:val="auto"/>
        <w:sectPr w:rsidR="00A31176" w:rsidSect="009C3DDB">
          <w:headerReference w:type="default" r:id="rId9"/>
          <w:footerReference w:type="default" r:id="rId10"/>
          <w:pgSz w:w="12240" w:h="15840"/>
          <w:pgMar w:top="1800" w:right="1440" w:bottom="1440" w:left="1440" w:header="864" w:footer="720" w:gutter="0"/>
          <w:cols w:space="720"/>
          <w:docGrid w:linePitch="360"/>
        </w:sectPr>
      </w:pPr>
    </w:p>
    <w:tbl>
      <w:tblPr>
        <w:tblStyle w:val="TableGrid"/>
        <w:tblW w:w="0" w:type="auto"/>
        <w:jc w:val="center"/>
        <w:shd w:val="clear" w:color="auto" w:fill="E9DCEA" w:themeFill="accent4" w:themeFillTint="33"/>
        <w:tblCellMar>
          <w:left w:w="115" w:type="dxa"/>
          <w:right w:w="115" w:type="dxa"/>
        </w:tblCellMar>
        <w:tblLook w:val="04A0" w:firstRow="1" w:lastRow="0" w:firstColumn="1" w:lastColumn="0" w:noHBand="0" w:noVBand="1"/>
        <w:tblCaption w:val="Community Inventory Tool"/>
        <w:tblDescription w:val="Describes providers by type, examples of the tansitional care services they may offer and asks whether any or all of the services are available in the hospital (Yes or No checkboxes)"/>
      </w:tblPr>
      <w:tblGrid>
        <w:gridCol w:w="3522"/>
        <w:gridCol w:w="6376"/>
        <w:gridCol w:w="671"/>
        <w:gridCol w:w="461"/>
      </w:tblGrid>
      <w:tr w:rsidR="00346A66" w:rsidRPr="00346A66" w:rsidTr="00353545">
        <w:trPr>
          <w:cantSplit/>
          <w:trHeight w:val="20"/>
          <w:tblHeader/>
          <w:jc w:val="center"/>
        </w:trPr>
        <w:tc>
          <w:tcPr>
            <w:tcW w:w="3522" w:type="dxa"/>
            <w:tcBorders>
              <w:top w:val="single" w:sz="4" w:space="0" w:color="auto"/>
              <w:left w:val="single" w:sz="4" w:space="0" w:color="auto"/>
              <w:bottom w:val="single" w:sz="4" w:space="0" w:color="auto"/>
              <w:right w:val="single" w:sz="4" w:space="0" w:color="auto"/>
            </w:tcBorders>
            <w:shd w:val="clear" w:color="auto" w:fill="6B1D74" w:themeFill="accent1"/>
            <w:vAlign w:val="center"/>
            <w:hideMark/>
          </w:tcPr>
          <w:p w:rsidR="00346A66" w:rsidRPr="00346A66" w:rsidRDefault="00346A66" w:rsidP="00A31176">
            <w:pPr>
              <w:pStyle w:val="TableHead"/>
              <w:rPr>
                <w:szCs w:val="18"/>
              </w:rPr>
            </w:pPr>
            <w:r w:rsidRPr="00346A66">
              <w:rPr>
                <w:szCs w:val="18"/>
              </w:rPr>
              <w:lastRenderedPageBreak/>
              <w:t>Provider or Agency</w:t>
            </w:r>
          </w:p>
        </w:tc>
        <w:tc>
          <w:tcPr>
            <w:tcW w:w="0" w:type="auto"/>
            <w:tcBorders>
              <w:top w:val="single" w:sz="4" w:space="0" w:color="auto"/>
              <w:left w:val="single" w:sz="4" w:space="0" w:color="auto"/>
              <w:bottom w:val="single" w:sz="4" w:space="0" w:color="auto"/>
              <w:right w:val="single" w:sz="4" w:space="0" w:color="auto"/>
            </w:tcBorders>
            <w:shd w:val="clear" w:color="auto" w:fill="6B1D74" w:themeFill="accent1"/>
            <w:vAlign w:val="center"/>
            <w:hideMark/>
          </w:tcPr>
          <w:p w:rsidR="00346A66" w:rsidRPr="00346A66" w:rsidRDefault="00346A66" w:rsidP="00306589">
            <w:pPr>
              <w:pStyle w:val="TableHead"/>
              <w:rPr>
                <w:szCs w:val="18"/>
              </w:rPr>
            </w:pPr>
            <w:r w:rsidRPr="00346A66">
              <w:rPr>
                <w:szCs w:val="18"/>
              </w:rPr>
              <w:t>Transitional Care Services [Examples]</w:t>
            </w:r>
          </w:p>
        </w:tc>
        <w:tc>
          <w:tcPr>
            <w:tcW w:w="0" w:type="auto"/>
            <w:tcBorders>
              <w:top w:val="single" w:sz="4" w:space="0" w:color="auto"/>
              <w:left w:val="single" w:sz="4" w:space="0" w:color="auto"/>
              <w:bottom w:val="single" w:sz="4" w:space="0" w:color="auto"/>
              <w:right w:val="single" w:sz="4" w:space="0" w:color="auto"/>
            </w:tcBorders>
            <w:shd w:val="clear" w:color="auto" w:fill="6B1D74" w:themeFill="accent1"/>
            <w:vAlign w:val="center"/>
            <w:hideMark/>
          </w:tcPr>
          <w:p w:rsidR="00346A66" w:rsidRPr="00346A66" w:rsidRDefault="00346A66" w:rsidP="00306589">
            <w:pPr>
              <w:pStyle w:val="TableHead"/>
              <w:rPr>
                <w:szCs w:val="18"/>
              </w:rPr>
            </w:pPr>
            <w:r w:rsidRPr="00346A66">
              <w:rPr>
                <w:szCs w:val="18"/>
              </w:rPr>
              <w:t>Use?</w:t>
            </w:r>
          </w:p>
        </w:tc>
        <w:tc>
          <w:tcPr>
            <w:tcW w:w="0" w:type="auto"/>
            <w:tcBorders>
              <w:top w:val="single" w:sz="4" w:space="0" w:color="auto"/>
              <w:left w:val="single" w:sz="4" w:space="0" w:color="auto"/>
              <w:bottom w:val="single" w:sz="4" w:space="0" w:color="auto"/>
              <w:right w:val="single" w:sz="4" w:space="0" w:color="auto"/>
            </w:tcBorders>
            <w:shd w:val="clear" w:color="auto" w:fill="6B1D74" w:themeFill="accent1"/>
          </w:tcPr>
          <w:p w:rsidR="00346A66" w:rsidRPr="00346A66" w:rsidRDefault="00346A66" w:rsidP="00306589">
            <w:pPr>
              <w:pStyle w:val="TableHead"/>
              <w:rPr>
                <w:szCs w:val="18"/>
              </w:rPr>
            </w:pPr>
          </w:p>
        </w:tc>
      </w:tr>
      <w:tr w:rsidR="00346A66" w:rsidRPr="00346A66" w:rsidTr="00353545">
        <w:trPr>
          <w:cantSplit/>
          <w:trHeight w:val="20"/>
          <w:jc w:val="center"/>
        </w:trPr>
        <w:tc>
          <w:tcPr>
            <w:tcW w:w="3522" w:type="dxa"/>
            <w:tcBorders>
              <w:top w:val="single" w:sz="4" w:space="0" w:color="auto"/>
              <w:left w:val="single" w:sz="4" w:space="0" w:color="auto"/>
              <w:bottom w:val="single" w:sz="4" w:space="0" w:color="auto"/>
              <w:right w:val="single" w:sz="4" w:space="0" w:color="auto"/>
            </w:tcBorders>
            <w:shd w:val="clear" w:color="auto" w:fill="FFFFFF" w:themeFill="background1"/>
          </w:tcPr>
          <w:p w:rsidR="00346A66" w:rsidRPr="00346A66" w:rsidRDefault="00346A66" w:rsidP="00803C4E">
            <w:pPr>
              <w:pStyle w:val="Table-main"/>
              <w:rPr>
                <w:b/>
              </w:rPr>
            </w:pPr>
            <w:r w:rsidRPr="00346A66">
              <w:rPr>
                <w:b/>
              </w:rPr>
              <w:t xml:space="preserve">Clinical and Behavioral Health Providers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46A66" w:rsidRPr="00346A66" w:rsidRDefault="00346A66" w:rsidP="00306589">
            <w:pPr>
              <w:pStyle w:val="Table-main"/>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46A66" w:rsidRPr="00346A66" w:rsidRDefault="00346A66" w:rsidP="00346A66">
            <w:pPr>
              <w:pStyle w:val="Table-main"/>
            </w:pPr>
            <w:r w:rsidRPr="00346A66">
              <w:t>Yes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46A66" w:rsidRPr="00346A66" w:rsidRDefault="00346A66" w:rsidP="00346A66">
            <w:pPr>
              <w:pStyle w:val="Table-main"/>
            </w:pPr>
            <w:r w:rsidRPr="00346A66">
              <w:t>No</w:t>
            </w:r>
          </w:p>
        </w:tc>
      </w:tr>
      <w:tr w:rsidR="00346A66" w:rsidRPr="00346A66" w:rsidTr="00353545">
        <w:trPr>
          <w:cantSplit/>
          <w:trHeight w:val="20"/>
          <w:jc w:val="center"/>
        </w:trPr>
        <w:tc>
          <w:tcPr>
            <w:tcW w:w="35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6A66" w:rsidRPr="00346A66" w:rsidRDefault="00346A66" w:rsidP="00145C7B">
            <w:pPr>
              <w:pStyle w:val="Table-main"/>
            </w:pPr>
            <w:r w:rsidRPr="00346A66">
              <w:t>Community h</w:t>
            </w:r>
            <w:r w:rsidRPr="00346A66">
              <w:rPr>
                <w:spacing w:val="-1"/>
              </w:rPr>
              <w:t>e</w:t>
            </w:r>
            <w:r w:rsidRPr="00346A66">
              <w:t>alth centers, federally qualified health centers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46A66" w:rsidRPr="00346A66" w:rsidRDefault="00346A66" w:rsidP="00306589">
            <w:pPr>
              <w:pStyle w:val="Table-main"/>
            </w:pPr>
            <w:r w:rsidRPr="00346A66">
              <w:t>[ability to accept new patients; timely posthospital followup; co-located social work, nutritional, pharmacy services, etc.]</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46A66" w:rsidRPr="00346A66" w:rsidRDefault="00346A66" w:rsidP="00353545">
            <w:pPr>
              <w:pStyle w:val="Table-main"/>
              <w:numPr>
                <w:ilvl w:val="0"/>
                <w:numId w:val="6"/>
              </w:numPr>
              <w:spacing w:before="40"/>
              <w:ind w:left="288" w:hanging="274"/>
              <w:jc w:val="cente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46A66" w:rsidRPr="00346A66" w:rsidRDefault="00346A66" w:rsidP="00353545">
            <w:pPr>
              <w:pStyle w:val="Table-main"/>
              <w:numPr>
                <w:ilvl w:val="0"/>
                <w:numId w:val="6"/>
              </w:numPr>
              <w:spacing w:before="40"/>
              <w:ind w:left="288" w:hanging="274"/>
            </w:pPr>
          </w:p>
        </w:tc>
      </w:tr>
      <w:tr w:rsidR="00353545" w:rsidRPr="00346A66" w:rsidTr="00353545">
        <w:trPr>
          <w:cantSplit/>
          <w:trHeight w:val="20"/>
          <w:jc w:val="center"/>
        </w:trPr>
        <w:tc>
          <w:tcPr>
            <w:tcW w:w="35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3545" w:rsidRPr="00346A66" w:rsidRDefault="00353545" w:rsidP="00353545">
            <w:pPr>
              <w:pStyle w:val="Table-main"/>
            </w:pPr>
            <w:r w:rsidRPr="00346A66">
              <w:t>Accountable care organization with care management or transition care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pPr>
            <w:r w:rsidRPr="00346A66">
              <w:t>[high-risk-care management, transitional care to reduce readmissions, etc.]</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numPr>
                <w:ilvl w:val="0"/>
                <w:numId w:val="6"/>
              </w:numPr>
              <w:spacing w:before="40"/>
              <w:ind w:left="288" w:hanging="274"/>
              <w:jc w:val="cente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numPr>
                <w:ilvl w:val="0"/>
                <w:numId w:val="6"/>
              </w:numPr>
              <w:spacing w:before="40"/>
              <w:ind w:left="288" w:hanging="274"/>
            </w:pPr>
          </w:p>
        </w:tc>
      </w:tr>
      <w:tr w:rsidR="00353545" w:rsidRPr="00346A66" w:rsidTr="00353545">
        <w:trPr>
          <w:cantSplit/>
          <w:trHeight w:val="20"/>
          <w:jc w:val="center"/>
        </w:trPr>
        <w:tc>
          <w:tcPr>
            <w:tcW w:w="35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3545" w:rsidRPr="00346A66" w:rsidRDefault="00353545" w:rsidP="00353545">
            <w:pPr>
              <w:pStyle w:val="Table-main"/>
            </w:pPr>
            <w:r w:rsidRPr="00346A66">
              <w:t>Medicaid</w:t>
            </w:r>
            <w:r w:rsidRPr="00346A66">
              <w:rPr>
                <w:spacing w:val="1"/>
              </w:rPr>
              <w:t xml:space="preserve"> </w:t>
            </w:r>
            <w:r w:rsidRPr="00346A66">
              <w:t>managed care orga</w:t>
            </w:r>
            <w:r w:rsidRPr="00346A66">
              <w:rPr>
                <w:spacing w:val="1"/>
              </w:rPr>
              <w:t>n</w:t>
            </w:r>
            <w:r w:rsidRPr="00346A66">
              <w:t>izations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pPr>
            <w:r w:rsidRPr="00346A66">
              <w:t xml:space="preserve">[high-risk-care management, social work, wraparound services, etc.]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numPr>
                <w:ilvl w:val="0"/>
                <w:numId w:val="6"/>
              </w:numPr>
              <w:spacing w:before="40"/>
              <w:ind w:left="288" w:hanging="274"/>
              <w:jc w:val="cente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numPr>
                <w:ilvl w:val="0"/>
                <w:numId w:val="6"/>
              </w:numPr>
              <w:spacing w:before="40"/>
              <w:ind w:left="288" w:hanging="274"/>
            </w:pPr>
          </w:p>
        </w:tc>
      </w:tr>
      <w:tr w:rsidR="00353545" w:rsidRPr="00346A66" w:rsidTr="00353545">
        <w:trPr>
          <w:cantSplit/>
          <w:trHeight w:val="20"/>
          <w:jc w:val="center"/>
        </w:trPr>
        <w:tc>
          <w:tcPr>
            <w:tcW w:w="3522" w:type="dxa"/>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pPr>
            <w:r w:rsidRPr="00346A66">
              <w:t>Program of All-inclusive Care for the Elder (PACE), Senior Care Options (SCO), Duals Demonstration providers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pPr>
            <w:r w:rsidRPr="00346A66">
              <w:t>[capitated or risk-bearing providers focused on providing whole-person care to improve quality and reduce costs]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numPr>
                <w:ilvl w:val="0"/>
                <w:numId w:val="6"/>
              </w:numPr>
              <w:spacing w:before="40"/>
              <w:ind w:left="288" w:hanging="274"/>
              <w:jc w:val="cente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numPr>
                <w:ilvl w:val="0"/>
                <w:numId w:val="6"/>
              </w:numPr>
              <w:spacing w:before="40"/>
              <w:ind w:left="288" w:hanging="274"/>
            </w:pPr>
          </w:p>
        </w:tc>
      </w:tr>
      <w:tr w:rsidR="00353545" w:rsidRPr="00346A66" w:rsidTr="00353545">
        <w:trPr>
          <w:cantSplit/>
          <w:trHeight w:val="20"/>
          <w:jc w:val="center"/>
        </w:trPr>
        <w:tc>
          <w:tcPr>
            <w:tcW w:w="3522" w:type="dxa"/>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pPr>
            <w:r w:rsidRPr="00346A66">
              <w:t>Medicaid health homes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pPr>
            <w:r w:rsidRPr="00346A66">
              <w:t xml:space="preserve">[engagement, outreach, tiered care management; eligibility based on chronic and behavioral health conditions]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numPr>
                <w:ilvl w:val="0"/>
                <w:numId w:val="6"/>
              </w:numPr>
              <w:spacing w:before="40"/>
              <w:ind w:left="288" w:hanging="274"/>
              <w:jc w:val="cente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numPr>
                <w:ilvl w:val="0"/>
                <w:numId w:val="6"/>
              </w:numPr>
              <w:spacing w:before="40"/>
              <w:ind w:left="288" w:hanging="274"/>
            </w:pPr>
          </w:p>
        </w:tc>
      </w:tr>
      <w:tr w:rsidR="00353545" w:rsidRPr="00346A66" w:rsidTr="00353545">
        <w:trPr>
          <w:cantSplit/>
          <w:trHeight w:val="20"/>
          <w:jc w:val="center"/>
        </w:trPr>
        <w:tc>
          <w:tcPr>
            <w:tcW w:w="35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3545" w:rsidRPr="00346A66" w:rsidRDefault="00353545" w:rsidP="00353545">
            <w:pPr>
              <w:pStyle w:val="Table-main"/>
            </w:pPr>
            <w:r w:rsidRPr="00346A66">
              <w:t>Multiservice behavioral h</w:t>
            </w:r>
            <w:r w:rsidRPr="00346A66">
              <w:rPr>
                <w:spacing w:val="1"/>
              </w:rPr>
              <w:t>e</w:t>
            </w:r>
            <w:r w:rsidRPr="00346A66">
              <w:t>alth centers, including behavioral health homes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pPr>
            <w:r w:rsidRPr="00346A66">
              <w:t>[prioritized posthospital followup; availability for new patients; co-located support services, etc.]</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numPr>
                <w:ilvl w:val="0"/>
                <w:numId w:val="6"/>
              </w:numPr>
              <w:spacing w:before="40"/>
              <w:ind w:left="288" w:hanging="274"/>
              <w:jc w:val="cente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numPr>
                <w:ilvl w:val="0"/>
                <w:numId w:val="6"/>
              </w:numPr>
              <w:spacing w:before="40"/>
              <w:ind w:left="288" w:hanging="274"/>
            </w:pPr>
          </w:p>
        </w:tc>
      </w:tr>
      <w:tr w:rsidR="00353545" w:rsidRPr="00346A66" w:rsidTr="00353545">
        <w:trPr>
          <w:cantSplit/>
          <w:trHeight w:val="20"/>
          <w:jc w:val="center"/>
        </w:trPr>
        <w:tc>
          <w:tcPr>
            <w:tcW w:w="35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3545" w:rsidRPr="00346A66" w:rsidRDefault="00353545" w:rsidP="00353545">
            <w:pPr>
              <w:pStyle w:val="Table-main"/>
            </w:pPr>
            <w:r w:rsidRPr="00346A66">
              <w:t>Behavioral hea</w:t>
            </w:r>
            <w:r w:rsidRPr="00346A66">
              <w:rPr>
                <w:spacing w:val="1"/>
              </w:rPr>
              <w:t>l</w:t>
            </w:r>
            <w:r w:rsidRPr="00346A66">
              <w:t>th providers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pPr>
            <w:r w:rsidRPr="00346A66">
              <w:t xml:space="preserve">[accepting new patients, prioritizing posthospital followup, etc.]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numPr>
                <w:ilvl w:val="0"/>
                <w:numId w:val="6"/>
              </w:numPr>
              <w:spacing w:before="40"/>
              <w:ind w:left="288" w:hanging="274"/>
              <w:jc w:val="cente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numPr>
                <w:ilvl w:val="0"/>
                <w:numId w:val="6"/>
              </w:numPr>
              <w:spacing w:before="40"/>
              <w:ind w:left="288" w:hanging="274"/>
            </w:pPr>
          </w:p>
        </w:tc>
      </w:tr>
      <w:tr w:rsidR="00353545" w:rsidRPr="00346A66" w:rsidTr="00353545">
        <w:trPr>
          <w:cantSplit/>
          <w:trHeight w:val="20"/>
          <w:jc w:val="center"/>
        </w:trPr>
        <w:tc>
          <w:tcPr>
            <w:tcW w:w="35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3545" w:rsidRPr="00346A66" w:rsidRDefault="00353545" w:rsidP="00353545">
            <w:pPr>
              <w:pStyle w:val="Table-main"/>
            </w:pPr>
            <w:r w:rsidRPr="00346A66">
              <w:t>Su</w:t>
            </w:r>
            <w:r w:rsidRPr="00346A66">
              <w:rPr>
                <w:spacing w:val="-1"/>
              </w:rPr>
              <w:t>b</w:t>
            </w:r>
            <w:r w:rsidRPr="00346A66">
              <w:t>stance use disorder treatment pr</w:t>
            </w:r>
            <w:r w:rsidRPr="00346A66">
              <w:rPr>
                <w:spacing w:val="1"/>
              </w:rPr>
              <w:t>o</w:t>
            </w:r>
            <w:r w:rsidRPr="00346A66">
              <w:t>viders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pPr>
            <w:r w:rsidRPr="00346A66">
              <w:t xml:space="preserve">[effective processes for linking patients from acute care to substance use disorder treatment]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numPr>
                <w:ilvl w:val="0"/>
                <w:numId w:val="6"/>
              </w:numPr>
              <w:spacing w:before="40"/>
              <w:ind w:left="288" w:hanging="274"/>
              <w:jc w:val="cente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numPr>
                <w:ilvl w:val="0"/>
                <w:numId w:val="6"/>
              </w:numPr>
              <w:spacing w:before="40"/>
              <w:ind w:left="288" w:hanging="274"/>
            </w:pPr>
          </w:p>
        </w:tc>
      </w:tr>
      <w:tr w:rsidR="00353545" w:rsidRPr="00346A66" w:rsidTr="00353545">
        <w:trPr>
          <w:cantSplit/>
          <w:trHeight w:val="20"/>
          <w:jc w:val="center"/>
        </w:trPr>
        <w:tc>
          <w:tcPr>
            <w:tcW w:w="35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3545" w:rsidRPr="00346A66" w:rsidRDefault="00353545" w:rsidP="00353545">
            <w:pPr>
              <w:pStyle w:val="Table-main"/>
            </w:pPr>
            <w:r w:rsidRPr="00346A66">
              <w:t>Heart failure, chronic obstructive pulmonary disease (COPD), HIV, dialysis, or cancer center clinics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pPr>
            <w:r w:rsidRPr="00346A66">
              <w:t>[urgent appointments for symptom recurrence, protocol-driven ambulatory management, social work, education, etc.]</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numPr>
                <w:ilvl w:val="0"/>
                <w:numId w:val="6"/>
              </w:numPr>
              <w:spacing w:before="40"/>
              <w:ind w:left="288" w:hanging="274"/>
              <w:jc w:val="cente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numPr>
                <w:ilvl w:val="0"/>
                <w:numId w:val="6"/>
              </w:numPr>
              <w:spacing w:before="40"/>
              <w:ind w:left="288" w:hanging="274"/>
            </w:pPr>
          </w:p>
        </w:tc>
      </w:tr>
      <w:tr w:rsidR="00353545" w:rsidRPr="00346A66" w:rsidTr="00353545">
        <w:trPr>
          <w:cantSplit/>
          <w:trHeight w:val="20"/>
          <w:jc w:val="center"/>
        </w:trPr>
        <w:tc>
          <w:tcPr>
            <w:tcW w:w="3522" w:type="dxa"/>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pPr>
            <w:r w:rsidRPr="00346A66">
              <w:t>Pain management or palliative care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pPr>
            <w:r w:rsidRPr="00346A66">
              <w:t>[symptom management over time, often with behavioral health specialists and social workers, education, etc.]</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numPr>
                <w:ilvl w:val="0"/>
                <w:numId w:val="6"/>
              </w:numPr>
              <w:spacing w:before="40"/>
              <w:ind w:left="288" w:hanging="274"/>
              <w:jc w:val="cente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numPr>
                <w:ilvl w:val="0"/>
                <w:numId w:val="6"/>
              </w:numPr>
              <w:spacing w:before="40"/>
              <w:ind w:left="288" w:hanging="274"/>
            </w:pPr>
          </w:p>
        </w:tc>
      </w:tr>
      <w:tr w:rsidR="00353545" w:rsidRPr="00346A66" w:rsidTr="00353545">
        <w:trPr>
          <w:cantSplit/>
          <w:trHeight w:val="20"/>
          <w:jc w:val="center"/>
        </w:trPr>
        <w:tc>
          <w:tcPr>
            <w:tcW w:w="3522" w:type="dxa"/>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rPr>
                <w:noProof/>
              </w:rPr>
            </w:pPr>
            <w:r w:rsidRPr="00346A66">
              <w:rPr>
                <w:noProof/>
              </w:rPr>
              <w:t>Physician/provider home visit service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pPr>
            <w:r w:rsidRPr="00346A66">
              <w:t xml:space="preserve">[timely postdischarge in home evaluation, coordination with primary care, specialists, pharmacy, home health, etc.]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numPr>
                <w:ilvl w:val="0"/>
                <w:numId w:val="6"/>
              </w:numPr>
              <w:spacing w:before="40"/>
              <w:ind w:left="288" w:hanging="274"/>
              <w:jc w:val="cente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numPr>
                <w:ilvl w:val="0"/>
                <w:numId w:val="6"/>
              </w:numPr>
              <w:spacing w:before="40"/>
              <w:ind w:left="288" w:hanging="274"/>
            </w:pPr>
          </w:p>
        </w:tc>
      </w:tr>
      <w:tr w:rsidR="00353545" w:rsidRPr="00346A66" w:rsidTr="00353545">
        <w:trPr>
          <w:cantSplit/>
          <w:trHeight w:val="20"/>
          <w:jc w:val="center"/>
        </w:trPr>
        <w:tc>
          <w:tcPr>
            <w:tcW w:w="35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3545" w:rsidRPr="00346A66" w:rsidRDefault="00353545" w:rsidP="00353545">
            <w:pPr>
              <w:pStyle w:val="Table-main"/>
            </w:pPr>
            <w:r w:rsidRPr="00346A66">
              <w:t>Skilled nursing</w:t>
            </w:r>
            <w:r w:rsidRPr="00346A66">
              <w:rPr>
                <w:spacing w:val="-1"/>
              </w:rPr>
              <w:t xml:space="preserve"> </w:t>
            </w:r>
            <w:r w:rsidRPr="00346A66">
              <w:t>facilities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pPr>
            <w:r w:rsidRPr="00346A66">
              <w:t xml:space="preserve">[onsite providers, warm handoffs, joint readmission reviews, INTERACT (Interventions To Reduce Acute Care Transfers) processes, transitional care from skilled nursing facility to home, etc.]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numPr>
                <w:ilvl w:val="0"/>
                <w:numId w:val="6"/>
              </w:numPr>
              <w:spacing w:before="40"/>
              <w:ind w:left="288" w:hanging="274"/>
              <w:jc w:val="cente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numPr>
                <w:ilvl w:val="0"/>
                <w:numId w:val="6"/>
              </w:numPr>
              <w:spacing w:before="40"/>
              <w:ind w:left="288" w:hanging="274"/>
            </w:pPr>
          </w:p>
        </w:tc>
      </w:tr>
      <w:tr w:rsidR="00353545" w:rsidRPr="00346A66" w:rsidTr="00353545">
        <w:trPr>
          <w:cantSplit/>
          <w:trHeight w:val="20"/>
          <w:jc w:val="center"/>
        </w:trPr>
        <w:tc>
          <w:tcPr>
            <w:tcW w:w="35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3545" w:rsidRPr="00346A66" w:rsidRDefault="00353545" w:rsidP="00353545">
            <w:pPr>
              <w:pStyle w:val="Table-main"/>
            </w:pPr>
            <w:r w:rsidRPr="00346A66">
              <w:t>Home health</w:t>
            </w:r>
            <w:r w:rsidRPr="00346A66">
              <w:rPr>
                <w:spacing w:val="-1"/>
              </w:rPr>
              <w:t xml:space="preserve"> </w:t>
            </w:r>
            <w:r w:rsidRPr="00346A66">
              <w:t>agencies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pPr>
            <w:r w:rsidRPr="00346A66">
              <w:t>[warm handoffs, joint readmission reviews, front-loaded home visits, behavioral health clinical expertise, etc.]</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numPr>
                <w:ilvl w:val="0"/>
                <w:numId w:val="6"/>
              </w:numPr>
              <w:spacing w:before="40"/>
              <w:ind w:left="288" w:hanging="274"/>
              <w:jc w:val="cente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numPr>
                <w:ilvl w:val="0"/>
                <w:numId w:val="6"/>
              </w:numPr>
              <w:spacing w:before="40"/>
              <w:ind w:left="288" w:hanging="274"/>
            </w:pPr>
          </w:p>
        </w:tc>
      </w:tr>
      <w:tr w:rsidR="00353545" w:rsidRPr="00346A66" w:rsidTr="00353545">
        <w:trPr>
          <w:cantSplit/>
          <w:trHeight w:val="20"/>
          <w:jc w:val="center"/>
        </w:trPr>
        <w:tc>
          <w:tcPr>
            <w:tcW w:w="35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3545" w:rsidRPr="00346A66" w:rsidRDefault="00353545" w:rsidP="00353545">
            <w:pPr>
              <w:pStyle w:val="Table-main"/>
            </w:pPr>
            <w:r w:rsidRPr="00346A66">
              <w:t>Hospice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pPr>
            <w:r w:rsidRPr="00346A66">
              <w:t xml:space="preserve">[warm handoffs, joint readmission reviews, same-day home visits, etc.]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numPr>
                <w:ilvl w:val="0"/>
                <w:numId w:val="6"/>
              </w:numPr>
              <w:spacing w:before="40"/>
              <w:ind w:left="288" w:hanging="274"/>
              <w:jc w:val="cente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numPr>
                <w:ilvl w:val="0"/>
                <w:numId w:val="6"/>
              </w:numPr>
              <w:spacing w:before="40"/>
              <w:ind w:left="288" w:hanging="274"/>
            </w:pPr>
          </w:p>
        </w:tc>
      </w:tr>
      <w:tr w:rsidR="00353545" w:rsidRPr="00346A66" w:rsidTr="00353545">
        <w:trPr>
          <w:cantSplit/>
          <w:trHeight w:val="20"/>
          <w:jc w:val="center"/>
        </w:trPr>
        <w:tc>
          <w:tcPr>
            <w:tcW w:w="35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3545" w:rsidRPr="00346A66" w:rsidRDefault="00353545" w:rsidP="00353545">
            <w:pPr>
              <w:pStyle w:val="Table-main"/>
            </w:pPr>
            <w:r w:rsidRPr="00346A66">
              <w:t>Adult</w:t>
            </w:r>
            <w:r w:rsidRPr="00346A66">
              <w:rPr>
                <w:spacing w:val="-1"/>
              </w:rPr>
              <w:t xml:space="preserve"> </w:t>
            </w:r>
            <w:r w:rsidRPr="00346A66">
              <w:t>day heal</w:t>
            </w:r>
            <w:r w:rsidRPr="00346A66">
              <w:rPr>
                <w:spacing w:val="-1"/>
              </w:rPr>
              <w:t>t</w:t>
            </w:r>
            <w:r w:rsidRPr="00346A66">
              <w:t>h</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pPr>
            <w:r w:rsidRPr="00346A66">
              <w:t>[daily clinical, nutritional, medication management, socialization, etc.]</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numPr>
                <w:ilvl w:val="0"/>
                <w:numId w:val="6"/>
              </w:numPr>
              <w:spacing w:before="40"/>
              <w:ind w:left="288" w:hanging="274"/>
              <w:jc w:val="cente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numPr>
                <w:ilvl w:val="0"/>
                <w:numId w:val="6"/>
              </w:numPr>
              <w:spacing w:before="40"/>
              <w:ind w:left="288" w:hanging="274"/>
            </w:pPr>
          </w:p>
        </w:tc>
      </w:tr>
      <w:tr w:rsidR="00353545" w:rsidRPr="00346A66" w:rsidTr="00353545">
        <w:trPr>
          <w:cantSplit/>
          <w:trHeight w:val="20"/>
          <w:jc w:val="center"/>
        </w:trPr>
        <w:tc>
          <w:tcPr>
            <w:tcW w:w="3522" w:type="dxa"/>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pPr>
            <w:r w:rsidRPr="00346A66">
              <w:t>Public health nurses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pPr>
            <w:r w:rsidRPr="00346A66">
              <w:t>[home visits, outreach, education, clinical coordination, etc.]</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numPr>
                <w:ilvl w:val="0"/>
                <w:numId w:val="6"/>
              </w:numPr>
              <w:spacing w:before="40"/>
              <w:ind w:left="288" w:hanging="274"/>
              <w:jc w:val="cente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numPr>
                <w:ilvl w:val="0"/>
                <w:numId w:val="6"/>
              </w:numPr>
              <w:spacing w:before="40"/>
              <w:ind w:left="288" w:hanging="274"/>
            </w:pPr>
          </w:p>
        </w:tc>
      </w:tr>
      <w:tr w:rsidR="00353545" w:rsidRPr="00346A66" w:rsidTr="00353545">
        <w:trPr>
          <w:cantSplit/>
          <w:trHeight w:val="20"/>
          <w:jc w:val="center"/>
        </w:trPr>
        <w:tc>
          <w:tcPr>
            <w:tcW w:w="35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3545" w:rsidRPr="00346A66" w:rsidRDefault="00353545" w:rsidP="00353545">
            <w:pPr>
              <w:pStyle w:val="Table-main"/>
            </w:pPr>
            <w:r w:rsidRPr="00346A66">
              <w:t>Pharmacies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pPr>
            <w:r w:rsidRPr="00346A66">
              <w:t>[bedside delivery, home delivery, medication therapy management, affordability counseling, blister packs, etc.]</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numPr>
                <w:ilvl w:val="0"/>
                <w:numId w:val="6"/>
              </w:numPr>
              <w:spacing w:before="40"/>
              <w:ind w:left="288" w:hanging="274"/>
              <w:jc w:val="cente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numPr>
                <w:ilvl w:val="0"/>
                <w:numId w:val="6"/>
              </w:numPr>
              <w:spacing w:before="40"/>
              <w:ind w:left="288" w:hanging="274"/>
            </w:pPr>
          </w:p>
        </w:tc>
      </w:tr>
      <w:tr w:rsidR="00353545" w:rsidRPr="00346A66" w:rsidTr="00353545">
        <w:trPr>
          <w:cantSplit/>
          <w:trHeight w:val="20"/>
          <w:jc w:val="center"/>
        </w:trPr>
        <w:tc>
          <w:tcPr>
            <w:tcW w:w="35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3545" w:rsidRPr="00346A66" w:rsidRDefault="00353545" w:rsidP="00353545">
            <w:pPr>
              <w:pStyle w:val="Table-main"/>
            </w:pPr>
            <w:r w:rsidRPr="00346A66">
              <w:t>Durable medical equipment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pPr>
            <w:r w:rsidRPr="00346A66">
              <w:t>[same-day delivery; 30-day transitional care monitoring, education services, etc.]</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numPr>
                <w:ilvl w:val="0"/>
                <w:numId w:val="6"/>
              </w:numPr>
              <w:spacing w:before="40"/>
              <w:ind w:left="288" w:hanging="274"/>
              <w:jc w:val="cente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numPr>
                <w:ilvl w:val="0"/>
                <w:numId w:val="6"/>
              </w:numPr>
              <w:spacing w:before="40"/>
              <w:ind w:left="288" w:hanging="274"/>
            </w:pPr>
          </w:p>
        </w:tc>
      </w:tr>
      <w:tr w:rsidR="00346A66" w:rsidRPr="00346A66" w:rsidTr="00353545">
        <w:trPr>
          <w:cantSplit/>
          <w:trHeight w:val="20"/>
          <w:jc w:val="center"/>
        </w:trPr>
        <w:tc>
          <w:tcPr>
            <w:tcW w:w="35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6A66" w:rsidRPr="00346A66" w:rsidRDefault="00346A66" w:rsidP="00346A66">
            <w:pPr>
              <w:pStyle w:val="Table-main"/>
            </w:pPr>
            <w:r w:rsidRPr="00346A66">
              <w:t>Other</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46A66" w:rsidRPr="00346A66" w:rsidRDefault="00346A66" w:rsidP="00346A66">
            <w:pPr>
              <w:pStyle w:val="Table-main"/>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46A66" w:rsidRPr="00346A66" w:rsidRDefault="00346A66" w:rsidP="00346A66">
            <w:pPr>
              <w:pStyle w:val="Table-main"/>
              <w:ind w:left="286"/>
              <w:jc w:val="cente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46A66" w:rsidRPr="00346A66" w:rsidRDefault="00346A66" w:rsidP="00346A66">
            <w:pPr>
              <w:pStyle w:val="Table-main"/>
              <w:ind w:left="286"/>
            </w:pPr>
          </w:p>
        </w:tc>
      </w:tr>
      <w:tr w:rsidR="00346A66" w:rsidRPr="00346A66" w:rsidTr="00353545">
        <w:trPr>
          <w:cantSplit/>
          <w:trHeight w:val="125"/>
          <w:jc w:val="center"/>
        </w:trPr>
        <w:tc>
          <w:tcPr>
            <w:tcW w:w="3522" w:type="dxa"/>
            <w:tcBorders>
              <w:top w:val="single" w:sz="4" w:space="0" w:color="auto"/>
              <w:left w:val="single" w:sz="4" w:space="0" w:color="auto"/>
              <w:bottom w:val="single" w:sz="4" w:space="0" w:color="auto"/>
              <w:right w:val="single" w:sz="4" w:space="0" w:color="auto"/>
            </w:tcBorders>
            <w:shd w:val="clear" w:color="auto" w:fill="FFFFFF" w:themeFill="background1"/>
          </w:tcPr>
          <w:p w:rsidR="00346A66" w:rsidRPr="00346A66" w:rsidRDefault="00346A66" w:rsidP="00346A66">
            <w:pPr>
              <w:pStyle w:val="Table-main"/>
              <w:rPr>
                <w:b/>
              </w:rPr>
            </w:pPr>
            <w:r w:rsidRPr="00346A66">
              <w:rPr>
                <w:b/>
              </w:rPr>
              <w:t xml:space="preserve">Social Services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46A66" w:rsidRPr="00346A66" w:rsidRDefault="00346A66" w:rsidP="00346A66">
            <w:pPr>
              <w:pStyle w:val="Table-main"/>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46A66" w:rsidRPr="00346A66" w:rsidRDefault="00346A66" w:rsidP="00346A66">
            <w:pPr>
              <w:pStyle w:val="Table-main"/>
              <w:ind w:left="286"/>
              <w:jc w:val="cente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46A66" w:rsidRPr="00346A66" w:rsidRDefault="00346A66" w:rsidP="00346A66">
            <w:pPr>
              <w:pStyle w:val="Table-main"/>
              <w:ind w:left="286"/>
            </w:pPr>
          </w:p>
        </w:tc>
      </w:tr>
      <w:tr w:rsidR="00353545" w:rsidRPr="00346A66" w:rsidTr="00353545">
        <w:trPr>
          <w:cantSplit/>
          <w:trHeight w:val="20"/>
          <w:jc w:val="center"/>
        </w:trPr>
        <w:tc>
          <w:tcPr>
            <w:tcW w:w="35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3545" w:rsidRPr="00346A66" w:rsidRDefault="00353545" w:rsidP="00353545">
            <w:pPr>
              <w:pStyle w:val="Table-main"/>
            </w:pPr>
            <w:r w:rsidRPr="00346A66">
              <w:t>Adult protective</w:t>
            </w:r>
            <w:r w:rsidRPr="00346A66">
              <w:rPr>
                <w:spacing w:val="1"/>
              </w:rPr>
              <w:t xml:space="preserve"> </w:t>
            </w:r>
            <w:r w:rsidRPr="00346A66">
              <w:t>services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pPr>
            <w:r w:rsidRPr="00346A66">
              <w:t>[safety evaluation, case management]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numPr>
                <w:ilvl w:val="0"/>
                <w:numId w:val="6"/>
              </w:numPr>
              <w:spacing w:before="40"/>
              <w:ind w:left="288" w:hanging="274"/>
              <w:jc w:val="cente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numPr>
                <w:ilvl w:val="0"/>
                <w:numId w:val="6"/>
              </w:numPr>
              <w:spacing w:before="40"/>
              <w:ind w:left="288" w:hanging="274"/>
            </w:pPr>
          </w:p>
        </w:tc>
      </w:tr>
      <w:tr w:rsidR="00353545" w:rsidRPr="00346A66" w:rsidTr="00353545">
        <w:trPr>
          <w:cantSplit/>
          <w:trHeight w:val="20"/>
          <w:jc w:val="center"/>
        </w:trPr>
        <w:tc>
          <w:tcPr>
            <w:tcW w:w="35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3545" w:rsidRPr="00346A66" w:rsidRDefault="00353545" w:rsidP="00353545">
            <w:pPr>
              <w:pStyle w:val="Table-main"/>
            </w:pPr>
            <w:r w:rsidRPr="00346A66">
              <w:t>Area Agency on A</w:t>
            </w:r>
            <w:r w:rsidRPr="00346A66">
              <w:rPr>
                <w:spacing w:val="-1"/>
              </w:rPr>
              <w:t>g</w:t>
            </w:r>
            <w:r w:rsidRPr="00346A66">
              <w:t>ing (AAA)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pPr>
            <w:r w:rsidRPr="00346A66">
              <w:t xml:space="preserve">[self-management coaching, chronic disease self-management, in-home personal support services, etc.]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numPr>
                <w:ilvl w:val="0"/>
                <w:numId w:val="6"/>
              </w:numPr>
              <w:spacing w:before="40"/>
              <w:ind w:left="288" w:hanging="274"/>
              <w:jc w:val="cente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numPr>
                <w:ilvl w:val="0"/>
                <w:numId w:val="6"/>
              </w:numPr>
              <w:spacing w:before="40"/>
              <w:ind w:left="288" w:hanging="274"/>
            </w:pPr>
          </w:p>
        </w:tc>
      </w:tr>
      <w:tr w:rsidR="00353545" w:rsidRPr="00346A66" w:rsidTr="00353545">
        <w:trPr>
          <w:cantSplit/>
          <w:trHeight w:val="20"/>
          <w:jc w:val="center"/>
        </w:trPr>
        <w:tc>
          <w:tcPr>
            <w:tcW w:w="35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3545" w:rsidRPr="00346A66" w:rsidRDefault="00353545" w:rsidP="00353545">
            <w:pPr>
              <w:pStyle w:val="Table-main"/>
            </w:pPr>
            <w:r w:rsidRPr="00346A66">
              <w:t>A</w:t>
            </w:r>
            <w:r w:rsidRPr="00346A66">
              <w:rPr>
                <w:spacing w:val="-1"/>
              </w:rPr>
              <w:t>g</w:t>
            </w:r>
            <w:r w:rsidRPr="00346A66">
              <w:t>ing</w:t>
            </w:r>
            <w:r w:rsidRPr="00346A66">
              <w:rPr>
                <w:spacing w:val="-1"/>
              </w:rPr>
              <w:t xml:space="preserve"> </w:t>
            </w:r>
            <w:r w:rsidRPr="00346A66">
              <w:t>and Dis</w:t>
            </w:r>
            <w:r w:rsidRPr="00346A66">
              <w:rPr>
                <w:spacing w:val="1"/>
              </w:rPr>
              <w:t>a</w:t>
            </w:r>
            <w:r w:rsidRPr="00346A66">
              <w:t>bility</w:t>
            </w:r>
            <w:r w:rsidRPr="00346A66">
              <w:rPr>
                <w:spacing w:val="-1"/>
              </w:rPr>
              <w:t xml:space="preserve"> </w:t>
            </w:r>
            <w:r w:rsidRPr="00346A66">
              <w:t>Resource Centers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pPr>
            <w:r w:rsidRPr="00346A66">
              <w:t xml:space="preserve">[evaluate for eligibility for benefits and services; link to vetted providers]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numPr>
                <w:ilvl w:val="0"/>
                <w:numId w:val="6"/>
              </w:numPr>
              <w:spacing w:before="40"/>
              <w:ind w:left="288" w:hanging="274"/>
              <w:jc w:val="cente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numPr>
                <w:ilvl w:val="0"/>
                <w:numId w:val="6"/>
              </w:numPr>
              <w:spacing w:before="40"/>
              <w:ind w:left="288" w:hanging="274"/>
            </w:pPr>
          </w:p>
        </w:tc>
      </w:tr>
      <w:tr w:rsidR="00353545" w:rsidRPr="00346A66" w:rsidTr="00353545">
        <w:trPr>
          <w:cantSplit/>
          <w:trHeight w:val="20"/>
          <w:jc w:val="center"/>
        </w:trPr>
        <w:tc>
          <w:tcPr>
            <w:tcW w:w="35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3545" w:rsidRPr="00346A66" w:rsidRDefault="00353545" w:rsidP="00353545">
            <w:pPr>
              <w:pStyle w:val="Table-main"/>
            </w:pPr>
            <w:r w:rsidRPr="00346A66">
              <w:t>Assi</w:t>
            </w:r>
            <w:r w:rsidRPr="00346A66">
              <w:rPr>
                <w:spacing w:val="-1"/>
              </w:rPr>
              <w:t>s</w:t>
            </w:r>
            <w:r w:rsidRPr="00346A66">
              <w:t>ted living</w:t>
            </w:r>
            <w:r w:rsidRPr="00346A66">
              <w:rPr>
                <w:spacing w:val="-2"/>
              </w:rPr>
              <w:t xml:space="preserve"> </w:t>
            </w:r>
            <w:r w:rsidRPr="00346A66">
              <w:t>facilities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pPr>
            <w:r w:rsidRPr="00346A66">
              <w:t xml:space="preserve">[onsite clinical, onsite behavioral, self-management coaching, adherence support, transportation, etc.]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numPr>
                <w:ilvl w:val="0"/>
                <w:numId w:val="6"/>
              </w:numPr>
              <w:spacing w:before="40"/>
              <w:ind w:left="288" w:hanging="274"/>
              <w:jc w:val="cente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numPr>
                <w:ilvl w:val="0"/>
                <w:numId w:val="6"/>
              </w:numPr>
              <w:spacing w:before="40"/>
              <w:ind w:left="288" w:hanging="274"/>
            </w:pPr>
          </w:p>
        </w:tc>
      </w:tr>
      <w:tr w:rsidR="00353545" w:rsidRPr="00346A66" w:rsidTr="00353545">
        <w:trPr>
          <w:cantSplit/>
          <w:trHeight w:val="20"/>
          <w:jc w:val="center"/>
        </w:trPr>
        <w:tc>
          <w:tcPr>
            <w:tcW w:w="35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3545" w:rsidRPr="00346A66" w:rsidRDefault="00353545" w:rsidP="00353545">
            <w:pPr>
              <w:pStyle w:val="Table-main"/>
            </w:pPr>
            <w:r w:rsidRPr="00346A66">
              <w:t>Housing</w:t>
            </w:r>
            <w:r w:rsidRPr="00346A66">
              <w:rPr>
                <w:spacing w:val="-1"/>
              </w:rPr>
              <w:t xml:space="preserve"> </w:t>
            </w:r>
            <w:r w:rsidRPr="00346A66">
              <w:t>with se</w:t>
            </w:r>
            <w:r w:rsidRPr="00346A66">
              <w:rPr>
                <w:spacing w:val="-1"/>
              </w:rPr>
              <w:t>r</w:t>
            </w:r>
            <w:r w:rsidRPr="00346A66">
              <w:t>vices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pPr>
            <w:r w:rsidRPr="00346A66">
              <w:t xml:space="preserve">[care management, onsite social work, onsite clinical, nutritional/food support, transportation, etc.]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numPr>
                <w:ilvl w:val="0"/>
                <w:numId w:val="6"/>
              </w:numPr>
              <w:spacing w:before="40"/>
              <w:ind w:left="288" w:hanging="274"/>
              <w:jc w:val="cente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numPr>
                <w:ilvl w:val="0"/>
                <w:numId w:val="6"/>
              </w:numPr>
              <w:spacing w:before="40"/>
              <w:ind w:left="288" w:hanging="274"/>
            </w:pPr>
          </w:p>
        </w:tc>
      </w:tr>
      <w:tr w:rsidR="00353545" w:rsidRPr="00346A66" w:rsidTr="00353545">
        <w:trPr>
          <w:cantSplit/>
          <w:trHeight w:val="20"/>
          <w:jc w:val="center"/>
        </w:trPr>
        <w:tc>
          <w:tcPr>
            <w:tcW w:w="35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3545" w:rsidRPr="00346A66" w:rsidRDefault="00353545" w:rsidP="00353545">
            <w:pPr>
              <w:pStyle w:val="Table-main"/>
            </w:pPr>
            <w:r w:rsidRPr="00346A66">
              <w:t>Housing</w:t>
            </w:r>
            <w:r w:rsidRPr="00346A66">
              <w:rPr>
                <w:spacing w:val="-1"/>
              </w:rPr>
              <w:t xml:space="preserve"> </w:t>
            </w:r>
            <w:r w:rsidRPr="00346A66">
              <w:t>authority or agencies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pPr>
            <w:r w:rsidRPr="00346A66">
              <w:t xml:space="preserve">[case management, facilitated process of pursuing housing options]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numPr>
                <w:ilvl w:val="0"/>
                <w:numId w:val="6"/>
              </w:numPr>
              <w:spacing w:before="40"/>
              <w:ind w:left="288" w:hanging="274"/>
              <w:jc w:val="cente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numPr>
                <w:ilvl w:val="0"/>
                <w:numId w:val="6"/>
              </w:numPr>
              <w:spacing w:before="40"/>
              <w:ind w:left="288" w:hanging="274"/>
            </w:pPr>
          </w:p>
        </w:tc>
      </w:tr>
      <w:tr w:rsidR="00353545" w:rsidRPr="00346A66" w:rsidTr="00353545">
        <w:trPr>
          <w:cantSplit/>
          <w:trHeight w:val="20"/>
          <w:jc w:val="center"/>
        </w:trPr>
        <w:tc>
          <w:tcPr>
            <w:tcW w:w="35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3545" w:rsidRPr="00346A66" w:rsidRDefault="00353545" w:rsidP="00353545">
            <w:pPr>
              <w:pStyle w:val="Table-main"/>
            </w:pPr>
            <w:r w:rsidRPr="00346A66">
              <w:t>Le</w:t>
            </w:r>
            <w:r w:rsidRPr="00346A66">
              <w:rPr>
                <w:spacing w:val="-1"/>
              </w:rPr>
              <w:t>g</w:t>
            </w:r>
            <w:r w:rsidRPr="00346A66">
              <w:t>al aid</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pPr>
            <w:r w:rsidRPr="00346A66">
              <w:t xml:space="preserve">[securing benefits, access to treatment, utilities, rent, etc.]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numPr>
                <w:ilvl w:val="0"/>
                <w:numId w:val="6"/>
              </w:numPr>
              <w:spacing w:before="40"/>
              <w:ind w:left="288" w:hanging="274"/>
              <w:jc w:val="cente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numPr>
                <w:ilvl w:val="0"/>
                <w:numId w:val="6"/>
              </w:numPr>
              <w:spacing w:before="40"/>
              <w:ind w:left="288" w:hanging="274"/>
            </w:pPr>
          </w:p>
        </w:tc>
      </w:tr>
      <w:tr w:rsidR="00353545" w:rsidRPr="00346A66" w:rsidTr="00353545">
        <w:trPr>
          <w:cantSplit/>
          <w:trHeight w:val="278"/>
          <w:jc w:val="center"/>
        </w:trPr>
        <w:tc>
          <w:tcPr>
            <w:tcW w:w="35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3545" w:rsidRPr="00346A66" w:rsidRDefault="00353545" w:rsidP="00353545">
            <w:pPr>
              <w:pStyle w:val="Table-main"/>
            </w:pPr>
            <w:r w:rsidRPr="00346A66">
              <w:t>Faith-</w:t>
            </w:r>
            <w:r w:rsidRPr="00346A66">
              <w:rPr>
                <w:spacing w:val="-1"/>
              </w:rPr>
              <w:t>ba</w:t>
            </w:r>
            <w:r w:rsidRPr="00346A66">
              <w:t>sed o</w:t>
            </w:r>
            <w:r w:rsidRPr="00346A66">
              <w:rPr>
                <w:spacing w:val="1"/>
              </w:rPr>
              <w:t>r</w:t>
            </w:r>
            <w:r w:rsidRPr="00346A66">
              <w:t>ganiza</w:t>
            </w:r>
            <w:r w:rsidRPr="00346A66">
              <w:rPr>
                <w:spacing w:val="1"/>
              </w:rPr>
              <w:t>t</w:t>
            </w:r>
            <w:r w:rsidRPr="00346A66">
              <w:t>ions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pPr>
            <w:r w:rsidRPr="00346A66">
              <w:t xml:space="preserve">[personal and social support, transportation, meals, etc.]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numPr>
                <w:ilvl w:val="0"/>
                <w:numId w:val="6"/>
              </w:numPr>
              <w:spacing w:before="40"/>
              <w:ind w:left="288" w:hanging="274"/>
              <w:jc w:val="cente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numPr>
                <w:ilvl w:val="0"/>
                <w:numId w:val="6"/>
              </w:numPr>
              <w:spacing w:before="40"/>
              <w:ind w:left="288" w:hanging="274"/>
            </w:pPr>
          </w:p>
        </w:tc>
      </w:tr>
      <w:tr w:rsidR="00353545" w:rsidRPr="00346A66" w:rsidTr="00353545">
        <w:trPr>
          <w:cantSplit/>
          <w:trHeight w:val="20"/>
          <w:jc w:val="center"/>
        </w:trPr>
        <w:tc>
          <w:tcPr>
            <w:tcW w:w="35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3545" w:rsidRPr="00346A66" w:rsidRDefault="00353545" w:rsidP="00353545">
            <w:pPr>
              <w:pStyle w:val="Table-main"/>
            </w:pPr>
            <w:r w:rsidRPr="00346A66">
              <w:t>Transportation</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pPr>
            <w:r w:rsidRPr="00346A66">
              <w:t xml:space="preserve">[transportation to meet basic and clinical needs]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numPr>
                <w:ilvl w:val="0"/>
                <w:numId w:val="6"/>
              </w:numPr>
              <w:spacing w:before="40"/>
              <w:ind w:left="288" w:hanging="274"/>
              <w:jc w:val="cente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numPr>
                <w:ilvl w:val="0"/>
                <w:numId w:val="6"/>
              </w:numPr>
              <w:spacing w:before="40"/>
              <w:ind w:left="288" w:hanging="274"/>
            </w:pPr>
          </w:p>
        </w:tc>
      </w:tr>
      <w:tr w:rsidR="00353545" w:rsidRPr="00346A66" w:rsidTr="00353545">
        <w:trPr>
          <w:cantSplit/>
          <w:trHeight w:val="233"/>
          <w:jc w:val="center"/>
        </w:trPr>
        <w:tc>
          <w:tcPr>
            <w:tcW w:w="35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3545" w:rsidRPr="00346A66" w:rsidRDefault="00353545" w:rsidP="00353545">
            <w:pPr>
              <w:pStyle w:val="Table-main"/>
            </w:pPr>
            <w:r w:rsidRPr="00346A66">
              <w:t>Community corrections</w:t>
            </w:r>
            <w:r w:rsidRPr="00346A66">
              <w:rPr>
                <w:spacing w:val="1"/>
              </w:rPr>
              <w:t xml:space="preserve"> </w:t>
            </w:r>
            <w:r w:rsidRPr="00346A66">
              <w:t>system</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pPr>
            <w:r w:rsidRPr="00346A66">
              <w:t xml:space="preserve">[case workers, social workers, collaboration on followup]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numPr>
                <w:ilvl w:val="0"/>
                <w:numId w:val="6"/>
              </w:numPr>
              <w:spacing w:before="40"/>
              <w:ind w:left="288" w:hanging="274"/>
              <w:jc w:val="cente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53545" w:rsidRPr="00346A66" w:rsidRDefault="00353545" w:rsidP="00353545">
            <w:pPr>
              <w:pStyle w:val="Table-main"/>
              <w:numPr>
                <w:ilvl w:val="0"/>
                <w:numId w:val="6"/>
              </w:numPr>
              <w:spacing w:before="40"/>
              <w:ind w:left="288" w:hanging="274"/>
            </w:pPr>
          </w:p>
        </w:tc>
      </w:tr>
      <w:tr w:rsidR="00346A66" w:rsidRPr="00346A66" w:rsidTr="00353545">
        <w:trPr>
          <w:cantSplit/>
          <w:trHeight w:val="20"/>
          <w:jc w:val="center"/>
        </w:trPr>
        <w:tc>
          <w:tcPr>
            <w:tcW w:w="35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6A66" w:rsidRPr="00346A66" w:rsidRDefault="00346A66" w:rsidP="00346A66">
            <w:pPr>
              <w:pStyle w:val="Table-main"/>
            </w:pPr>
            <w:r w:rsidRPr="00346A66">
              <w:t>Other</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46A66" w:rsidRPr="00346A66" w:rsidRDefault="00346A66" w:rsidP="00346A66">
            <w:pPr>
              <w:pStyle w:val="Table-main"/>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46A66" w:rsidRPr="00346A66" w:rsidRDefault="00346A66" w:rsidP="00346A66">
            <w:pPr>
              <w:pStyle w:val="Table-main"/>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46A66" w:rsidRPr="00346A66" w:rsidRDefault="00346A66" w:rsidP="00346A66">
            <w:pPr>
              <w:pStyle w:val="Table-main"/>
            </w:pPr>
          </w:p>
        </w:tc>
      </w:tr>
    </w:tbl>
    <w:p w:rsidR="00BD4327" w:rsidRPr="00E31D54" w:rsidRDefault="00BD4327" w:rsidP="00A31176">
      <w:pPr>
        <w:tabs>
          <w:tab w:val="left" w:pos="7300"/>
        </w:tabs>
        <w:rPr>
          <w:sz w:val="2"/>
          <w:szCs w:val="2"/>
        </w:rPr>
      </w:pPr>
    </w:p>
    <w:sectPr w:rsidR="00BD4327" w:rsidRPr="00E31D54" w:rsidSect="007C0AA9">
      <w:headerReference w:type="default" r:id="rId11"/>
      <w:footerReference w:type="default" r:id="rId12"/>
      <w:pgSz w:w="12240" w:h="15840"/>
      <w:pgMar w:top="1440" w:right="720" w:bottom="720" w:left="72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E8C" w:rsidRDefault="00012E8C" w:rsidP="00C71B88">
      <w:r>
        <w:separator/>
      </w:r>
    </w:p>
  </w:endnote>
  <w:endnote w:type="continuationSeparator" w:id="0">
    <w:p w:rsidR="00012E8C" w:rsidRDefault="00012E8C" w:rsidP="00C7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saOT">
    <w:panose1 w:val="00000000000000000000"/>
    <w:charset w:val="00"/>
    <w:family w:val="modern"/>
    <w:notTrueType/>
    <w:pitch w:val="variable"/>
    <w:sig w:usb0="800000EF" w:usb1="4000205B" w:usb2="00000008" w:usb3="00000000" w:csb0="00000001" w:csb1="00000000"/>
  </w:font>
  <w:font w:name="TisaSansOT-Bold">
    <w:panose1 w:val="00000000000000000000"/>
    <w:charset w:val="00"/>
    <w:family w:val="swiss"/>
    <w:notTrueType/>
    <w:pitch w:val="variable"/>
    <w:sig w:usb0="800000EF" w:usb1="4000207B" w:usb2="00000008" w:usb3="00000000" w:csb0="00000001" w:csb1="00000000"/>
  </w:font>
  <w:font w:name="Cambria">
    <w:panose1 w:val="02040503050406030204"/>
    <w:charset w:val="00"/>
    <w:family w:val="roman"/>
    <w:pitch w:val="variable"/>
    <w:sig w:usb0="E00002FF" w:usb1="400004FF" w:usb2="00000000" w:usb3="00000000" w:csb0="0000019F" w:csb1="00000000"/>
  </w:font>
  <w:font w:name="TisaOT-BoldIta">
    <w:panose1 w:val="00000000000000000000"/>
    <w:charset w:val="00"/>
    <w:family w:val="modern"/>
    <w:notTrueType/>
    <w:pitch w:val="variable"/>
    <w:sig w:usb0="800000EF" w:usb1="4000205B" w:usb2="00000008" w:usb3="00000000" w:csb0="00000001" w:csb1="00000000"/>
  </w:font>
  <w:font w:name="Arial">
    <w:panose1 w:val="020B0604020202020204"/>
    <w:charset w:val="00"/>
    <w:family w:val="swiss"/>
    <w:pitch w:val="variable"/>
    <w:sig w:usb0="E0002AFF" w:usb1="C0007843" w:usb2="00000009" w:usb3="00000000" w:csb0="000001FF" w:csb1="00000000"/>
  </w:font>
  <w:font w:name="TisaSansOT">
    <w:panose1 w:val="00000000000000000000"/>
    <w:charset w:val="00"/>
    <w:family w:val="swiss"/>
    <w:notTrueType/>
    <w:pitch w:val="variable"/>
    <w:sig w:usb0="800000EF" w:usb1="4000207B" w:usb2="00000008" w:usb3="00000000" w:csb0="00000001"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779075"/>
      <w:docPartObj>
        <w:docPartGallery w:val="Page Numbers (Bottom of Page)"/>
        <w:docPartUnique/>
      </w:docPartObj>
    </w:sdtPr>
    <w:sdtEndPr>
      <w:rPr>
        <w:noProof/>
      </w:rPr>
    </w:sdtEndPr>
    <w:sdtContent>
      <w:p w:rsidR="002A6768" w:rsidRDefault="002A6768">
        <w:pPr>
          <w:pStyle w:val="Footer"/>
          <w:jc w:val="center"/>
        </w:pPr>
        <w:r>
          <w:fldChar w:fldCharType="begin"/>
        </w:r>
        <w:r>
          <w:instrText xml:space="preserve"> PAGE   \* MERGEFORMAT </w:instrText>
        </w:r>
        <w:r>
          <w:fldChar w:fldCharType="separate"/>
        </w:r>
        <w:r w:rsidR="00CE0540">
          <w:rPr>
            <w:noProof/>
          </w:rPr>
          <w:t>1</w:t>
        </w:r>
        <w:r>
          <w:rPr>
            <w:noProof/>
          </w:rPr>
          <w:fldChar w:fldCharType="end"/>
        </w:r>
      </w:p>
    </w:sdtContent>
  </w:sdt>
  <w:p w:rsidR="00F577A3" w:rsidRDefault="00F577A3" w:rsidP="009C3DDB">
    <w:pPr>
      <w:pStyle w:val="Footer"/>
      <w:spacing w:after="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587629"/>
      <w:docPartObj>
        <w:docPartGallery w:val="Page Numbers (Bottom of Page)"/>
        <w:docPartUnique/>
      </w:docPartObj>
    </w:sdtPr>
    <w:sdtEndPr>
      <w:rPr>
        <w:noProof/>
      </w:rPr>
    </w:sdtEndPr>
    <w:sdtContent>
      <w:p w:rsidR="00346A66" w:rsidRDefault="00346A66">
        <w:pPr>
          <w:pStyle w:val="Footer"/>
          <w:jc w:val="center"/>
        </w:pPr>
        <w:r w:rsidRPr="00346A66">
          <w:rPr>
            <w:rFonts w:asciiTheme="minorHAnsi" w:hAnsiTheme="minorHAnsi"/>
          </w:rPr>
          <w:fldChar w:fldCharType="begin"/>
        </w:r>
        <w:r w:rsidRPr="00346A66">
          <w:rPr>
            <w:rFonts w:asciiTheme="minorHAnsi" w:hAnsiTheme="minorHAnsi"/>
          </w:rPr>
          <w:instrText xml:space="preserve"> PAGE   \* MERGEFORMAT </w:instrText>
        </w:r>
        <w:r w:rsidRPr="00346A66">
          <w:rPr>
            <w:rFonts w:asciiTheme="minorHAnsi" w:hAnsiTheme="minorHAnsi"/>
          </w:rPr>
          <w:fldChar w:fldCharType="separate"/>
        </w:r>
        <w:r w:rsidR="00CE0540">
          <w:rPr>
            <w:rFonts w:asciiTheme="minorHAnsi" w:hAnsiTheme="minorHAnsi"/>
            <w:noProof/>
          </w:rPr>
          <w:t>3</w:t>
        </w:r>
        <w:r w:rsidRPr="00346A66">
          <w:rPr>
            <w:rFonts w:asciiTheme="minorHAnsi" w:hAnsiTheme="minorHAnsi"/>
            <w:noProof/>
          </w:rPr>
          <w:fldChar w:fldCharType="end"/>
        </w:r>
      </w:p>
    </w:sdtContent>
  </w:sdt>
  <w:p w:rsidR="00A31176" w:rsidRPr="00975EE5" w:rsidRDefault="00A31176" w:rsidP="007C0AA9">
    <w:pPr>
      <w:pStyle w:val="Footer"/>
      <w:rPr>
        <w:rFonts w:cs="Times New Roman"/>
        <w:sz w:val="18"/>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E8C" w:rsidRDefault="00012E8C" w:rsidP="00C71B88">
      <w:r>
        <w:separator/>
      </w:r>
    </w:p>
  </w:footnote>
  <w:footnote w:type="continuationSeparator" w:id="0">
    <w:p w:rsidR="00012E8C" w:rsidRDefault="00012E8C" w:rsidP="00C71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22A" w:rsidRDefault="00F577A3" w:rsidP="00655D0C">
    <w:pPr>
      <w:pStyle w:val="Header"/>
      <w:jc w:val="center"/>
    </w:pPr>
    <w:r>
      <w:rPr>
        <w:noProof/>
      </w:rPr>
      <w:drawing>
        <wp:inline distT="0" distB="0" distL="0" distR="0" wp14:anchorId="46045A5D" wp14:editId="300B89B6">
          <wp:extent cx="5966489" cy="604299"/>
          <wp:effectExtent l="0" t="0" r="0" b="5715"/>
          <wp:docPr id="6" name="Picture 6" descr="Guide title and Aspire logo" title="Designing and Delivering Whole-Person Transitional Care: The Hospital Guide to Reducing Medicaid Readmi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66489" cy="604299"/>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176" w:rsidRDefault="00542EBC" w:rsidP="007C0AA9">
    <w:pPr>
      <w:pStyle w:val="Header"/>
      <w:ind w:left="-720"/>
      <w:jc w:val="center"/>
    </w:pPr>
    <w:r>
      <w:rPr>
        <w:noProof/>
      </w:rPr>
      <w:drawing>
        <wp:inline distT="0" distB="0" distL="0" distR="0" wp14:anchorId="4B740E15" wp14:editId="3E4D22BB">
          <wp:extent cx="5966489" cy="604299"/>
          <wp:effectExtent l="0" t="0" r="0" b="5715"/>
          <wp:docPr id="1" name="Picture 1" descr="Guide title and Aspire logo" title="Designing and Delivering Whole-Person Transitional Care: The Hospital Guide to Reducing Medicaid Readmi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66489" cy="60429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94AE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DA268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BC02E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616086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93862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320523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A4471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836C9E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B7E7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7495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55D17"/>
    <w:multiLevelType w:val="hybridMultilevel"/>
    <w:tmpl w:val="E354D306"/>
    <w:lvl w:ilvl="0" w:tplc="647C568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852307"/>
    <w:multiLevelType w:val="hybridMultilevel"/>
    <w:tmpl w:val="0BE6B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B71891"/>
    <w:multiLevelType w:val="hybridMultilevel"/>
    <w:tmpl w:val="50960BEE"/>
    <w:lvl w:ilvl="0" w:tplc="CF743056">
      <w:start w:val="1"/>
      <w:numFmt w:val="bullet"/>
      <w:lvlText w:val="q"/>
      <w:lvlJc w:val="left"/>
      <w:pPr>
        <w:ind w:left="810" w:hanging="360"/>
      </w:pPr>
      <w:rPr>
        <w:rFonts w:ascii="Wingdings" w:hAnsi="Wingding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251B4251"/>
    <w:multiLevelType w:val="hybridMultilevel"/>
    <w:tmpl w:val="A97A5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D439F2"/>
    <w:multiLevelType w:val="hybridMultilevel"/>
    <w:tmpl w:val="84EA9C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665A7C"/>
    <w:multiLevelType w:val="hybridMultilevel"/>
    <w:tmpl w:val="3DB6C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10"/>
  </w:num>
  <w:num w:numId="4">
    <w:abstractNumId w:val="13"/>
  </w:num>
  <w:num w:numId="5">
    <w:abstractNumId w:val="15"/>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22A"/>
    <w:rsid w:val="00012E8C"/>
    <w:rsid w:val="00025830"/>
    <w:rsid w:val="0004263F"/>
    <w:rsid w:val="00060C47"/>
    <w:rsid w:val="0009310D"/>
    <w:rsid w:val="000B5185"/>
    <w:rsid w:val="000E5D6D"/>
    <w:rsid w:val="00125CC0"/>
    <w:rsid w:val="00145C7B"/>
    <w:rsid w:val="001A44C0"/>
    <w:rsid w:val="001C0585"/>
    <w:rsid w:val="001E591B"/>
    <w:rsid w:val="001F3862"/>
    <w:rsid w:val="0022363D"/>
    <w:rsid w:val="00266EE7"/>
    <w:rsid w:val="002A6768"/>
    <w:rsid w:val="002D437C"/>
    <w:rsid w:val="00306589"/>
    <w:rsid w:val="00317CCC"/>
    <w:rsid w:val="00346A66"/>
    <w:rsid w:val="003479AC"/>
    <w:rsid w:val="00353545"/>
    <w:rsid w:val="003B122A"/>
    <w:rsid w:val="00542EBC"/>
    <w:rsid w:val="00586D75"/>
    <w:rsid w:val="005C54B3"/>
    <w:rsid w:val="006362A1"/>
    <w:rsid w:val="00655D0C"/>
    <w:rsid w:val="006753D2"/>
    <w:rsid w:val="006D0EED"/>
    <w:rsid w:val="00760774"/>
    <w:rsid w:val="0077205F"/>
    <w:rsid w:val="00772E19"/>
    <w:rsid w:val="007C0AA9"/>
    <w:rsid w:val="00821AF0"/>
    <w:rsid w:val="00863A25"/>
    <w:rsid w:val="008B3C6D"/>
    <w:rsid w:val="008C22B8"/>
    <w:rsid w:val="00913575"/>
    <w:rsid w:val="00917549"/>
    <w:rsid w:val="009415E6"/>
    <w:rsid w:val="00975EE5"/>
    <w:rsid w:val="009C3DDB"/>
    <w:rsid w:val="009D7223"/>
    <w:rsid w:val="00A31176"/>
    <w:rsid w:val="00A34A9B"/>
    <w:rsid w:val="00AF2961"/>
    <w:rsid w:val="00B5331B"/>
    <w:rsid w:val="00B75DA9"/>
    <w:rsid w:val="00B87A92"/>
    <w:rsid w:val="00BD4327"/>
    <w:rsid w:val="00C02437"/>
    <w:rsid w:val="00C71B88"/>
    <w:rsid w:val="00C9583B"/>
    <w:rsid w:val="00CC3093"/>
    <w:rsid w:val="00CE0540"/>
    <w:rsid w:val="00D5521A"/>
    <w:rsid w:val="00D920F5"/>
    <w:rsid w:val="00DB71CF"/>
    <w:rsid w:val="00E31D54"/>
    <w:rsid w:val="00E41D38"/>
    <w:rsid w:val="00E90104"/>
    <w:rsid w:val="00EB77AF"/>
    <w:rsid w:val="00F05A67"/>
    <w:rsid w:val="00F577A3"/>
    <w:rsid w:val="00F75852"/>
    <w:rsid w:val="00F91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4EA4EC-2B3C-44F9-9116-FAEBA87D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589"/>
    <w:pPr>
      <w:suppressAutoHyphens/>
      <w:autoSpaceDE w:val="0"/>
      <w:autoSpaceDN w:val="0"/>
      <w:adjustRightInd w:val="0"/>
      <w:spacing w:after="240"/>
      <w:textAlignment w:val="center"/>
    </w:pPr>
    <w:rPr>
      <w:rFonts w:ascii="Times New Roman" w:hAnsi="Times New Roman" w:cs="TisaOT"/>
      <w:color w:val="000000"/>
      <w:sz w:val="24"/>
      <w:szCs w:val="22"/>
    </w:rPr>
  </w:style>
  <w:style w:type="paragraph" w:styleId="Heading1">
    <w:name w:val="heading 1"/>
    <w:basedOn w:val="H1"/>
    <w:next w:val="Normal"/>
    <w:link w:val="Heading1Char"/>
    <w:uiPriority w:val="9"/>
    <w:qFormat/>
    <w:rsid w:val="00C71B88"/>
    <w:pPr>
      <w:spacing w:after="120"/>
      <w:outlineLvl w:val="0"/>
    </w:pPr>
  </w:style>
  <w:style w:type="paragraph" w:styleId="Heading2">
    <w:name w:val="heading 2"/>
    <w:basedOn w:val="H2"/>
    <w:next w:val="Normal"/>
    <w:link w:val="Heading2Char"/>
    <w:uiPriority w:val="9"/>
    <w:unhideWhenUsed/>
    <w:qFormat/>
    <w:rsid w:val="00C71B88"/>
    <w:pPr>
      <w:outlineLvl w:val="1"/>
    </w:pPr>
    <w:rPr>
      <w:rFonts w:ascii="Cambria" w:hAnsi="Cambria"/>
    </w:rPr>
  </w:style>
  <w:style w:type="paragraph" w:styleId="Heading3">
    <w:name w:val="heading 3"/>
    <w:basedOn w:val="H3"/>
    <w:next w:val="Normal"/>
    <w:link w:val="Heading3Char"/>
    <w:uiPriority w:val="9"/>
    <w:unhideWhenUsed/>
    <w:qFormat/>
    <w:rsid w:val="00145C7B"/>
    <w:pPr>
      <w:spacing w:after="120"/>
      <w:outlineLvl w:val="2"/>
    </w:pPr>
    <w:rPr>
      <w:rFonts w:ascii="Arial" w:hAnsi="Arial"/>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22A"/>
    <w:pPr>
      <w:tabs>
        <w:tab w:val="center" w:pos="4680"/>
        <w:tab w:val="right" w:pos="9360"/>
      </w:tabs>
    </w:pPr>
  </w:style>
  <w:style w:type="character" w:customStyle="1" w:styleId="HeaderChar">
    <w:name w:val="Header Char"/>
    <w:link w:val="Header"/>
    <w:uiPriority w:val="99"/>
    <w:rsid w:val="003B122A"/>
    <w:rPr>
      <w:sz w:val="22"/>
      <w:szCs w:val="22"/>
    </w:rPr>
  </w:style>
  <w:style w:type="paragraph" w:styleId="Footer">
    <w:name w:val="footer"/>
    <w:basedOn w:val="Normal"/>
    <w:link w:val="FooterChar"/>
    <w:uiPriority w:val="99"/>
    <w:unhideWhenUsed/>
    <w:rsid w:val="003B122A"/>
    <w:pPr>
      <w:tabs>
        <w:tab w:val="center" w:pos="4680"/>
        <w:tab w:val="right" w:pos="9360"/>
      </w:tabs>
    </w:pPr>
  </w:style>
  <w:style w:type="character" w:customStyle="1" w:styleId="FooterChar">
    <w:name w:val="Footer Char"/>
    <w:link w:val="Footer"/>
    <w:uiPriority w:val="99"/>
    <w:rsid w:val="003B122A"/>
    <w:rPr>
      <w:sz w:val="22"/>
      <w:szCs w:val="22"/>
    </w:rPr>
  </w:style>
  <w:style w:type="paragraph" w:customStyle="1" w:styleId="H1">
    <w:name w:val="H1"/>
    <w:basedOn w:val="Normal"/>
    <w:uiPriority w:val="99"/>
    <w:rsid w:val="003B122A"/>
    <w:rPr>
      <w:rFonts w:ascii="Calibri" w:hAnsi="Calibri" w:cs="TisaSansOT-Bold"/>
      <w:b/>
      <w:bCs/>
      <w:caps/>
      <w:color w:val="5C2472"/>
      <w:spacing w:val="-4"/>
      <w:sz w:val="40"/>
      <w:szCs w:val="40"/>
    </w:rPr>
  </w:style>
  <w:style w:type="paragraph" w:customStyle="1" w:styleId="H2">
    <w:name w:val="H2"/>
    <w:basedOn w:val="Normal"/>
    <w:uiPriority w:val="99"/>
    <w:rsid w:val="003B122A"/>
    <w:rPr>
      <w:rFonts w:ascii="TisaOT-BoldIta" w:hAnsi="TisaOT-BoldIta" w:cs="TisaOT-BoldIta"/>
      <w:b/>
      <w:bCs/>
      <w:i/>
      <w:iCs/>
      <w:color w:val="5C2472"/>
      <w:sz w:val="28"/>
      <w:szCs w:val="28"/>
    </w:rPr>
  </w:style>
  <w:style w:type="paragraph" w:customStyle="1" w:styleId="Main">
    <w:name w:val="Main"/>
    <w:basedOn w:val="Normal"/>
    <w:uiPriority w:val="99"/>
    <w:rsid w:val="003B122A"/>
    <w:rPr>
      <w:rFonts w:ascii="TisaOT" w:hAnsi="TisaOT"/>
    </w:rPr>
  </w:style>
  <w:style w:type="paragraph" w:customStyle="1" w:styleId="H3">
    <w:name w:val="H3"/>
    <w:basedOn w:val="Main"/>
    <w:uiPriority w:val="99"/>
    <w:rsid w:val="003B122A"/>
    <w:rPr>
      <w:rFonts w:ascii="TisaSansOT-Bold" w:hAnsi="TisaSansOT-Bold" w:cs="TisaSansOT-Bold"/>
      <w:b/>
      <w:bCs/>
    </w:rPr>
  </w:style>
  <w:style w:type="character" w:customStyle="1" w:styleId="Mainbold">
    <w:name w:val="Main: bold"/>
    <w:uiPriority w:val="99"/>
    <w:rsid w:val="003B122A"/>
    <w:rPr>
      <w:b/>
      <w:bCs/>
    </w:rPr>
  </w:style>
  <w:style w:type="character" w:customStyle="1" w:styleId="Heading1Char">
    <w:name w:val="Heading 1 Char"/>
    <w:link w:val="Heading1"/>
    <w:uiPriority w:val="9"/>
    <w:rsid w:val="00C71B88"/>
    <w:rPr>
      <w:rFonts w:cs="TisaSansOT-Bold"/>
      <w:b/>
      <w:bCs/>
      <w:caps/>
      <w:color w:val="5C2472"/>
      <w:spacing w:val="-4"/>
      <w:sz w:val="40"/>
      <w:szCs w:val="40"/>
    </w:rPr>
  </w:style>
  <w:style w:type="character" w:customStyle="1" w:styleId="Heading2Char">
    <w:name w:val="Heading 2 Char"/>
    <w:link w:val="Heading2"/>
    <w:uiPriority w:val="9"/>
    <w:rsid w:val="00C71B88"/>
    <w:rPr>
      <w:rFonts w:ascii="Cambria" w:hAnsi="Cambria" w:cs="TisaOT-BoldIta"/>
      <w:b/>
      <w:bCs/>
      <w:i/>
      <w:iCs/>
      <w:color w:val="5C2472"/>
      <w:sz w:val="28"/>
      <w:szCs w:val="28"/>
    </w:rPr>
  </w:style>
  <w:style w:type="character" w:customStyle="1" w:styleId="Heading3Char">
    <w:name w:val="Heading 3 Char"/>
    <w:link w:val="Heading3"/>
    <w:uiPriority w:val="9"/>
    <w:rsid w:val="00145C7B"/>
    <w:rPr>
      <w:rFonts w:ascii="Arial" w:hAnsi="Arial" w:cs="TisaSansOT-Bold"/>
      <w:b/>
      <w:bCs/>
      <w:sz w:val="22"/>
      <w:szCs w:val="22"/>
    </w:rPr>
  </w:style>
  <w:style w:type="paragraph" w:styleId="NoSpacing">
    <w:name w:val="No Spacing"/>
    <w:uiPriority w:val="1"/>
    <w:qFormat/>
    <w:rsid w:val="00C71B88"/>
    <w:pPr>
      <w:suppressAutoHyphens/>
      <w:autoSpaceDE w:val="0"/>
      <w:autoSpaceDN w:val="0"/>
      <w:adjustRightInd w:val="0"/>
      <w:textAlignment w:val="center"/>
    </w:pPr>
    <w:rPr>
      <w:rFonts w:ascii="Cambria" w:hAnsi="Cambria" w:cs="TisaOT"/>
      <w:color w:val="000000"/>
      <w:sz w:val="22"/>
      <w:szCs w:val="22"/>
    </w:rPr>
  </w:style>
  <w:style w:type="paragraph" w:customStyle="1" w:styleId="TableH1Table">
    <w:name w:val="Table: H1 (Table)"/>
    <w:basedOn w:val="Normal"/>
    <w:link w:val="TableH1TableChar"/>
    <w:uiPriority w:val="99"/>
    <w:rsid w:val="00C71B88"/>
    <w:pPr>
      <w:suppressAutoHyphens w:val="0"/>
    </w:pPr>
    <w:rPr>
      <w:rFonts w:ascii="TisaSansOT-Bold" w:hAnsi="TisaSansOT-Bold" w:cs="TisaSansOT-Bold"/>
      <w:b/>
      <w:bCs/>
      <w:caps/>
      <w:color w:val="FFFFFF"/>
      <w:sz w:val="18"/>
      <w:szCs w:val="18"/>
    </w:rPr>
  </w:style>
  <w:style w:type="paragraph" w:customStyle="1" w:styleId="TablemainTable">
    <w:name w:val="Table: main (Table)"/>
    <w:basedOn w:val="Normal"/>
    <w:link w:val="TablemainTableChar"/>
    <w:uiPriority w:val="99"/>
    <w:rsid w:val="00C71B88"/>
    <w:pPr>
      <w:suppressAutoHyphens w:val="0"/>
    </w:pPr>
    <w:rPr>
      <w:rFonts w:ascii="TisaSansOT" w:hAnsi="TisaSansOT" w:cs="TisaSansOT"/>
      <w:sz w:val="20"/>
      <w:szCs w:val="20"/>
    </w:rPr>
  </w:style>
  <w:style w:type="character" w:customStyle="1" w:styleId="Tablebold">
    <w:name w:val="Table: bold"/>
    <w:uiPriority w:val="99"/>
    <w:rsid w:val="00C71B88"/>
    <w:rPr>
      <w:b/>
      <w:bCs/>
    </w:rPr>
  </w:style>
  <w:style w:type="paragraph" w:customStyle="1" w:styleId="Table-header">
    <w:name w:val="Table-header"/>
    <w:basedOn w:val="TableH1Table"/>
    <w:link w:val="Table-headerChar"/>
    <w:qFormat/>
    <w:rsid w:val="001E591B"/>
    <w:pPr>
      <w:spacing w:after="0"/>
    </w:pPr>
    <w:rPr>
      <w:rFonts w:ascii="Calibri" w:hAnsi="Calibri"/>
    </w:rPr>
  </w:style>
  <w:style w:type="paragraph" w:customStyle="1" w:styleId="Table-main">
    <w:name w:val="Table-main"/>
    <w:basedOn w:val="TablemainTable"/>
    <w:link w:val="Table-mainChar"/>
    <w:qFormat/>
    <w:rsid w:val="00821AF0"/>
    <w:pPr>
      <w:spacing w:after="0"/>
    </w:pPr>
    <w:rPr>
      <w:rFonts w:ascii="Arial" w:hAnsi="Arial"/>
      <w:color w:val="auto"/>
      <w:sz w:val="18"/>
      <w:szCs w:val="18"/>
    </w:rPr>
  </w:style>
  <w:style w:type="character" w:customStyle="1" w:styleId="TableH1TableChar">
    <w:name w:val="Table: H1 (Table) Char"/>
    <w:basedOn w:val="DefaultParagraphFont"/>
    <w:link w:val="TableH1Table"/>
    <w:uiPriority w:val="99"/>
    <w:rsid w:val="001E591B"/>
    <w:rPr>
      <w:rFonts w:ascii="TisaSansOT-Bold" w:hAnsi="TisaSansOT-Bold" w:cs="TisaSansOT-Bold"/>
      <w:b/>
      <w:bCs/>
      <w:caps/>
      <w:color w:val="FFFFFF"/>
      <w:sz w:val="18"/>
      <w:szCs w:val="18"/>
    </w:rPr>
  </w:style>
  <w:style w:type="character" w:customStyle="1" w:styleId="Table-headerChar">
    <w:name w:val="Table-header Char"/>
    <w:basedOn w:val="TableH1TableChar"/>
    <w:link w:val="Table-header"/>
    <w:rsid w:val="001E591B"/>
    <w:rPr>
      <w:rFonts w:ascii="TisaSansOT-Bold" w:hAnsi="TisaSansOT-Bold" w:cs="TisaSansOT-Bold"/>
      <w:b/>
      <w:bCs/>
      <w:caps/>
      <w:color w:val="FFFFFF"/>
      <w:sz w:val="18"/>
      <w:szCs w:val="18"/>
    </w:rPr>
  </w:style>
  <w:style w:type="character" w:customStyle="1" w:styleId="TablemainTableChar">
    <w:name w:val="Table: main (Table) Char"/>
    <w:basedOn w:val="DefaultParagraphFont"/>
    <w:link w:val="TablemainTable"/>
    <w:uiPriority w:val="99"/>
    <w:rsid w:val="001E591B"/>
    <w:rPr>
      <w:rFonts w:ascii="TisaSansOT" w:hAnsi="TisaSansOT" w:cs="TisaSansOT"/>
      <w:color w:val="000000"/>
    </w:rPr>
  </w:style>
  <w:style w:type="character" w:customStyle="1" w:styleId="Table-mainChar">
    <w:name w:val="Table-main Char"/>
    <w:basedOn w:val="TablemainTableChar"/>
    <w:link w:val="Table-main"/>
    <w:rsid w:val="00821AF0"/>
    <w:rPr>
      <w:rFonts w:ascii="Arial" w:hAnsi="Arial" w:cs="TisaSansOT"/>
      <w:color w:val="000000"/>
      <w:sz w:val="18"/>
      <w:szCs w:val="18"/>
    </w:rPr>
  </w:style>
  <w:style w:type="paragraph" w:styleId="BalloonText">
    <w:name w:val="Balloon Text"/>
    <w:basedOn w:val="Normal"/>
    <w:link w:val="BalloonTextChar"/>
    <w:uiPriority w:val="99"/>
    <w:semiHidden/>
    <w:unhideWhenUsed/>
    <w:rsid w:val="00CC309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093"/>
    <w:rPr>
      <w:rFonts w:ascii="Tahoma" w:hAnsi="Tahoma" w:cs="Tahoma"/>
      <w:color w:val="000000"/>
      <w:sz w:val="16"/>
      <w:szCs w:val="16"/>
    </w:rPr>
  </w:style>
  <w:style w:type="paragraph" w:styleId="ListParagraph">
    <w:name w:val="List Paragraph"/>
    <w:basedOn w:val="Normal"/>
    <w:uiPriority w:val="34"/>
    <w:qFormat/>
    <w:rsid w:val="00F577A3"/>
    <w:pPr>
      <w:ind w:left="720"/>
      <w:contextualSpacing/>
    </w:pPr>
  </w:style>
  <w:style w:type="paragraph" w:customStyle="1" w:styleId="Summarytext">
    <w:name w:val="Summary text"/>
    <w:basedOn w:val="Normal"/>
    <w:link w:val="SummarytextChar"/>
    <w:qFormat/>
    <w:rsid w:val="00145C7B"/>
    <w:rPr>
      <w:color w:val="auto"/>
      <w:sz w:val="20"/>
    </w:rPr>
  </w:style>
  <w:style w:type="character" w:customStyle="1" w:styleId="SummarytextChar">
    <w:name w:val="Summary text Char"/>
    <w:basedOn w:val="DefaultParagraphFont"/>
    <w:link w:val="Summarytext"/>
    <w:rsid w:val="00145C7B"/>
    <w:rPr>
      <w:rFonts w:ascii="Times New Roman" w:hAnsi="Times New Roman" w:cs="TisaOT"/>
      <w:szCs w:val="22"/>
    </w:rPr>
  </w:style>
  <w:style w:type="table" w:styleId="TableGrid">
    <w:name w:val="Table Grid"/>
    <w:basedOn w:val="TableNormal"/>
    <w:uiPriority w:val="59"/>
    <w:rsid w:val="00BD4327"/>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Head"/>
    <w:basedOn w:val="Normal"/>
    <w:qFormat/>
    <w:rsid w:val="00821AF0"/>
    <w:pPr>
      <w:widowControl w:val="0"/>
      <w:suppressAutoHyphens w:val="0"/>
      <w:autoSpaceDE/>
      <w:autoSpaceDN/>
      <w:adjustRightInd/>
      <w:spacing w:after="0"/>
      <w:jc w:val="center"/>
      <w:textAlignment w:val="auto"/>
    </w:pPr>
    <w:rPr>
      <w:rFonts w:ascii="Arial" w:eastAsia="Corbel" w:hAnsi="Arial" w:cs="Corbel"/>
      <w:b/>
      <w:bCs/>
      <w:color w:val="FFFFFF"/>
      <w:sz w:val="18"/>
    </w:rPr>
  </w:style>
  <w:style w:type="paragraph" w:customStyle="1" w:styleId="TableText">
    <w:name w:val="TableText"/>
    <w:basedOn w:val="Normal"/>
    <w:qFormat/>
    <w:rsid w:val="00BD4327"/>
    <w:pPr>
      <w:widowControl w:val="0"/>
      <w:suppressAutoHyphens w:val="0"/>
      <w:autoSpaceDE/>
      <w:autoSpaceDN/>
      <w:adjustRightInd/>
      <w:spacing w:after="0"/>
      <w:textAlignment w:val="auto"/>
    </w:pPr>
    <w:rPr>
      <w:rFonts w:ascii="Verdana" w:eastAsia="Corbel" w:hAnsi="Verdana" w:cs="Corbel"/>
      <w:bCs/>
      <w:color w:val="auto"/>
      <w:sz w:val="18"/>
      <w:szCs w:val="20"/>
    </w:rPr>
  </w:style>
  <w:style w:type="paragraph" w:styleId="ListBullet2">
    <w:name w:val="List Bullet 2"/>
    <w:basedOn w:val="Normal"/>
    <w:uiPriority w:val="99"/>
    <w:unhideWhenUsed/>
    <w:rsid w:val="00306589"/>
    <w:pPr>
      <w:numPr>
        <w:numId w:val="8"/>
      </w:numPr>
      <w:contextualSpacing/>
    </w:pPr>
  </w:style>
  <w:style w:type="character" w:styleId="Strong">
    <w:name w:val="Strong"/>
    <w:basedOn w:val="DefaultParagraphFont"/>
    <w:uiPriority w:val="22"/>
    <w:qFormat/>
    <w:rsid w:val="00D552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ASPIRE-tools">
      <a:dk1>
        <a:sysClr val="windowText" lastClr="000000"/>
      </a:dk1>
      <a:lt1>
        <a:sysClr val="window" lastClr="FFFFFF"/>
      </a:lt1>
      <a:dk2>
        <a:srgbClr val="474C55"/>
      </a:dk2>
      <a:lt2>
        <a:srgbClr val="EFF1F5"/>
      </a:lt2>
      <a:accent1>
        <a:srgbClr val="6B1D74"/>
      </a:accent1>
      <a:accent2>
        <a:srgbClr val="F9B91B"/>
      </a:accent2>
      <a:accent3>
        <a:srgbClr val="8F99AA"/>
      </a:accent3>
      <a:accent4>
        <a:srgbClr val="915795"/>
      </a:accent4>
      <a:accent5>
        <a:srgbClr val="F5F0CD"/>
      </a:accent5>
      <a:accent6>
        <a:srgbClr val="F5F0CD"/>
      </a:accent6>
      <a:hlink>
        <a:srgbClr val="6B1D74"/>
      </a:hlink>
      <a:folHlink>
        <a:srgbClr val="6B1D7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581D4-0B87-452D-BE2A-A99E01EF8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Tool 4: Community Inventory Tool</vt:lpstr>
    </vt:vector>
  </TitlesOfParts>
  <Company>John Snow Inc.</Company>
  <LinksUpToDate>false</LinksUpToDate>
  <CharactersWithSpaces>7293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 4: Community Inventory</dc:title>
  <dc:creator>Agency for Healthcare Research and Quality</dc:creator>
  <cp:keywords>ASPIRE, Readmissions, Community Inventory</cp:keywords>
  <cp:lastModifiedBy>Angel</cp:lastModifiedBy>
  <cp:revision>3</cp:revision>
  <dcterms:created xsi:type="dcterms:W3CDTF">2016-09-01T00:44:00Z</dcterms:created>
  <dcterms:modified xsi:type="dcterms:W3CDTF">2016-09-02T02:14:00Z</dcterms:modified>
</cp:coreProperties>
</file>