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75" w:rsidRPr="00730575" w:rsidRDefault="00CC3093" w:rsidP="00730575">
      <w:pPr>
        <w:pStyle w:val="Heading1"/>
        <w:rPr>
          <w:sz w:val="36"/>
        </w:rPr>
      </w:pPr>
      <w:r>
        <w:rPr>
          <w:noProof/>
          <w:color w:val="auto"/>
        </w:rPr>
        <w:drawing>
          <wp:inline distT="0" distB="0" distL="0" distR="0" wp14:anchorId="293FADB7" wp14:editId="0AF813DC">
            <wp:extent cx="731520" cy="731520"/>
            <wp:effectExtent l="0" t="0" r="0" b="0"/>
            <wp:docPr id="4" name="Picture 4" descr="Wrench and hammer tool logo&#10;" title="T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_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3093">
        <w:t xml:space="preserve"> </w:t>
      </w:r>
      <w:r w:rsidR="005C54B3" w:rsidRPr="00655D0C">
        <w:rPr>
          <w:sz w:val="38"/>
          <w:szCs w:val="38"/>
        </w:rPr>
        <w:t>Tool 8</w:t>
      </w:r>
      <w:r w:rsidR="000E5D6D" w:rsidRPr="00655D0C">
        <w:rPr>
          <w:sz w:val="38"/>
          <w:szCs w:val="38"/>
        </w:rPr>
        <w:t xml:space="preserve">: </w:t>
      </w:r>
      <w:r w:rsidR="00655D0C" w:rsidRPr="00655D0C">
        <w:rPr>
          <w:sz w:val="38"/>
          <w:szCs w:val="38"/>
        </w:rPr>
        <w:t xml:space="preserve">Conditions of Participation </w:t>
      </w:r>
      <w:r w:rsidRPr="00655D0C">
        <w:rPr>
          <w:sz w:val="38"/>
          <w:szCs w:val="38"/>
        </w:rPr>
        <w:t>Handout</w:t>
      </w:r>
    </w:p>
    <w:p w:rsidR="00730575" w:rsidRPr="00D42AFF" w:rsidRDefault="00730575" w:rsidP="00D42AFF">
      <w:pPr>
        <w:pStyle w:val="Heading3"/>
      </w:pPr>
    </w:p>
    <w:p w:rsidR="00730575" w:rsidRPr="00730575" w:rsidRDefault="0091070F" w:rsidP="00730575">
      <w:pPr>
        <w:pStyle w:val="Heading3"/>
      </w:pPr>
      <w:r w:rsidRPr="00730575">
        <w:t>Purpose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</w:rPr>
        <w:t xml:space="preserve">In November 2015, the Centers for Medicare &amp; Medicaid Services (CMS) issued a proposed revision to the Conditions of Participation (COPs). CMS specified new and unique elements that are particularly germane to reducing Medicaid readmissions and improving whole-person transitional care. Many hospitals have implemented some elements of these new CMS COPs for their high-risk patients. These best practices will improve care for all patients, especially Medicaid and other patients with high-risk diagnoses (e.g., HIV, liver disease, sickle cell disease), behavioral health conditions, and social support needs. 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</w:rPr>
        <w:t xml:space="preserve">This tool is meant to assist in promoting awareness of the contents of the CMS COPs so that hospital staff can better understand how their work relates to CMS guidance. </w:t>
      </w:r>
    </w:p>
    <w:p w:rsidR="0091070F" w:rsidRDefault="0091070F" w:rsidP="0091070F">
      <w:pPr>
        <w:pStyle w:val="Heading3"/>
      </w:pPr>
      <w:r>
        <w:t>Description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</w:rPr>
        <w:t>This 1-page handout offers an overview of the transitional care practices as outlined by the guidance and proposed changes to the CMS COPs. It can be used as a handout, in educational sessions, and as a guide to the work of your readmission reduction team.</w:t>
      </w:r>
    </w:p>
    <w:p w:rsidR="0091070F" w:rsidRDefault="0091070F" w:rsidP="0091070F">
      <w:pPr>
        <w:pStyle w:val="Heading3"/>
      </w:pPr>
      <w:r>
        <w:t>Staff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</w:rPr>
        <w:t>Readmission reduction champion (in strategic planning); day-to-day leader (education and improvement work).</w:t>
      </w:r>
    </w:p>
    <w:p w:rsidR="0091070F" w:rsidRDefault="0091070F" w:rsidP="0091070F">
      <w:pPr>
        <w:pStyle w:val="Heading3"/>
      </w:pPr>
      <w:r>
        <w:t>Time Required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</w:rPr>
        <w:t>10 minutes to review and consider circulating or discussing at next readmission team meeting.</w:t>
      </w:r>
    </w:p>
    <w:p w:rsidR="0091070F" w:rsidRDefault="0091070F" w:rsidP="0091070F">
      <w:pPr>
        <w:pStyle w:val="Heading3"/>
      </w:pPr>
      <w:r>
        <w:t>Additional Resources</w:t>
      </w:r>
    </w:p>
    <w:p w:rsidR="0091070F" w:rsidRPr="001D5657" w:rsidRDefault="0091070F" w:rsidP="0091070F">
      <w:pPr>
        <w:pStyle w:val="Summarytext"/>
        <w:rPr>
          <w:rFonts w:asciiTheme="minorHAnsi" w:hAnsiTheme="minorHAnsi"/>
        </w:rPr>
      </w:pPr>
      <w:r w:rsidRPr="001D5657">
        <w:rPr>
          <w:rFonts w:asciiTheme="minorHAnsi" w:hAnsiTheme="minorHAnsi"/>
          <w:b/>
        </w:rPr>
        <w:t>Tool 10: Discharge Information Checklist</w:t>
      </w:r>
      <w:r w:rsidRPr="001D5657">
        <w:rPr>
          <w:rFonts w:asciiTheme="minorHAnsi" w:hAnsiTheme="minorHAnsi"/>
        </w:rPr>
        <w:t xml:space="preserve"> and Section 4 of the </w:t>
      </w:r>
      <w:bookmarkStart w:id="0" w:name="_GoBack"/>
      <w:r w:rsidRPr="00461802">
        <w:rPr>
          <w:rFonts w:asciiTheme="minorHAnsi" w:hAnsiTheme="minorHAnsi"/>
          <w:i/>
        </w:rPr>
        <w:t>Hospital Guide to Reducing Medicaid Readmissions</w:t>
      </w:r>
      <w:bookmarkEnd w:id="0"/>
      <w:r w:rsidRPr="001D5657">
        <w:rPr>
          <w:rFonts w:asciiTheme="minorHAnsi" w:hAnsiTheme="minorHAnsi"/>
        </w:rPr>
        <w:t xml:space="preserve"> for additional information.</w:t>
      </w:r>
    </w:p>
    <w:p w:rsidR="0091070F" w:rsidRPr="00F577A3" w:rsidRDefault="0091070F" w:rsidP="00F577A3"/>
    <w:p w:rsidR="00F577A3" w:rsidRDefault="00F577A3">
      <w:pPr>
        <w:suppressAutoHyphens w:val="0"/>
        <w:autoSpaceDE/>
        <w:autoSpaceDN/>
        <w:adjustRightInd/>
        <w:spacing w:after="0"/>
        <w:textAlignment w:val="auto"/>
        <w:rPr>
          <w:rFonts w:ascii="Calibri" w:hAnsi="Calibri" w:cs="TisaSansOT-Bold"/>
          <w:b/>
          <w:bCs/>
        </w:rPr>
      </w:pPr>
      <w:r>
        <w:br w:type="page"/>
      </w:r>
    </w:p>
    <w:p w:rsidR="00F577A3" w:rsidRPr="004707D7" w:rsidRDefault="00F577A3" w:rsidP="000D6B26">
      <w:pPr>
        <w:pStyle w:val="Heading2"/>
      </w:pPr>
      <w:r w:rsidRPr="00A125B1">
        <w:lastRenderedPageBreak/>
        <w:t>Improving Transitional Care for All Patients</w:t>
      </w:r>
    </w:p>
    <w:p w:rsidR="00F577A3" w:rsidRPr="00E45917" w:rsidRDefault="00F577A3" w:rsidP="008470EB">
      <w:r w:rsidRPr="00E45917">
        <w:t>CMS has recommended that hospitals do the following to improve discharge planning</w:t>
      </w:r>
      <w:r w:rsidR="00F97E1D">
        <w:t>,</w:t>
      </w:r>
      <w:r w:rsidRPr="00E45917">
        <w:t xml:space="preserve"> now referred to as “transitional care</w:t>
      </w:r>
      <w:r w:rsidR="00F97E1D">
        <w:t>.</w:t>
      </w:r>
      <w:r w:rsidRPr="00E45917">
        <w:t>” These expectations apply to Medicare and Medicaid patients.</w:t>
      </w:r>
    </w:p>
    <w:p w:rsidR="00F577A3" w:rsidRPr="00A125B1" w:rsidRDefault="00F577A3" w:rsidP="00F97E1D">
      <w:pPr>
        <w:pStyle w:val="ListParagraph"/>
      </w:pPr>
      <w:r w:rsidRPr="00A125B1">
        <w:t>Have a documented discharge planning process, approved by the hospital’s governing board;</w:t>
      </w:r>
    </w:p>
    <w:p w:rsidR="00F577A3" w:rsidRPr="00A125B1" w:rsidRDefault="00F577A3" w:rsidP="00F97E1D">
      <w:pPr>
        <w:pStyle w:val="ListParagraph"/>
      </w:pPr>
      <w:r w:rsidRPr="00A125B1">
        <w:t xml:space="preserve">Provide discharge planning for all inpatients, observation patients, and certain ED patients; </w:t>
      </w:r>
    </w:p>
    <w:p w:rsidR="00F577A3" w:rsidRPr="00A125B1" w:rsidRDefault="00F577A3" w:rsidP="00F97E1D">
      <w:pPr>
        <w:pStyle w:val="ListParagraph"/>
      </w:pPr>
      <w:r w:rsidRPr="00A125B1">
        <w:t xml:space="preserve">Analyze and track readmission rates; </w:t>
      </w:r>
    </w:p>
    <w:p w:rsidR="00F577A3" w:rsidRPr="00A125B1" w:rsidRDefault="00F577A3" w:rsidP="00F97E1D">
      <w:pPr>
        <w:pStyle w:val="ListParagraph"/>
      </w:pPr>
      <w:r w:rsidRPr="00A125B1">
        <w:t xml:space="preserve">Review readmissions to look for patterns; </w:t>
      </w:r>
    </w:p>
    <w:p w:rsidR="00F577A3" w:rsidRPr="00A125B1" w:rsidRDefault="00F577A3" w:rsidP="00F97E1D">
      <w:pPr>
        <w:pStyle w:val="ListParagraph"/>
      </w:pPr>
      <w:r w:rsidRPr="00A125B1">
        <w:t>Conduct root cause analyses on readmissions to assess whether t</w:t>
      </w:r>
      <w:r>
        <w:t>he</w:t>
      </w:r>
      <w:r w:rsidRPr="00A125B1">
        <w:t xml:space="preserve"> discharge planning process meets patients’ needs; </w:t>
      </w:r>
    </w:p>
    <w:p w:rsidR="00F577A3" w:rsidRPr="00A125B1" w:rsidRDefault="00F577A3" w:rsidP="00F97E1D">
      <w:pPr>
        <w:pStyle w:val="ListParagraph"/>
      </w:pPr>
      <w:r w:rsidRPr="00A125B1">
        <w:t xml:space="preserve">Craft a discharge plan that can be realistically implemented; </w:t>
      </w:r>
    </w:p>
    <w:p w:rsidR="00F577A3" w:rsidRPr="00A125B1" w:rsidRDefault="00F577A3" w:rsidP="00F97E1D">
      <w:pPr>
        <w:pStyle w:val="ListParagraph"/>
      </w:pPr>
      <w:r w:rsidRPr="00A125B1">
        <w:t xml:space="preserve">Actively solicit the input of the patient and family/friends/support persons; </w:t>
      </w:r>
    </w:p>
    <w:p w:rsidR="00F577A3" w:rsidRPr="00A125B1" w:rsidRDefault="00F577A3" w:rsidP="00F97E1D">
      <w:pPr>
        <w:pStyle w:val="ListParagraph"/>
      </w:pPr>
      <w:r w:rsidRPr="00A125B1">
        <w:t>Address behavioral health followup as part of the discharge plan;</w:t>
      </w:r>
    </w:p>
    <w:p w:rsidR="00F577A3" w:rsidRPr="00A125B1" w:rsidRDefault="00F577A3" w:rsidP="00F97E1D">
      <w:pPr>
        <w:pStyle w:val="ListParagraph"/>
      </w:pPr>
      <w:r w:rsidRPr="00A125B1">
        <w:t xml:space="preserve">Provide customized education to patients and their caregivers; </w:t>
      </w:r>
    </w:p>
    <w:p w:rsidR="00F577A3" w:rsidRPr="00A125B1" w:rsidRDefault="00F577A3" w:rsidP="00F97E1D">
      <w:pPr>
        <w:pStyle w:val="ListParagraph"/>
      </w:pPr>
      <w:r w:rsidRPr="00A125B1">
        <w:t xml:space="preserve">Provide </w:t>
      </w:r>
      <w:r w:rsidR="003C5806">
        <w:t>oral</w:t>
      </w:r>
      <w:r w:rsidRPr="00A125B1">
        <w:t xml:space="preserve"> instructions using the teach-back technique; </w:t>
      </w:r>
    </w:p>
    <w:p w:rsidR="00F577A3" w:rsidRPr="00A125B1" w:rsidRDefault="00F577A3" w:rsidP="00F97E1D">
      <w:pPr>
        <w:pStyle w:val="ListParagraph"/>
      </w:pPr>
      <w:r w:rsidRPr="00A125B1">
        <w:t xml:space="preserve">Arrange for </w:t>
      </w:r>
      <w:r>
        <w:t xml:space="preserve">(not just refer to) </w:t>
      </w:r>
      <w:r w:rsidRPr="00A125B1">
        <w:t xml:space="preserve">posthospital services; </w:t>
      </w:r>
    </w:p>
    <w:p w:rsidR="00F577A3" w:rsidRPr="00A125B1" w:rsidRDefault="00F577A3" w:rsidP="00F97E1D">
      <w:pPr>
        <w:pStyle w:val="ListParagraph"/>
      </w:pPr>
      <w:r w:rsidRPr="00A125B1">
        <w:t>Know the capabilities of postacute and community-based providers, including Medicaid home-</w:t>
      </w:r>
      <w:r w:rsidR="003C5806">
        <w:t xml:space="preserve"> </w:t>
      </w:r>
      <w:r w:rsidRPr="00A125B1">
        <w:t xml:space="preserve">and community-based services; </w:t>
      </w:r>
    </w:p>
    <w:p w:rsidR="00F577A3" w:rsidRPr="00A125B1" w:rsidRDefault="00F577A3" w:rsidP="00F97E1D">
      <w:pPr>
        <w:pStyle w:val="ListParagraph"/>
      </w:pPr>
      <w:r w:rsidRPr="00A125B1">
        <w:t>Provide patients data to help inform their choice of high</w:t>
      </w:r>
      <w:r w:rsidR="003C5806">
        <w:t>-</w:t>
      </w:r>
      <w:r w:rsidRPr="00A125B1">
        <w:t xml:space="preserve">quality postacute providers; </w:t>
      </w:r>
    </w:p>
    <w:p w:rsidR="00F577A3" w:rsidRPr="00A125B1" w:rsidRDefault="00F577A3" w:rsidP="00F97E1D">
      <w:pPr>
        <w:pStyle w:val="ListParagraph"/>
      </w:pPr>
      <w:r w:rsidRPr="00A125B1">
        <w:t xml:space="preserve">Know options for Medicaid long-term services and supports, or have a contact at the State Medicaid agency </w:t>
      </w:r>
      <w:r w:rsidR="003C5806">
        <w:t>who</w:t>
      </w:r>
      <w:r w:rsidRPr="00A125B1">
        <w:t xml:space="preserve"> can assist with these issues; and </w:t>
      </w:r>
    </w:p>
    <w:p w:rsidR="00F577A3" w:rsidRPr="00F167B7" w:rsidRDefault="00F577A3" w:rsidP="00F577A3">
      <w:pPr>
        <w:pStyle w:val="ListParagraph"/>
        <w:numPr>
          <w:ilvl w:val="0"/>
          <w:numId w:val="1"/>
        </w:numPr>
      </w:pPr>
      <w:r w:rsidRPr="00A125B1">
        <w:t>Follow up with high</w:t>
      </w:r>
      <w:r w:rsidR="003C5806">
        <w:t>-</w:t>
      </w:r>
      <w:r w:rsidRPr="00A125B1">
        <w:t>risk patients after discharge.</w:t>
      </w:r>
    </w:p>
    <w:p w:rsidR="00CC3093" w:rsidRPr="00F577A3" w:rsidRDefault="00F577A3" w:rsidP="00B356B9">
      <w:r w:rsidRPr="00E45917">
        <w:t>[Our hospital] is working to meet these expectations</w:t>
      </w:r>
      <w:r w:rsidR="00F97E1D">
        <w:t>—</w:t>
      </w:r>
      <w:r w:rsidRPr="00E45917">
        <w:t>and we need your help</w:t>
      </w:r>
      <w:r w:rsidR="00F97E1D">
        <w:t>.</w:t>
      </w:r>
      <w:r w:rsidRPr="00E45917">
        <w:t xml:space="preserve"> Please contact your manager or supervisor if you have feedback or ideas to improve how we deliver safe and high</w:t>
      </w:r>
      <w:r w:rsidR="00F97E1D">
        <w:t>-</w:t>
      </w:r>
      <w:r w:rsidRPr="00E45917">
        <w:t>quality transitional care to all our patients. For more information, contact [Readmission Champion].</w:t>
      </w:r>
    </w:p>
    <w:sectPr w:rsidR="00CC3093" w:rsidRPr="00F577A3" w:rsidSect="000C7426">
      <w:headerReference w:type="default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43" w:rsidRDefault="003A0843" w:rsidP="00C71B88">
      <w:r>
        <w:separator/>
      </w:r>
    </w:p>
  </w:endnote>
  <w:endnote w:type="continuationSeparator" w:id="0">
    <w:p w:rsidR="003A0843" w:rsidRDefault="003A0843" w:rsidP="00C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saOT"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TisaSansOT-Bold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TisaOT-BoldIta">
    <w:panose1 w:val="00000000000000000000"/>
    <w:charset w:val="00"/>
    <w:family w:val="modern"/>
    <w:notTrueType/>
    <w:pitch w:val="variable"/>
    <w:sig w:usb0="800000EF" w:usb1="4000205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saSansOT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185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7A3" w:rsidRDefault="00F577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43" w:rsidRDefault="003A0843" w:rsidP="00C71B88">
      <w:r>
        <w:separator/>
      </w:r>
    </w:p>
  </w:footnote>
  <w:footnote w:type="continuationSeparator" w:id="0">
    <w:p w:rsidR="003A0843" w:rsidRDefault="003A0843" w:rsidP="00C7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2A" w:rsidRDefault="00F577A3" w:rsidP="00655D0C">
    <w:pPr>
      <w:pStyle w:val="Header"/>
      <w:jc w:val="center"/>
    </w:pPr>
    <w:r>
      <w:rPr>
        <w:noProof/>
      </w:rPr>
      <w:drawing>
        <wp:inline distT="0" distB="0" distL="0" distR="0" wp14:anchorId="70804FED" wp14:editId="05871AFB">
          <wp:extent cx="5966489" cy="604299"/>
          <wp:effectExtent l="0" t="0" r="0" b="5715"/>
          <wp:docPr id="6" name="Picture 6" descr="Designing and Delivering Whole-Person Transitional Care: The Hospital Guide to Reducing Medicaid Readmissions title and Aspire logo" title="Designing and Delivering Whole-Person Transitional Care: The Hospital Guide to Reducing Medicaid Readmis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5515" cy="60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C46"/>
    <w:multiLevelType w:val="hybridMultilevel"/>
    <w:tmpl w:val="FEFA610A"/>
    <w:lvl w:ilvl="0" w:tplc="C9A8BE04">
      <w:start w:val="1"/>
      <w:numFmt w:val="bullet"/>
      <w:pStyle w:val="ListParagraph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439F2"/>
    <w:multiLevelType w:val="hybridMultilevel"/>
    <w:tmpl w:val="84EA9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2A"/>
    <w:rsid w:val="000B5185"/>
    <w:rsid w:val="000C7426"/>
    <w:rsid w:val="000D6B26"/>
    <w:rsid w:val="000E5D6D"/>
    <w:rsid w:val="001502E3"/>
    <w:rsid w:val="001D5657"/>
    <w:rsid w:val="001E591B"/>
    <w:rsid w:val="0022363D"/>
    <w:rsid w:val="00276472"/>
    <w:rsid w:val="00317CCC"/>
    <w:rsid w:val="003A0843"/>
    <w:rsid w:val="003B122A"/>
    <w:rsid w:val="003C5806"/>
    <w:rsid w:val="00461802"/>
    <w:rsid w:val="004F4E20"/>
    <w:rsid w:val="005C54B3"/>
    <w:rsid w:val="00603183"/>
    <w:rsid w:val="006362A1"/>
    <w:rsid w:val="00636E90"/>
    <w:rsid w:val="00655D0C"/>
    <w:rsid w:val="006753D2"/>
    <w:rsid w:val="006D0EED"/>
    <w:rsid w:val="00730575"/>
    <w:rsid w:val="0077205F"/>
    <w:rsid w:val="00772E19"/>
    <w:rsid w:val="007A713B"/>
    <w:rsid w:val="007E104F"/>
    <w:rsid w:val="00836C33"/>
    <w:rsid w:val="008470EB"/>
    <w:rsid w:val="0091070F"/>
    <w:rsid w:val="00917549"/>
    <w:rsid w:val="00A858B9"/>
    <w:rsid w:val="00A85ADC"/>
    <w:rsid w:val="00AA1743"/>
    <w:rsid w:val="00B356B9"/>
    <w:rsid w:val="00B5331B"/>
    <w:rsid w:val="00B87A92"/>
    <w:rsid w:val="00BD7ACC"/>
    <w:rsid w:val="00C26545"/>
    <w:rsid w:val="00C71B88"/>
    <w:rsid w:val="00C9583B"/>
    <w:rsid w:val="00CC3093"/>
    <w:rsid w:val="00D42AFF"/>
    <w:rsid w:val="00DB71CF"/>
    <w:rsid w:val="00E90104"/>
    <w:rsid w:val="00EB77AF"/>
    <w:rsid w:val="00EC3C0D"/>
    <w:rsid w:val="00F577A3"/>
    <w:rsid w:val="00F7455F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BCD88F-459F-4594-A1AB-05A78E88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1D"/>
    <w:pPr>
      <w:suppressAutoHyphens/>
      <w:autoSpaceDE w:val="0"/>
      <w:autoSpaceDN w:val="0"/>
      <w:adjustRightInd w:val="0"/>
      <w:spacing w:after="240"/>
      <w:textAlignment w:val="center"/>
    </w:pPr>
    <w:rPr>
      <w:rFonts w:ascii="Times New Roman" w:hAnsi="Times New Roman" w:cs="TisaOT"/>
      <w:color w:val="000000"/>
      <w:sz w:val="24"/>
      <w:szCs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C71B88"/>
    <w:pPr>
      <w:spacing w:after="120"/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0D6B26"/>
    <w:pPr>
      <w:outlineLvl w:val="1"/>
    </w:pPr>
    <w:rPr>
      <w:rFonts w:ascii="Calibri" w:hAnsi="Calibri"/>
      <w:i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BD7ACC"/>
    <w:pPr>
      <w:spacing w:after="12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2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12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7E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F97E1D"/>
    <w:rPr>
      <w:rFonts w:ascii="Times New Roman" w:hAnsi="Times New Roman" w:cs="TisaOT"/>
      <w:color w:val="000000"/>
      <w:sz w:val="24"/>
      <w:szCs w:val="22"/>
    </w:rPr>
  </w:style>
  <w:style w:type="paragraph" w:customStyle="1" w:styleId="H1">
    <w:name w:val="H1"/>
    <w:basedOn w:val="Normal"/>
    <w:uiPriority w:val="99"/>
    <w:rsid w:val="003B122A"/>
    <w:rPr>
      <w:rFonts w:ascii="Calibri" w:hAnsi="Calibri" w:cs="TisaSansOT-Bold"/>
      <w:b/>
      <w:bCs/>
      <w:caps/>
      <w:color w:val="5C2472"/>
      <w:spacing w:val="-4"/>
      <w:sz w:val="40"/>
      <w:szCs w:val="40"/>
    </w:rPr>
  </w:style>
  <w:style w:type="paragraph" w:customStyle="1" w:styleId="H2">
    <w:name w:val="H2"/>
    <w:basedOn w:val="Normal"/>
    <w:uiPriority w:val="99"/>
    <w:rsid w:val="003B122A"/>
    <w:rPr>
      <w:rFonts w:ascii="TisaOT-BoldIta" w:hAnsi="TisaOT-BoldIta" w:cs="TisaOT-BoldIta"/>
      <w:b/>
      <w:bCs/>
      <w:i/>
      <w:iCs/>
      <w:color w:val="5C2472"/>
      <w:sz w:val="28"/>
      <w:szCs w:val="28"/>
    </w:rPr>
  </w:style>
  <w:style w:type="paragraph" w:customStyle="1" w:styleId="Main">
    <w:name w:val="Main"/>
    <w:basedOn w:val="Normal"/>
    <w:uiPriority w:val="99"/>
    <w:rsid w:val="003B122A"/>
    <w:rPr>
      <w:rFonts w:ascii="TisaOT" w:hAnsi="TisaOT"/>
    </w:rPr>
  </w:style>
  <w:style w:type="paragraph" w:customStyle="1" w:styleId="H3">
    <w:name w:val="H3"/>
    <w:basedOn w:val="Main"/>
    <w:uiPriority w:val="99"/>
    <w:rsid w:val="003B122A"/>
    <w:rPr>
      <w:rFonts w:ascii="TisaSansOT-Bold" w:hAnsi="TisaSansOT-Bold" w:cs="TisaSansOT-Bold"/>
      <w:b/>
      <w:bCs/>
    </w:rPr>
  </w:style>
  <w:style w:type="character" w:customStyle="1" w:styleId="Mainbold">
    <w:name w:val="Main: bold"/>
    <w:uiPriority w:val="99"/>
    <w:rsid w:val="003B122A"/>
    <w:rPr>
      <w:b/>
      <w:bCs/>
    </w:rPr>
  </w:style>
  <w:style w:type="character" w:customStyle="1" w:styleId="Heading1Char">
    <w:name w:val="Heading 1 Char"/>
    <w:link w:val="Heading1"/>
    <w:uiPriority w:val="9"/>
    <w:rsid w:val="00C71B88"/>
    <w:rPr>
      <w:rFonts w:cs="TisaSansOT-Bold"/>
      <w:b/>
      <w:bCs/>
      <w:caps/>
      <w:color w:val="5C2472"/>
      <w:spacing w:val="-4"/>
      <w:sz w:val="40"/>
      <w:szCs w:val="40"/>
    </w:rPr>
  </w:style>
  <w:style w:type="character" w:customStyle="1" w:styleId="Heading2Char">
    <w:name w:val="Heading 2 Char"/>
    <w:link w:val="Heading2"/>
    <w:uiPriority w:val="9"/>
    <w:rsid w:val="000D6B26"/>
    <w:rPr>
      <w:rFonts w:cs="TisaOT-BoldIta"/>
      <w:b/>
      <w:bCs/>
      <w:iCs/>
      <w:color w:val="5C2472"/>
      <w:sz w:val="28"/>
      <w:szCs w:val="28"/>
    </w:rPr>
  </w:style>
  <w:style w:type="character" w:customStyle="1" w:styleId="Heading3Char">
    <w:name w:val="Heading 3 Char"/>
    <w:link w:val="Heading3"/>
    <w:uiPriority w:val="9"/>
    <w:rsid w:val="00BD7ACC"/>
    <w:rPr>
      <w:rFonts w:ascii="Arial" w:hAnsi="Arial" w:cs="TisaSansOT-Bold"/>
      <w:b/>
      <w:bCs/>
      <w:color w:val="000000"/>
      <w:sz w:val="24"/>
      <w:szCs w:val="22"/>
    </w:rPr>
  </w:style>
  <w:style w:type="paragraph" w:styleId="NoSpacing">
    <w:name w:val="No Spacing"/>
    <w:uiPriority w:val="1"/>
    <w:qFormat/>
    <w:rsid w:val="00C71B88"/>
    <w:pPr>
      <w:suppressAutoHyphens/>
      <w:autoSpaceDE w:val="0"/>
      <w:autoSpaceDN w:val="0"/>
      <w:adjustRightInd w:val="0"/>
      <w:textAlignment w:val="center"/>
    </w:pPr>
    <w:rPr>
      <w:rFonts w:ascii="Cambria" w:hAnsi="Cambria" w:cs="TisaOT"/>
      <w:color w:val="000000"/>
      <w:sz w:val="22"/>
      <w:szCs w:val="22"/>
    </w:rPr>
  </w:style>
  <w:style w:type="paragraph" w:customStyle="1" w:styleId="TableH1Table">
    <w:name w:val="Table: H1 (Table)"/>
    <w:basedOn w:val="Normal"/>
    <w:link w:val="TableH1TableChar"/>
    <w:uiPriority w:val="99"/>
    <w:rsid w:val="00C71B88"/>
    <w:pPr>
      <w:suppressAutoHyphens w:val="0"/>
    </w:pPr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paragraph" w:customStyle="1" w:styleId="TablemainTable">
    <w:name w:val="Table: main (Table)"/>
    <w:basedOn w:val="Normal"/>
    <w:link w:val="TablemainTableChar"/>
    <w:uiPriority w:val="99"/>
    <w:rsid w:val="00C71B88"/>
    <w:pPr>
      <w:suppressAutoHyphens w:val="0"/>
    </w:pPr>
    <w:rPr>
      <w:rFonts w:ascii="TisaSansOT" w:hAnsi="TisaSansOT" w:cs="TisaSansOT"/>
      <w:sz w:val="20"/>
      <w:szCs w:val="20"/>
    </w:rPr>
  </w:style>
  <w:style w:type="character" w:customStyle="1" w:styleId="Tablebold">
    <w:name w:val="Table: bold"/>
    <w:uiPriority w:val="99"/>
    <w:rsid w:val="00C71B88"/>
    <w:rPr>
      <w:b/>
      <w:bCs/>
    </w:rPr>
  </w:style>
  <w:style w:type="paragraph" w:customStyle="1" w:styleId="Table-header">
    <w:name w:val="Table-header"/>
    <w:basedOn w:val="TableH1Table"/>
    <w:link w:val="Table-headerChar"/>
    <w:qFormat/>
    <w:rsid w:val="001E591B"/>
    <w:pPr>
      <w:spacing w:after="0"/>
    </w:pPr>
    <w:rPr>
      <w:rFonts w:ascii="Calibri" w:hAnsi="Calibri"/>
    </w:rPr>
  </w:style>
  <w:style w:type="paragraph" w:customStyle="1" w:styleId="Table-main">
    <w:name w:val="Table-main"/>
    <w:basedOn w:val="TablemainTable"/>
    <w:link w:val="Table-mainChar"/>
    <w:qFormat/>
    <w:rsid w:val="001E591B"/>
    <w:pPr>
      <w:spacing w:after="0"/>
    </w:pPr>
    <w:rPr>
      <w:rFonts w:ascii="Calibri" w:hAnsi="Calibri"/>
      <w:sz w:val="18"/>
      <w:szCs w:val="18"/>
    </w:rPr>
  </w:style>
  <w:style w:type="character" w:customStyle="1" w:styleId="TableH1TableChar">
    <w:name w:val="Table: H1 (Table) Char"/>
    <w:basedOn w:val="DefaultParagraphFont"/>
    <w:link w:val="TableH1Table"/>
    <w:uiPriority w:val="99"/>
    <w:rsid w:val="001E591B"/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character" w:customStyle="1" w:styleId="Table-headerChar">
    <w:name w:val="Table-header Char"/>
    <w:basedOn w:val="TableH1TableChar"/>
    <w:link w:val="Table-header"/>
    <w:rsid w:val="001E591B"/>
    <w:rPr>
      <w:rFonts w:ascii="TisaSansOT-Bold" w:hAnsi="TisaSansOT-Bold" w:cs="TisaSansOT-Bold"/>
      <w:b/>
      <w:bCs/>
      <w:caps/>
      <w:color w:val="FFFFFF"/>
      <w:sz w:val="18"/>
      <w:szCs w:val="18"/>
    </w:rPr>
  </w:style>
  <w:style w:type="character" w:customStyle="1" w:styleId="TablemainTableChar">
    <w:name w:val="Table: main (Table) Char"/>
    <w:basedOn w:val="DefaultParagraphFont"/>
    <w:link w:val="TablemainTable"/>
    <w:uiPriority w:val="99"/>
    <w:rsid w:val="001E591B"/>
    <w:rPr>
      <w:rFonts w:ascii="TisaSansOT" w:hAnsi="TisaSansOT" w:cs="TisaSansOT"/>
      <w:color w:val="000000"/>
    </w:rPr>
  </w:style>
  <w:style w:type="character" w:customStyle="1" w:styleId="Table-mainChar">
    <w:name w:val="Table-main Char"/>
    <w:basedOn w:val="TablemainTableChar"/>
    <w:link w:val="Table-main"/>
    <w:rsid w:val="001E591B"/>
    <w:rPr>
      <w:rFonts w:ascii="TisaSansOT" w:hAnsi="TisaSansOT" w:cs="TisaSansO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9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806"/>
    <w:pPr>
      <w:numPr>
        <w:numId w:val="2"/>
      </w:numPr>
      <w:spacing w:after="120"/>
      <w:ind w:left="720"/>
    </w:pPr>
  </w:style>
  <w:style w:type="paragraph" w:customStyle="1" w:styleId="Summarytext">
    <w:name w:val="Summary text"/>
    <w:basedOn w:val="Normal"/>
    <w:link w:val="SummarytextChar"/>
    <w:qFormat/>
    <w:rsid w:val="00BD7ACC"/>
  </w:style>
  <w:style w:type="character" w:customStyle="1" w:styleId="SummarytextChar">
    <w:name w:val="Summary text Char"/>
    <w:basedOn w:val="DefaultParagraphFont"/>
    <w:link w:val="Summarytext"/>
    <w:rsid w:val="00BD7ACC"/>
    <w:rPr>
      <w:rFonts w:ascii="Times New Roman" w:hAnsi="Times New Roman" w:cs="TisaOT"/>
      <w:color w:val="000000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4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5F"/>
    <w:rPr>
      <w:rFonts w:ascii="Cambria" w:hAnsi="Cambria" w:cs="TisaO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5F"/>
    <w:rPr>
      <w:rFonts w:ascii="Cambria" w:hAnsi="Cambria" w:cs="TisaO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SPIRE-tools">
      <a:dk1>
        <a:sysClr val="windowText" lastClr="000000"/>
      </a:dk1>
      <a:lt1>
        <a:sysClr val="window" lastClr="FFFFFF"/>
      </a:lt1>
      <a:dk2>
        <a:srgbClr val="474C55"/>
      </a:dk2>
      <a:lt2>
        <a:srgbClr val="EFF1F5"/>
      </a:lt2>
      <a:accent1>
        <a:srgbClr val="6B1D74"/>
      </a:accent1>
      <a:accent2>
        <a:srgbClr val="F9B91B"/>
      </a:accent2>
      <a:accent3>
        <a:srgbClr val="8F99AA"/>
      </a:accent3>
      <a:accent4>
        <a:srgbClr val="915795"/>
      </a:accent4>
      <a:accent5>
        <a:srgbClr val="F5F0CD"/>
      </a:accent5>
      <a:accent6>
        <a:srgbClr val="F5F0CD"/>
      </a:accent6>
      <a:hlink>
        <a:srgbClr val="6B1D74"/>
      </a:hlink>
      <a:folHlink>
        <a:srgbClr val="6B1D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AA5B-1400-478C-8526-494D9E1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8 Conditions of Participation Handout</vt:lpstr>
    </vt:vector>
  </TitlesOfParts>
  <Company>John Snow Inc.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8: Conditions of Participation Handout</dc:title>
  <dc:creator>Agency for Healthcare Research and Quality</dc:creator>
  <cp:keywords>ASPIRE, Readmissions, Conditions of Participation</cp:keywords>
  <cp:lastModifiedBy>Angel</cp:lastModifiedBy>
  <cp:revision>14</cp:revision>
  <dcterms:created xsi:type="dcterms:W3CDTF">2016-09-01T14:38:00Z</dcterms:created>
  <dcterms:modified xsi:type="dcterms:W3CDTF">2016-09-02T02:29:00Z</dcterms:modified>
</cp:coreProperties>
</file>